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A429D" w14:textId="77777777" w:rsidR="00970430" w:rsidRDefault="00970430" w:rsidP="005D74C5">
      <w:pPr>
        <w:pStyle w:val="Heading6"/>
        <w:rPr>
          <w:noProof/>
          <w:lang w:eastAsia="en-GB"/>
        </w:rPr>
      </w:pPr>
    </w:p>
    <w:p w14:paraId="176235FE" w14:textId="77777777" w:rsidR="00C07A59" w:rsidRDefault="00C07A59" w:rsidP="00C07A59">
      <w:pPr>
        <w:rPr>
          <w:lang w:eastAsia="en-GB"/>
        </w:rPr>
      </w:pPr>
    </w:p>
    <w:p w14:paraId="718EDFF7" w14:textId="77777777" w:rsidR="00C07A59" w:rsidRDefault="00C07A59" w:rsidP="00C07A59">
      <w:pPr>
        <w:rPr>
          <w:lang w:eastAsia="en-GB"/>
        </w:rPr>
      </w:pPr>
    </w:p>
    <w:p w14:paraId="6D02978D" w14:textId="77777777" w:rsidR="00C07A59" w:rsidRDefault="00C07A59" w:rsidP="00C07A59">
      <w:pPr>
        <w:rPr>
          <w:lang w:eastAsia="en-GB"/>
        </w:rPr>
      </w:pPr>
    </w:p>
    <w:p w14:paraId="30C19536" w14:textId="77777777" w:rsidR="00C07A59" w:rsidRDefault="00C07A59" w:rsidP="00C07A59">
      <w:pPr>
        <w:rPr>
          <w:lang w:eastAsia="en-GB"/>
        </w:rPr>
      </w:pPr>
    </w:p>
    <w:p w14:paraId="69319EAF" w14:textId="77777777" w:rsidR="00C07A59" w:rsidRDefault="00C07A59" w:rsidP="00C07A59">
      <w:pPr>
        <w:rPr>
          <w:lang w:eastAsia="en-GB"/>
        </w:rPr>
      </w:pPr>
    </w:p>
    <w:p w14:paraId="6689C651" w14:textId="77777777" w:rsidR="00C07A59" w:rsidRDefault="00C07A59" w:rsidP="00C07A59">
      <w:pPr>
        <w:rPr>
          <w:lang w:eastAsia="en-GB"/>
        </w:rPr>
      </w:pPr>
    </w:p>
    <w:p w14:paraId="1EAB6381" w14:textId="77777777" w:rsidR="00C07A59" w:rsidRDefault="00C07A59" w:rsidP="00C07A59">
      <w:pPr>
        <w:rPr>
          <w:lang w:eastAsia="en-GB"/>
        </w:rPr>
      </w:pPr>
    </w:p>
    <w:p w14:paraId="319452C5" w14:textId="77777777" w:rsidR="00C07A59" w:rsidRPr="00C07A59" w:rsidRDefault="00C07A59" w:rsidP="00C07A59">
      <w:pPr>
        <w:rPr>
          <w:lang w:eastAsia="en-GB"/>
        </w:rPr>
      </w:pPr>
    </w:p>
    <w:p w14:paraId="485A429E" w14:textId="77777777" w:rsidR="00CE4454" w:rsidRDefault="00CE4454" w:rsidP="00CE4454">
      <w:pPr>
        <w:rPr>
          <w:lang w:eastAsia="en-GB"/>
        </w:rPr>
      </w:pPr>
    </w:p>
    <w:p w14:paraId="485A429F" w14:textId="7F66A0C6" w:rsidR="00D34473" w:rsidRDefault="00C17679" w:rsidP="00D34473">
      <w:pPr>
        <w:jc w:val="center"/>
      </w:pPr>
      <w:r>
        <w:rPr>
          <w:noProof/>
        </w:rPr>
        <w:drawing>
          <wp:inline distT="0" distB="0" distL="0" distR="0" wp14:anchorId="5A69FCAF" wp14:editId="7CDAAC4D">
            <wp:extent cx="1447421" cy="1577689"/>
            <wp:effectExtent l="0" t="0" r="635" b="3810"/>
            <wp:docPr id="1770022682" name="Picture 1" descr="Lake District Nationa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 District National P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1890" cy="1604360"/>
                    </a:xfrm>
                    <a:prstGeom prst="rect">
                      <a:avLst/>
                    </a:prstGeom>
                    <a:noFill/>
                    <a:ln>
                      <a:noFill/>
                    </a:ln>
                  </pic:spPr>
                </pic:pic>
              </a:graphicData>
            </a:graphic>
          </wp:inline>
        </w:drawing>
      </w:r>
    </w:p>
    <w:p w14:paraId="1FA361F3" w14:textId="77777777" w:rsidR="007055C3" w:rsidRDefault="007055C3" w:rsidP="00D34473">
      <w:pPr>
        <w:jc w:val="center"/>
      </w:pPr>
    </w:p>
    <w:p w14:paraId="1F582011" w14:textId="77777777" w:rsidR="007055C3" w:rsidRDefault="007055C3" w:rsidP="00D34473">
      <w:pPr>
        <w:jc w:val="center"/>
      </w:pPr>
    </w:p>
    <w:p w14:paraId="40DD6431" w14:textId="77777777" w:rsidR="007055C3" w:rsidRPr="00512BAB" w:rsidRDefault="007055C3" w:rsidP="00D34473">
      <w:pPr>
        <w:jc w:val="center"/>
      </w:pPr>
    </w:p>
    <w:p w14:paraId="485A42A0" w14:textId="77777777" w:rsidR="00D34473" w:rsidRPr="00512BAB" w:rsidRDefault="00D34473" w:rsidP="004471B4">
      <w:pPr>
        <w:jc w:val="center"/>
      </w:pPr>
    </w:p>
    <w:p w14:paraId="5C4F1258" w14:textId="77777777" w:rsidR="00C07A59" w:rsidRDefault="00E9418C" w:rsidP="004471B4">
      <w:pPr>
        <w:pStyle w:val="Default"/>
        <w:jc w:val="center"/>
        <w:rPr>
          <w:color w:val="221E1F"/>
          <w:sz w:val="72"/>
          <w:szCs w:val="72"/>
        </w:rPr>
      </w:pPr>
      <w:r w:rsidRPr="00B967AB">
        <w:rPr>
          <w:color w:val="221E1F"/>
          <w:sz w:val="72"/>
          <w:szCs w:val="72"/>
        </w:rPr>
        <w:t>Statement</w:t>
      </w:r>
      <w:r w:rsidR="006870F1" w:rsidRPr="00B967AB">
        <w:rPr>
          <w:color w:val="221E1F"/>
          <w:sz w:val="72"/>
          <w:szCs w:val="72"/>
        </w:rPr>
        <w:t xml:space="preserve"> </w:t>
      </w:r>
      <w:r w:rsidRPr="00B967AB">
        <w:rPr>
          <w:color w:val="221E1F"/>
          <w:sz w:val="72"/>
          <w:szCs w:val="72"/>
        </w:rPr>
        <w:t xml:space="preserve">of Accounts </w:t>
      </w:r>
    </w:p>
    <w:p w14:paraId="485A42A1" w14:textId="22381374" w:rsidR="00D34473" w:rsidRPr="00B967AB" w:rsidRDefault="00E9418C" w:rsidP="004471B4">
      <w:pPr>
        <w:pStyle w:val="Default"/>
        <w:jc w:val="center"/>
        <w:rPr>
          <w:color w:val="221E1F"/>
          <w:sz w:val="72"/>
          <w:szCs w:val="72"/>
        </w:rPr>
      </w:pPr>
      <w:r w:rsidRPr="00B967AB">
        <w:rPr>
          <w:color w:val="221E1F"/>
          <w:sz w:val="72"/>
          <w:szCs w:val="72"/>
        </w:rPr>
        <w:t>20</w:t>
      </w:r>
      <w:r w:rsidR="00A66674" w:rsidRPr="00B967AB">
        <w:rPr>
          <w:color w:val="221E1F"/>
          <w:sz w:val="72"/>
          <w:szCs w:val="72"/>
        </w:rPr>
        <w:t>2</w:t>
      </w:r>
      <w:r w:rsidR="00C01DC6">
        <w:rPr>
          <w:color w:val="221E1F"/>
          <w:sz w:val="72"/>
          <w:szCs w:val="72"/>
        </w:rPr>
        <w:t>3</w:t>
      </w:r>
      <w:r w:rsidR="00376BE1" w:rsidRPr="00B967AB">
        <w:rPr>
          <w:color w:val="221E1F"/>
          <w:sz w:val="72"/>
          <w:szCs w:val="72"/>
        </w:rPr>
        <w:t>/2</w:t>
      </w:r>
      <w:r w:rsidR="00C01DC6">
        <w:rPr>
          <w:color w:val="221E1F"/>
          <w:sz w:val="72"/>
          <w:szCs w:val="72"/>
        </w:rPr>
        <w:t>4</w:t>
      </w:r>
    </w:p>
    <w:p w14:paraId="565C96DF" w14:textId="7E0EA4C5" w:rsidR="00512BAB" w:rsidRPr="00B967AB" w:rsidRDefault="00115E31" w:rsidP="004471B4">
      <w:pPr>
        <w:pStyle w:val="Default"/>
        <w:jc w:val="center"/>
        <w:rPr>
          <w:color w:val="221E1F"/>
          <w:sz w:val="16"/>
          <w:szCs w:val="16"/>
        </w:rPr>
      </w:pPr>
      <w:r>
        <w:rPr>
          <w:color w:val="221E1F"/>
          <w:sz w:val="16"/>
          <w:szCs w:val="16"/>
        </w:rPr>
        <w:t>v31May 2024</w:t>
      </w:r>
      <w:r w:rsidR="00C01DC6">
        <w:rPr>
          <w:color w:val="221E1F"/>
          <w:sz w:val="16"/>
          <w:szCs w:val="16"/>
        </w:rPr>
        <w:t xml:space="preserve"> unaudited</w:t>
      </w:r>
      <w:r>
        <w:rPr>
          <w:color w:val="221E1F"/>
          <w:sz w:val="16"/>
          <w:szCs w:val="16"/>
        </w:rPr>
        <w:t xml:space="preserve"> </w:t>
      </w:r>
    </w:p>
    <w:p w14:paraId="070354F6" w14:textId="3E166B20" w:rsidR="00E049F7" w:rsidRPr="00B967AB" w:rsidRDefault="00E049F7" w:rsidP="004471B4">
      <w:pPr>
        <w:pStyle w:val="Default"/>
        <w:jc w:val="center"/>
        <w:rPr>
          <w:color w:val="221E1F"/>
          <w:sz w:val="20"/>
          <w:szCs w:val="20"/>
        </w:rPr>
      </w:pPr>
    </w:p>
    <w:p w14:paraId="485A42A2" w14:textId="77777777" w:rsidR="00D34473" w:rsidRPr="00B967AB" w:rsidRDefault="00D34473" w:rsidP="004471B4">
      <w:pPr>
        <w:pStyle w:val="Default"/>
        <w:jc w:val="center"/>
        <w:rPr>
          <w:color w:val="221E1F"/>
          <w:sz w:val="72"/>
          <w:szCs w:val="72"/>
        </w:rPr>
      </w:pPr>
    </w:p>
    <w:p w14:paraId="485A42A3" w14:textId="32106225" w:rsidR="00D34473" w:rsidRDefault="00D34473" w:rsidP="004471B4">
      <w:pPr>
        <w:pStyle w:val="Default"/>
        <w:jc w:val="center"/>
      </w:pPr>
    </w:p>
    <w:p w14:paraId="4BE0E2DB" w14:textId="77777777" w:rsidR="002F77FC" w:rsidRDefault="002F77FC" w:rsidP="004471B4">
      <w:pPr>
        <w:pStyle w:val="Default"/>
        <w:jc w:val="center"/>
      </w:pPr>
    </w:p>
    <w:p w14:paraId="7AE26754" w14:textId="77777777" w:rsidR="002F77FC" w:rsidRDefault="002F77FC" w:rsidP="004471B4">
      <w:pPr>
        <w:pStyle w:val="Default"/>
        <w:jc w:val="center"/>
      </w:pPr>
    </w:p>
    <w:p w14:paraId="36B46D90" w14:textId="77777777" w:rsidR="002F77FC" w:rsidRDefault="002F77FC" w:rsidP="004471B4">
      <w:pPr>
        <w:pStyle w:val="Default"/>
        <w:jc w:val="center"/>
      </w:pPr>
    </w:p>
    <w:p w14:paraId="0C47E926" w14:textId="77777777" w:rsidR="002F77FC" w:rsidRDefault="002F77FC" w:rsidP="004471B4">
      <w:pPr>
        <w:pStyle w:val="Default"/>
        <w:jc w:val="center"/>
      </w:pPr>
    </w:p>
    <w:p w14:paraId="3D67A787" w14:textId="77777777" w:rsidR="002F77FC" w:rsidRDefault="002F77FC" w:rsidP="004471B4">
      <w:pPr>
        <w:pStyle w:val="Default"/>
        <w:jc w:val="center"/>
      </w:pPr>
    </w:p>
    <w:p w14:paraId="351A2FCD" w14:textId="77777777" w:rsidR="002F77FC" w:rsidRDefault="002F77FC" w:rsidP="004471B4">
      <w:pPr>
        <w:pStyle w:val="Default"/>
        <w:jc w:val="center"/>
      </w:pPr>
    </w:p>
    <w:p w14:paraId="0614BFAF" w14:textId="77777777" w:rsidR="002F77FC" w:rsidRDefault="002F77FC" w:rsidP="004471B4">
      <w:pPr>
        <w:pStyle w:val="Default"/>
        <w:jc w:val="center"/>
      </w:pPr>
    </w:p>
    <w:p w14:paraId="54ED9414" w14:textId="77777777" w:rsidR="002F77FC" w:rsidRDefault="002F77FC" w:rsidP="004471B4">
      <w:pPr>
        <w:pStyle w:val="Default"/>
        <w:jc w:val="center"/>
      </w:pPr>
    </w:p>
    <w:p w14:paraId="4C99322D" w14:textId="77777777" w:rsidR="002F77FC" w:rsidRDefault="002F77FC" w:rsidP="004471B4">
      <w:pPr>
        <w:pStyle w:val="Default"/>
        <w:jc w:val="center"/>
      </w:pPr>
    </w:p>
    <w:p w14:paraId="14BB7BDE" w14:textId="77777777" w:rsidR="007055C3" w:rsidRDefault="007055C3" w:rsidP="004471B4">
      <w:pPr>
        <w:pStyle w:val="Default"/>
        <w:jc w:val="center"/>
      </w:pPr>
    </w:p>
    <w:p w14:paraId="11160E33" w14:textId="77777777" w:rsidR="007055C3" w:rsidRDefault="007055C3" w:rsidP="004471B4">
      <w:pPr>
        <w:pStyle w:val="Default"/>
        <w:jc w:val="center"/>
      </w:pPr>
    </w:p>
    <w:p w14:paraId="1C2D8245" w14:textId="77777777" w:rsidR="007055C3" w:rsidRDefault="007055C3" w:rsidP="004471B4">
      <w:pPr>
        <w:pStyle w:val="Default"/>
        <w:jc w:val="center"/>
      </w:pPr>
    </w:p>
    <w:p w14:paraId="15EAAC13" w14:textId="77777777" w:rsidR="007055C3" w:rsidRDefault="007055C3" w:rsidP="004471B4">
      <w:pPr>
        <w:pStyle w:val="Default"/>
        <w:jc w:val="center"/>
      </w:pPr>
    </w:p>
    <w:p w14:paraId="0A61506C" w14:textId="77777777" w:rsidR="007055C3" w:rsidRDefault="007055C3" w:rsidP="004471B4">
      <w:pPr>
        <w:pStyle w:val="Default"/>
        <w:jc w:val="center"/>
      </w:pPr>
    </w:p>
    <w:sdt>
      <w:sdtPr>
        <w:rPr>
          <w:rFonts w:ascii="Arial" w:eastAsia="Times New Roman" w:hAnsi="Arial" w:cs="Times New Roman"/>
          <w:color w:val="auto"/>
          <w:sz w:val="23"/>
          <w:szCs w:val="23"/>
          <w:lang w:val="en-GB"/>
        </w:rPr>
        <w:id w:val="1883132435"/>
        <w:docPartObj>
          <w:docPartGallery w:val="Table of Contents"/>
          <w:docPartUnique/>
        </w:docPartObj>
      </w:sdtPr>
      <w:sdtEndPr>
        <w:rPr>
          <w:b/>
          <w:bCs/>
          <w:noProof/>
        </w:rPr>
      </w:sdtEndPr>
      <w:sdtContent>
        <w:p w14:paraId="7A7B7C68" w14:textId="04E74A70" w:rsidR="00DC13BD" w:rsidRDefault="00DC13BD">
          <w:pPr>
            <w:pStyle w:val="TOCHeading"/>
            <w:rPr>
              <w:rFonts w:ascii="Arial" w:hAnsi="Arial" w:cs="Arial"/>
              <w:b/>
              <w:bCs/>
              <w:color w:val="auto"/>
            </w:rPr>
          </w:pPr>
          <w:r w:rsidRPr="009C5A0E">
            <w:rPr>
              <w:rFonts w:ascii="Arial" w:hAnsi="Arial" w:cs="Arial"/>
              <w:b/>
              <w:bCs/>
              <w:color w:val="auto"/>
            </w:rPr>
            <w:t>Contents</w:t>
          </w:r>
        </w:p>
        <w:p w14:paraId="2EB4F429" w14:textId="77777777" w:rsidR="009C5A0E" w:rsidRPr="00766243" w:rsidRDefault="009C5A0E" w:rsidP="009C5A0E">
          <w:pPr>
            <w:rPr>
              <w:sz w:val="20"/>
              <w:szCs w:val="20"/>
              <w:lang w:val="en-US"/>
            </w:rPr>
          </w:pPr>
        </w:p>
        <w:p w14:paraId="266FC38F" w14:textId="4D728EFA" w:rsidR="003754ED" w:rsidRPr="00766243" w:rsidRDefault="00DC13BD">
          <w:pPr>
            <w:pStyle w:val="TOC1"/>
            <w:tabs>
              <w:tab w:val="right" w:leader="dot" w:pos="9629"/>
            </w:tabs>
            <w:rPr>
              <w:rFonts w:asciiTheme="minorHAnsi" w:eastAsiaTheme="minorEastAsia" w:hAnsiTheme="minorHAnsi" w:cstheme="minorBidi"/>
              <w:b w:val="0"/>
              <w:noProof/>
              <w:kern w:val="2"/>
              <w:sz w:val="20"/>
              <w:szCs w:val="20"/>
              <w:lang w:eastAsia="en-GB"/>
              <w14:ligatures w14:val="standardContextual"/>
            </w:rPr>
          </w:pPr>
          <w:r w:rsidRPr="00766243">
            <w:rPr>
              <w:sz w:val="20"/>
              <w:szCs w:val="20"/>
            </w:rPr>
            <w:fldChar w:fldCharType="begin"/>
          </w:r>
          <w:r w:rsidRPr="00766243">
            <w:rPr>
              <w:sz w:val="20"/>
              <w:szCs w:val="20"/>
            </w:rPr>
            <w:instrText xml:space="preserve"> TOC \o "1-3" \h \z \u </w:instrText>
          </w:r>
          <w:r w:rsidRPr="00766243">
            <w:rPr>
              <w:sz w:val="20"/>
              <w:szCs w:val="20"/>
            </w:rPr>
            <w:fldChar w:fldCharType="separate"/>
          </w:r>
          <w:hyperlink w:anchor="_Toc167965754" w:history="1">
            <w:r w:rsidR="003754ED" w:rsidRPr="00766243">
              <w:rPr>
                <w:rStyle w:val="Hyperlink"/>
                <w:noProof/>
                <w:sz w:val="20"/>
                <w:szCs w:val="20"/>
              </w:rPr>
              <w:t>Narrative Report</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_Toc167965754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3</w:t>
            </w:r>
            <w:r w:rsidR="003754ED" w:rsidRPr="00766243">
              <w:rPr>
                <w:noProof/>
                <w:webHidden/>
                <w:sz w:val="20"/>
                <w:szCs w:val="20"/>
              </w:rPr>
              <w:fldChar w:fldCharType="end"/>
            </w:r>
          </w:hyperlink>
        </w:p>
        <w:p w14:paraId="3CE58A81" w14:textId="4AC0D449" w:rsidR="003754ED" w:rsidRPr="00766243" w:rsidRDefault="00115E31">
          <w:pPr>
            <w:pStyle w:val="TOC1"/>
            <w:tabs>
              <w:tab w:val="right" w:leader="dot" w:pos="9629"/>
            </w:tabs>
            <w:rPr>
              <w:rFonts w:asciiTheme="minorHAnsi" w:eastAsiaTheme="minorEastAsia" w:hAnsiTheme="minorHAnsi" w:cstheme="minorBidi"/>
              <w:b w:val="0"/>
              <w:noProof/>
              <w:kern w:val="2"/>
              <w:sz w:val="20"/>
              <w:szCs w:val="20"/>
              <w:lang w:eastAsia="en-GB"/>
              <w14:ligatures w14:val="standardContextual"/>
            </w:rPr>
          </w:pPr>
          <w:hyperlink w:anchor="_Toc167965769" w:history="1">
            <w:r w:rsidR="003754ED" w:rsidRPr="00766243">
              <w:rPr>
                <w:rStyle w:val="Hyperlink"/>
                <w:noProof/>
                <w:sz w:val="20"/>
                <w:szCs w:val="20"/>
              </w:rPr>
              <w:t>Statement of Responsibilities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_Toc167965769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17</w:t>
            </w:r>
            <w:r w:rsidR="003754ED" w:rsidRPr="00766243">
              <w:rPr>
                <w:noProof/>
                <w:webHidden/>
                <w:sz w:val="20"/>
                <w:szCs w:val="20"/>
              </w:rPr>
              <w:fldChar w:fldCharType="end"/>
            </w:r>
          </w:hyperlink>
        </w:p>
        <w:p w14:paraId="4CFF53D9" w14:textId="37125529" w:rsidR="003754ED" w:rsidRPr="00766243" w:rsidRDefault="00115E31">
          <w:pPr>
            <w:pStyle w:val="TOC1"/>
            <w:tabs>
              <w:tab w:val="right" w:leader="dot" w:pos="9629"/>
            </w:tabs>
            <w:rPr>
              <w:rFonts w:asciiTheme="minorHAnsi" w:eastAsiaTheme="minorEastAsia" w:hAnsiTheme="minorHAnsi" w:cstheme="minorBidi"/>
              <w:b w:val="0"/>
              <w:noProof/>
              <w:kern w:val="2"/>
              <w:sz w:val="20"/>
              <w:szCs w:val="20"/>
              <w:lang w:eastAsia="en-GB"/>
              <w14:ligatures w14:val="standardContextual"/>
            </w:rPr>
          </w:pPr>
          <w:hyperlink w:anchor="_Toc167965770" w:history="1">
            <w:r w:rsidR="003754ED" w:rsidRPr="00766243">
              <w:rPr>
                <w:rStyle w:val="Hyperlink"/>
                <w:noProof/>
                <w:sz w:val="20"/>
                <w:szCs w:val="20"/>
              </w:rPr>
              <w:t>The Head of Resources’ (S151 Officer) Responsibilities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_Toc167965770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18</w:t>
            </w:r>
            <w:r w:rsidR="003754ED" w:rsidRPr="00766243">
              <w:rPr>
                <w:noProof/>
                <w:webHidden/>
                <w:sz w:val="20"/>
                <w:szCs w:val="20"/>
              </w:rPr>
              <w:fldChar w:fldCharType="end"/>
            </w:r>
          </w:hyperlink>
        </w:p>
        <w:p w14:paraId="7A4095A1" w14:textId="72ACCF31" w:rsidR="003754ED" w:rsidRPr="00766243" w:rsidRDefault="00115E31">
          <w:pPr>
            <w:pStyle w:val="TOC1"/>
            <w:tabs>
              <w:tab w:val="right" w:leader="dot" w:pos="9629"/>
            </w:tabs>
            <w:rPr>
              <w:rFonts w:asciiTheme="minorHAnsi" w:eastAsiaTheme="minorEastAsia" w:hAnsiTheme="minorHAnsi" w:cstheme="minorBidi"/>
              <w:b w:val="0"/>
              <w:noProof/>
              <w:kern w:val="2"/>
              <w:sz w:val="20"/>
              <w:szCs w:val="20"/>
              <w:lang w:eastAsia="en-GB"/>
              <w14:ligatures w14:val="standardContextual"/>
            </w:rPr>
          </w:pPr>
          <w:hyperlink w:anchor="_Toc167965771" w:history="1">
            <w:r w:rsidR="003754ED" w:rsidRPr="00766243">
              <w:rPr>
                <w:rStyle w:val="Hyperlink"/>
                <w:noProof/>
                <w:sz w:val="20"/>
                <w:szCs w:val="20"/>
              </w:rPr>
              <w:t>Independent auditor's report to the members of Lake District National Park Authority</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_Toc167965771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19</w:t>
            </w:r>
            <w:r w:rsidR="003754ED" w:rsidRPr="00766243">
              <w:rPr>
                <w:noProof/>
                <w:webHidden/>
                <w:sz w:val="20"/>
                <w:szCs w:val="20"/>
              </w:rPr>
              <w:fldChar w:fldCharType="end"/>
            </w:r>
          </w:hyperlink>
        </w:p>
        <w:p w14:paraId="4D718990" w14:textId="04E3040C" w:rsidR="003754ED" w:rsidRPr="00766243" w:rsidRDefault="00115E31">
          <w:pPr>
            <w:pStyle w:val="TOC1"/>
            <w:tabs>
              <w:tab w:val="right" w:leader="dot" w:pos="9629"/>
            </w:tabs>
            <w:rPr>
              <w:rFonts w:asciiTheme="minorHAnsi" w:eastAsiaTheme="minorEastAsia" w:hAnsiTheme="minorHAnsi" w:cstheme="minorBidi"/>
              <w:b w:val="0"/>
              <w:noProof/>
              <w:kern w:val="2"/>
              <w:sz w:val="20"/>
              <w:szCs w:val="20"/>
              <w:lang w:eastAsia="en-GB"/>
              <w14:ligatures w14:val="standardContextual"/>
            </w:rPr>
          </w:pPr>
          <w:hyperlink w:anchor="_Toc167965788" w:history="1">
            <w:r w:rsidR="003754ED" w:rsidRPr="00766243">
              <w:rPr>
                <w:rStyle w:val="Hyperlink"/>
                <w:noProof/>
                <w:sz w:val="20"/>
                <w:szCs w:val="20"/>
              </w:rPr>
              <w:t>Comprehensive Income and Expenditure Statement (CIES)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_Toc167965788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25</w:t>
            </w:r>
            <w:r w:rsidR="003754ED" w:rsidRPr="00766243">
              <w:rPr>
                <w:noProof/>
                <w:webHidden/>
                <w:sz w:val="20"/>
                <w:szCs w:val="20"/>
              </w:rPr>
              <w:fldChar w:fldCharType="end"/>
            </w:r>
          </w:hyperlink>
        </w:p>
        <w:p w14:paraId="17B72AC3" w14:textId="01FBD03D" w:rsidR="003754ED" w:rsidRPr="00766243" w:rsidRDefault="00115E31">
          <w:pPr>
            <w:pStyle w:val="TOC1"/>
            <w:tabs>
              <w:tab w:val="right" w:leader="dot" w:pos="9629"/>
            </w:tabs>
            <w:rPr>
              <w:rFonts w:asciiTheme="minorHAnsi" w:eastAsiaTheme="minorEastAsia" w:hAnsiTheme="minorHAnsi" w:cstheme="minorBidi"/>
              <w:b w:val="0"/>
              <w:noProof/>
              <w:kern w:val="2"/>
              <w:sz w:val="20"/>
              <w:szCs w:val="20"/>
              <w:lang w:eastAsia="en-GB"/>
              <w14:ligatures w14:val="standardContextual"/>
            </w:rPr>
          </w:pPr>
          <w:hyperlink w:anchor="_Toc167965789" w:history="1">
            <w:r w:rsidR="003754ED" w:rsidRPr="00766243">
              <w:rPr>
                <w:rStyle w:val="Hyperlink"/>
                <w:noProof/>
                <w:sz w:val="20"/>
                <w:szCs w:val="20"/>
              </w:rPr>
              <w:t>Movement in Reserves Statement (MIRS)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_Toc167965789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26</w:t>
            </w:r>
            <w:r w:rsidR="003754ED" w:rsidRPr="00766243">
              <w:rPr>
                <w:noProof/>
                <w:webHidden/>
                <w:sz w:val="20"/>
                <w:szCs w:val="20"/>
              </w:rPr>
              <w:fldChar w:fldCharType="end"/>
            </w:r>
          </w:hyperlink>
        </w:p>
        <w:p w14:paraId="68F03F52" w14:textId="563F15A8" w:rsidR="003754ED" w:rsidRPr="00766243" w:rsidRDefault="00115E31">
          <w:pPr>
            <w:pStyle w:val="TOC1"/>
            <w:tabs>
              <w:tab w:val="right" w:leader="dot" w:pos="9629"/>
            </w:tabs>
            <w:rPr>
              <w:rFonts w:asciiTheme="minorHAnsi" w:eastAsiaTheme="minorEastAsia" w:hAnsiTheme="minorHAnsi" w:cstheme="minorBidi"/>
              <w:b w:val="0"/>
              <w:noProof/>
              <w:kern w:val="2"/>
              <w:sz w:val="20"/>
              <w:szCs w:val="20"/>
              <w:lang w:eastAsia="en-GB"/>
              <w14:ligatures w14:val="standardContextual"/>
            </w:rPr>
          </w:pPr>
          <w:hyperlink w:anchor="_Toc167965790" w:history="1">
            <w:r w:rsidR="003754ED" w:rsidRPr="00766243">
              <w:rPr>
                <w:rStyle w:val="Hyperlink"/>
                <w:noProof/>
                <w:sz w:val="20"/>
                <w:szCs w:val="20"/>
              </w:rPr>
              <w:t>Balance Sheet</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_Toc167965790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27</w:t>
            </w:r>
            <w:r w:rsidR="003754ED" w:rsidRPr="00766243">
              <w:rPr>
                <w:noProof/>
                <w:webHidden/>
                <w:sz w:val="20"/>
                <w:szCs w:val="20"/>
              </w:rPr>
              <w:fldChar w:fldCharType="end"/>
            </w:r>
          </w:hyperlink>
        </w:p>
        <w:p w14:paraId="63BA2DBD" w14:textId="14018FA2" w:rsidR="003754ED" w:rsidRPr="00766243" w:rsidRDefault="00115E31">
          <w:pPr>
            <w:pStyle w:val="TOC1"/>
            <w:tabs>
              <w:tab w:val="right" w:leader="dot" w:pos="9629"/>
            </w:tabs>
            <w:rPr>
              <w:rFonts w:asciiTheme="minorHAnsi" w:eastAsiaTheme="minorEastAsia" w:hAnsiTheme="minorHAnsi" w:cstheme="minorBidi"/>
              <w:b w:val="0"/>
              <w:noProof/>
              <w:kern w:val="2"/>
              <w:sz w:val="20"/>
              <w:szCs w:val="20"/>
              <w:lang w:eastAsia="en-GB"/>
              <w14:ligatures w14:val="standardContextual"/>
            </w:rPr>
          </w:pPr>
          <w:hyperlink w:anchor="_Toc167965791" w:history="1">
            <w:r w:rsidR="003754ED" w:rsidRPr="00766243">
              <w:rPr>
                <w:rStyle w:val="Hyperlink"/>
                <w:noProof/>
                <w:sz w:val="20"/>
                <w:szCs w:val="20"/>
              </w:rPr>
              <w:t>Cash Flow Statement</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_Toc167965791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28</w:t>
            </w:r>
            <w:r w:rsidR="003754ED" w:rsidRPr="00766243">
              <w:rPr>
                <w:noProof/>
                <w:webHidden/>
                <w:sz w:val="20"/>
                <w:szCs w:val="20"/>
              </w:rPr>
              <w:fldChar w:fldCharType="end"/>
            </w:r>
          </w:hyperlink>
        </w:p>
        <w:p w14:paraId="78799CA6" w14:textId="017C00AD" w:rsidR="003754ED" w:rsidRPr="00766243" w:rsidRDefault="00115E31">
          <w:pPr>
            <w:pStyle w:val="TOC1"/>
            <w:tabs>
              <w:tab w:val="right" w:leader="dot" w:pos="9629"/>
            </w:tabs>
            <w:rPr>
              <w:rFonts w:asciiTheme="minorHAnsi" w:eastAsiaTheme="minorEastAsia" w:hAnsiTheme="minorHAnsi" w:cstheme="minorBidi"/>
              <w:b w:val="0"/>
              <w:noProof/>
              <w:kern w:val="2"/>
              <w:sz w:val="20"/>
              <w:szCs w:val="20"/>
              <w:lang w:eastAsia="en-GB"/>
              <w14:ligatures w14:val="standardContextual"/>
            </w:rPr>
          </w:pPr>
          <w:hyperlink w:anchor="_Toc167965792" w:history="1">
            <w:r w:rsidR="003754ED" w:rsidRPr="00766243">
              <w:rPr>
                <w:rStyle w:val="Hyperlink"/>
                <w:noProof/>
                <w:sz w:val="20"/>
                <w:szCs w:val="20"/>
              </w:rPr>
              <w:t>Notes to the Core Financial Statements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_Toc167965792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29</w:t>
            </w:r>
            <w:r w:rsidR="003754ED" w:rsidRPr="00766243">
              <w:rPr>
                <w:noProof/>
                <w:webHidden/>
                <w:sz w:val="20"/>
                <w:szCs w:val="20"/>
              </w:rPr>
              <w:fldChar w:fldCharType="end"/>
            </w:r>
          </w:hyperlink>
        </w:p>
        <w:p w14:paraId="6C7B8935" w14:textId="67B3BF0D" w:rsidR="003754ED" w:rsidRPr="00766243" w:rsidRDefault="00115E31">
          <w:pPr>
            <w:pStyle w:val="TOC2"/>
            <w:tabs>
              <w:tab w:val="left" w:pos="69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793" w:history="1">
            <w:r w:rsidR="003754ED" w:rsidRPr="00766243">
              <w:rPr>
                <w:rStyle w:val="Hyperlink"/>
                <w:iCs/>
                <w:noProof/>
                <w:sz w:val="20"/>
                <w:szCs w:val="20"/>
                <w:lang w:eastAsia="en-GB"/>
              </w:rPr>
              <w:t>1.</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noProof/>
                <w:sz w:val="20"/>
                <w:szCs w:val="20"/>
                <w:lang w:eastAsia="en-GB"/>
              </w:rPr>
              <w:t>Statement of Significant Accounting Policies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_Toc167965793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29</w:t>
            </w:r>
            <w:r w:rsidR="003754ED" w:rsidRPr="00766243">
              <w:rPr>
                <w:noProof/>
                <w:webHidden/>
                <w:sz w:val="20"/>
                <w:szCs w:val="20"/>
              </w:rPr>
              <w:fldChar w:fldCharType="end"/>
            </w:r>
          </w:hyperlink>
        </w:p>
        <w:p w14:paraId="5A4BAEAA" w14:textId="462EA395" w:rsidR="003754ED" w:rsidRPr="00766243" w:rsidRDefault="00115E31">
          <w:pPr>
            <w:pStyle w:val="TOC2"/>
            <w:tabs>
              <w:tab w:val="left" w:pos="69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794" w:history="1">
            <w:r w:rsidR="003754ED" w:rsidRPr="00766243">
              <w:rPr>
                <w:rStyle w:val="Hyperlink"/>
                <w:iCs/>
                <w:noProof/>
                <w:sz w:val="20"/>
                <w:szCs w:val="20"/>
              </w:rPr>
              <w:t>2.</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noProof/>
                <w:sz w:val="20"/>
                <w:szCs w:val="20"/>
              </w:rPr>
              <w:t>Expenditure and Funding Analysis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_Toc167965794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38</w:t>
            </w:r>
            <w:r w:rsidR="003754ED" w:rsidRPr="00766243">
              <w:rPr>
                <w:noProof/>
                <w:webHidden/>
                <w:sz w:val="20"/>
                <w:szCs w:val="20"/>
              </w:rPr>
              <w:fldChar w:fldCharType="end"/>
            </w:r>
          </w:hyperlink>
        </w:p>
        <w:p w14:paraId="247885B4" w14:textId="558550CD" w:rsidR="003754ED" w:rsidRPr="00766243" w:rsidRDefault="00115E31">
          <w:pPr>
            <w:pStyle w:val="TOC2"/>
            <w:tabs>
              <w:tab w:val="left" w:pos="69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795" w:history="1">
            <w:r w:rsidR="003754ED" w:rsidRPr="00766243">
              <w:rPr>
                <w:rStyle w:val="Hyperlink"/>
                <w:iCs/>
                <w:noProof/>
                <w:sz w:val="20"/>
                <w:szCs w:val="20"/>
              </w:rPr>
              <w:t>3.</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noProof/>
                <w:sz w:val="20"/>
                <w:szCs w:val="20"/>
              </w:rPr>
              <w:t>Accounting Concepts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_Toc167965795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39</w:t>
            </w:r>
            <w:r w:rsidR="003754ED" w:rsidRPr="00766243">
              <w:rPr>
                <w:noProof/>
                <w:webHidden/>
                <w:sz w:val="20"/>
                <w:szCs w:val="20"/>
              </w:rPr>
              <w:fldChar w:fldCharType="end"/>
            </w:r>
          </w:hyperlink>
        </w:p>
        <w:p w14:paraId="3EAE0AFB" w14:textId="327472D3" w:rsidR="003754ED" w:rsidRPr="00766243" w:rsidRDefault="00115E31">
          <w:pPr>
            <w:pStyle w:val="TOC2"/>
            <w:tabs>
              <w:tab w:val="left" w:pos="69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796" w:history="1">
            <w:r w:rsidR="003754ED" w:rsidRPr="00766243">
              <w:rPr>
                <w:rStyle w:val="Hyperlink"/>
                <w:iCs/>
                <w:noProof/>
                <w:sz w:val="20"/>
                <w:szCs w:val="20"/>
              </w:rPr>
              <w:t>4.</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noProof/>
                <w:sz w:val="20"/>
                <w:szCs w:val="20"/>
              </w:rPr>
              <w:t>Accounting Standards that have been issued but have not yet been adopted</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_Toc167965796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40</w:t>
            </w:r>
            <w:r w:rsidR="003754ED" w:rsidRPr="00766243">
              <w:rPr>
                <w:noProof/>
                <w:webHidden/>
                <w:sz w:val="20"/>
                <w:szCs w:val="20"/>
              </w:rPr>
              <w:fldChar w:fldCharType="end"/>
            </w:r>
          </w:hyperlink>
        </w:p>
        <w:p w14:paraId="35E808B0" w14:textId="340B7759" w:rsidR="003754ED" w:rsidRPr="00766243" w:rsidRDefault="00115E31">
          <w:pPr>
            <w:pStyle w:val="TOC2"/>
            <w:tabs>
              <w:tab w:val="left" w:pos="69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797" w:history="1">
            <w:r w:rsidR="003754ED" w:rsidRPr="00766243">
              <w:rPr>
                <w:rStyle w:val="Hyperlink"/>
                <w:iCs/>
                <w:noProof/>
                <w:sz w:val="20"/>
                <w:szCs w:val="20"/>
              </w:rPr>
              <w:t>5.</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noProof/>
                <w:sz w:val="20"/>
                <w:szCs w:val="20"/>
              </w:rPr>
              <w:t>Critical Judgements in Applying Accounting Policies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_Toc167965797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40</w:t>
            </w:r>
            <w:r w:rsidR="003754ED" w:rsidRPr="00766243">
              <w:rPr>
                <w:noProof/>
                <w:webHidden/>
                <w:sz w:val="20"/>
                <w:szCs w:val="20"/>
              </w:rPr>
              <w:fldChar w:fldCharType="end"/>
            </w:r>
          </w:hyperlink>
        </w:p>
        <w:p w14:paraId="21A2290C" w14:textId="7261965D" w:rsidR="003754ED" w:rsidRPr="00766243" w:rsidRDefault="00115E31">
          <w:pPr>
            <w:pStyle w:val="TOC2"/>
            <w:tabs>
              <w:tab w:val="left" w:pos="69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798" w:history="1">
            <w:r w:rsidR="003754ED" w:rsidRPr="00766243">
              <w:rPr>
                <w:rStyle w:val="Hyperlink"/>
                <w:iCs/>
                <w:noProof/>
                <w:sz w:val="20"/>
                <w:szCs w:val="20"/>
              </w:rPr>
              <w:t>6.</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noProof/>
                <w:sz w:val="20"/>
                <w:szCs w:val="20"/>
              </w:rPr>
              <w:t>Assumptions made about the Future and Other Major Sources of Estimation Uncertainty</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_Toc167965798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41</w:t>
            </w:r>
            <w:r w:rsidR="003754ED" w:rsidRPr="00766243">
              <w:rPr>
                <w:noProof/>
                <w:webHidden/>
                <w:sz w:val="20"/>
                <w:szCs w:val="20"/>
              </w:rPr>
              <w:fldChar w:fldCharType="end"/>
            </w:r>
          </w:hyperlink>
        </w:p>
        <w:p w14:paraId="650D746B" w14:textId="343A7E0B" w:rsidR="003754ED" w:rsidRPr="00766243" w:rsidRDefault="00115E31">
          <w:pPr>
            <w:pStyle w:val="TOC2"/>
            <w:tabs>
              <w:tab w:val="left" w:pos="69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799" w:history="1">
            <w:r w:rsidR="003754ED" w:rsidRPr="00766243">
              <w:rPr>
                <w:rStyle w:val="Hyperlink"/>
                <w:iCs/>
                <w:noProof/>
                <w:sz w:val="20"/>
                <w:szCs w:val="20"/>
              </w:rPr>
              <w:t>7.</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noProof/>
                <w:sz w:val="20"/>
                <w:szCs w:val="20"/>
              </w:rPr>
              <w:t>Impact of Changes to the Code of Practice</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_Toc167965799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42</w:t>
            </w:r>
            <w:r w:rsidR="003754ED" w:rsidRPr="00766243">
              <w:rPr>
                <w:noProof/>
                <w:webHidden/>
                <w:sz w:val="20"/>
                <w:szCs w:val="20"/>
              </w:rPr>
              <w:fldChar w:fldCharType="end"/>
            </w:r>
          </w:hyperlink>
        </w:p>
        <w:p w14:paraId="50381C83" w14:textId="46A0328C" w:rsidR="003754ED" w:rsidRPr="00766243" w:rsidRDefault="00115E31">
          <w:pPr>
            <w:pStyle w:val="TOC2"/>
            <w:tabs>
              <w:tab w:val="left" w:pos="69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00" w:history="1">
            <w:r w:rsidR="003754ED" w:rsidRPr="00766243">
              <w:rPr>
                <w:rStyle w:val="Hyperlink"/>
                <w:iCs/>
                <w:noProof/>
                <w:sz w:val="20"/>
                <w:szCs w:val="20"/>
              </w:rPr>
              <w:t>8.</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noProof/>
                <w:sz w:val="20"/>
                <w:szCs w:val="20"/>
              </w:rPr>
              <w:t>Material Items of Income and Expense</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_Toc167965800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42</w:t>
            </w:r>
            <w:r w:rsidR="003754ED" w:rsidRPr="00766243">
              <w:rPr>
                <w:noProof/>
                <w:webHidden/>
                <w:sz w:val="20"/>
                <w:szCs w:val="20"/>
              </w:rPr>
              <w:fldChar w:fldCharType="end"/>
            </w:r>
          </w:hyperlink>
        </w:p>
        <w:p w14:paraId="13AAC029" w14:textId="02B4C98A" w:rsidR="003754ED" w:rsidRPr="00766243" w:rsidRDefault="00115E31">
          <w:pPr>
            <w:pStyle w:val="TOC2"/>
            <w:tabs>
              <w:tab w:val="left" w:pos="69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01" w:history="1">
            <w:r w:rsidR="003754ED" w:rsidRPr="00766243">
              <w:rPr>
                <w:rStyle w:val="Hyperlink"/>
                <w:iCs/>
                <w:noProof/>
                <w:sz w:val="20"/>
                <w:szCs w:val="20"/>
              </w:rPr>
              <w:t>9.</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noProof/>
                <w:sz w:val="20"/>
                <w:szCs w:val="20"/>
              </w:rPr>
              <w:t>Expenditure and Income Analysed by Nature</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_Toc167965801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43</w:t>
            </w:r>
            <w:r w:rsidR="003754ED" w:rsidRPr="00766243">
              <w:rPr>
                <w:noProof/>
                <w:webHidden/>
                <w:sz w:val="20"/>
                <w:szCs w:val="20"/>
              </w:rPr>
              <w:fldChar w:fldCharType="end"/>
            </w:r>
          </w:hyperlink>
        </w:p>
        <w:p w14:paraId="189A8DF5" w14:textId="7A20DEEC" w:rsidR="003754ED" w:rsidRPr="00766243"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02" w:history="1">
            <w:r w:rsidR="003754ED" w:rsidRPr="00766243">
              <w:rPr>
                <w:rStyle w:val="Hyperlink"/>
                <w:rFonts w:eastAsia="Calibri"/>
                <w:iCs/>
                <w:noProof/>
                <w:spacing w:val="15"/>
                <w:sz w:val="20"/>
                <w:szCs w:val="20"/>
                <w:lang w:eastAsia="en-GB"/>
              </w:rPr>
              <w:t>10.</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rFonts w:eastAsia="Calibri"/>
                <w:noProof/>
                <w:spacing w:val="15"/>
                <w:sz w:val="20"/>
                <w:szCs w:val="20"/>
              </w:rPr>
              <w:t>Movement in Reserves Statement - Adjustments between accounting basis and funding basis under regulations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_Toc167965802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43</w:t>
            </w:r>
            <w:r w:rsidR="003754ED" w:rsidRPr="00766243">
              <w:rPr>
                <w:noProof/>
                <w:webHidden/>
                <w:sz w:val="20"/>
                <w:szCs w:val="20"/>
              </w:rPr>
              <w:fldChar w:fldCharType="end"/>
            </w:r>
          </w:hyperlink>
        </w:p>
        <w:p w14:paraId="7C44B828" w14:textId="6FDB073F" w:rsidR="003754ED" w:rsidRPr="00766243"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03" w:history="1">
            <w:r w:rsidR="003754ED" w:rsidRPr="00766243">
              <w:rPr>
                <w:rStyle w:val="Hyperlink"/>
                <w:iCs/>
                <w:noProof/>
                <w:sz w:val="20"/>
                <w:szCs w:val="20"/>
              </w:rPr>
              <w:t>11.</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noProof/>
                <w:sz w:val="20"/>
                <w:szCs w:val="20"/>
              </w:rPr>
              <w:t>Officers’ Remuneration</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_Toc167965803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46</w:t>
            </w:r>
            <w:r w:rsidR="003754ED" w:rsidRPr="00766243">
              <w:rPr>
                <w:noProof/>
                <w:webHidden/>
                <w:sz w:val="20"/>
                <w:szCs w:val="20"/>
              </w:rPr>
              <w:fldChar w:fldCharType="end"/>
            </w:r>
          </w:hyperlink>
        </w:p>
        <w:p w14:paraId="7359D3A9" w14:textId="0620FBB1" w:rsidR="003754ED" w:rsidRPr="00766243"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04" w:history="1">
            <w:r w:rsidR="003754ED" w:rsidRPr="00766243">
              <w:rPr>
                <w:rStyle w:val="Hyperlink"/>
                <w:iCs/>
                <w:noProof/>
                <w:sz w:val="20"/>
                <w:szCs w:val="20"/>
              </w:rPr>
              <w:t>12.</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noProof/>
                <w:sz w:val="20"/>
                <w:szCs w:val="20"/>
              </w:rPr>
              <w:t>Members’ Allowances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_Toc167965804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47</w:t>
            </w:r>
            <w:r w:rsidR="003754ED" w:rsidRPr="00766243">
              <w:rPr>
                <w:noProof/>
                <w:webHidden/>
                <w:sz w:val="20"/>
                <w:szCs w:val="20"/>
              </w:rPr>
              <w:fldChar w:fldCharType="end"/>
            </w:r>
          </w:hyperlink>
        </w:p>
        <w:p w14:paraId="5819E16B" w14:textId="389311C9" w:rsidR="003754ED" w:rsidRPr="00766243"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05" w:history="1">
            <w:r w:rsidR="003754ED" w:rsidRPr="00766243">
              <w:rPr>
                <w:rStyle w:val="Hyperlink"/>
                <w:rFonts w:eastAsia="Calibri"/>
                <w:bCs/>
                <w:iCs/>
                <w:noProof/>
                <w:sz w:val="20"/>
                <w:szCs w:val="20"/>
                <w:lang w:eastAsia="en-GB"/>
              </w:rPr>
              <w:t>13.</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rFonts w:eastAsia="Calibri"/>
                <w:noProof/>
                <w:sz w:val="20"/>
                <w:szCs w:val="20"/>
              </w:rPr>
              <w:t>Related Party Transactions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_Toc167965805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48</w:t>
            </w:r>
            <w:r w:rsidR="003754ED" w:rsidRPr="00766243">
              <w:rPr>
                <w:noProof/>
                <w:webHidden/>
                <w:sz w:val="20"/>
                <w:szCs w:val="20"/>
              </w:rPr>
              <w:fldChar w:fldCharType="end"/>
            </w:r>
          </w:hyperlink>
        </w:p>
        <w:p w14:paraId="73E9BCC8" w14:textId="0799A65E" w:rsidR="003754ED" w:rsidRPr="00766243"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06" w:history="1">
            <w:r w:rsidR="003754ED" w:rsidRPr="00BB6DFC">
              <w:rPr>
                <w:rStyle w:val="Hyperlink"/>
                <w:iCs/>
                <w:noProof/>
                <w:sz w:val="20"/>
                <w:szCs w:val="20"/>
              </w:rPr>
              <w:t>14.</w:t>
            </w:r>
            <w:r w:rsidR="003754ED" w:rsidRPr="00BB6DFC">
              <w:rPr>
                <w:rFonts w:asciiTheme="minorHAnsi" w:eastAsiaTheme="minorEastAsia" w:hAnsiTheme="minorHAnsi" w:cstheme="minorBidi"/>
                <w:noProof/>
                <w:kern w:val="2"/>
                <w:sz w:val="20"/>
                <w:szCs w:val="20"/>
                <w:lang w:eastAsia="en-GB"/>
                <w14:ligatures w14:val="standardContextual"/>
              </w:rPr>
              <w:tab/>
            </w:r>
            <w:r w:rsidR="003754ED" w:rsidRPr="00BB6DFC">
              <w:rPr>
                <w:rStyle w:val="Hyperlink"/>
                <w:rFonts w:eastAsia="Calibri"/>
                <w:noProof/>
                <w:spacing w:val="15"/>
                <w:sz w:val="20"/>
                <w:szCs w:val="20"/>
              </w:rPr>
              <w:t>Financing and Investment Income and Expenditure</w:t>
            </w:r>
            <w:r w:rsidR="003754ED" w:rsidRPr="00BB6DFC">
              <w:rPr>
                <w:noProof/>
                <w:webHidden/>
                <w:sz w:val="20"/>
                <w:szCs w:val="20"/>
              </w:rPr>
              <w:tab/>
            </w:r>
            <w:r w:rsidR="003754ED" w:rsidRPr="00BB6DFC">
              <w:rPr>
                <w:noProof/>
                <w:webHidden/>
                <w:sz w:val="20"/>
                <w:szCs w:val="20"/>
              </w:rPr>
              <w:fldChar w:fldCharType="begin"/>
            </w:r>
            <w:r w:rsidR="003754ED" w:rsidRPr="00BB6DFC">
              <w:rPr>
                <w:noProof/>
                <w:webHidden/>
                <w:sz w:val="20"/>
                <w:szCs w:val="20"/>
              </w:rPr>
              <w:instrText xml:space="preserve"> PAGEREF _Toc167965806 \h </w:instrText>
            </w:r>
            <w:r w:rsidR="003754ED" w:rsidRPr="00BB6DFC">
              <w:rPr>
                <w:noProof/>
                <w:webHidden/>
                <w:sz w:val="20"/>
                <w:szCs w:val="20"/>
              </w:rPr>
            </w:r>
            <w:r w:rsidR="003754ED" w:rsidRPr="00BB6DFC">
              <w:rPr>
                <w:noProof/>
                <w:webHidden/>
                <w:sz w:val="20"/>
                <w:szCs w:val="20"/>
              </w:rPr>
              <w:fldChar w:fldCharType="separate"/>
            </w:r>
            <w:r w:rsidR="00FE5E6E">
              <w:rPr>
                <w:noProof/>
                <w:webHidden/>
                <w:sz w:val="20"/>
                <w:szCs w:val="20"/>
              </w:rPr>
              <w:t>51</w:t>
            </w:r>
            <w:r w:rsidR="003754ED" w:rsidRPr="00BB6DFC">
              <w:rPr>
                <w:noProof/>
                <w:webHidden/>
                <w:sz w:val="20"/>
                <w:szCs w:val="20"/>
              </w:rPr>
              <w:fldChar w:fldCharType="end"/>
            </w:r>
          </w:hyperlink>
        </w:p>
        <w:p w14:paraId="68FC289C" w14:textId="2D8E3651" w:rsidR="003754ED" w:rsidRPr="00766243"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07" w:history="1">
            <w:r w:rsidR="003754ED" w:rsidRPr="00766243">
              <w:rPr>
                <w:rStyle w:val="Hyperlink"/>
                <w:rFonts w:eastAsia="Calibri"/>
                <w:iCs/>
                <w:noProof/>
                <w:spacing w:val="15"/>
                <w:sz w:val="20"/>
                <w:szCs w:val="20"/>
                <w:lang w:eastAsia="en-GB"/>
              </w:rPr>
              <w:t>15.</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rFonts w:eastAsia="Calibri"/>
                <w:noProof/>
                <w:spacing w:val="15"/>
                <w:sz w:val="20"/>
                <w:szCs w:val="20"/>
              </w:rPr>
              <w:t>Grant Income</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_Toc167965807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51</w:t>
            </w:r>
            <w:r w:rsidR="003754ED" w:rsidRPr="00766243">
              <w:rPr>
                <w:noProof/>
                <w:webHidden/>
                <w:sz w:val="20"/>
                <w:szCs w:val="20"/>
              </w:rPr>
              <w:fldChar w:fldCharType="end"/>
            </w:r>
          </w:hyperlink>
        </w:p>
        <w:p w14:paraId="2CAECE80" w14:textId="348D1965" w:rsidR="003754ED" w:rsidRPr="00766243"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08" w:history="1">
            <w:r w:rsidR="003754ED" w:rsidRPr="00766243">
              <w:rPr>
                <w:rStyle w:val="Hyperlink"/>
                <w:rFonts w:eastAsia="Calibri"/>
                <w:iCs/>
                <w:noProof/>
                <w:sz w:val="20"/>
                <w:szCs w:val="20"/>
                <w:lang w:eastAsia="en-GB"/>
              </w:rPr>
              <w:t>16.</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rFonts w:eastAsia="Calibri"/>
                <w:noProof/>
                <w:sz w:val="20"/>
                <w:szCs w:val="20"/>
              </w:rPr>
              <w:t>Pension Reserve</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_Toc167965808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53</w:t>
            </w:r>
            <w:r w:rsidR="003754ED" w:rsidRPr="00766243">
              <w:rPr>
                <w:noProof/>
                <w:webHidden/>
                <w:sz w:val="20"/>
                <w:szCs w:val="20"/>
              </w:rPr>
              <w:fldChar w:fldCharType="end"/>
            </w:r>
          </w:hyperlink>
        </w:p>
        <w:p w14:paraId="4934D892" w14:textId="2EEBF75C" w:rsidR="003754ED" w:rsidRPr="005F3372"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09" w:history="1">
            <w:r w:rsidR="003754ED" w:rsidRPr="005F3372">
              <w:rPr>
                <w:rStyle w:val="Hyperlink"/>
                <w:rFonts w:eastAsia="Calibri"/>
                <w:iCs/>
                <w:noProof/>
                <w:sz w:val="20"/>
                <w:szCs w:val="20"/>
                <w:lang w:eastAsia="en-GB"/>
              </w:rPr>
              <w:t>17.</w:t>
            </w:r>
            <w:r w:rsidR="003754ED" w:rsidRPr="005F3372">
              <w:rPr>
                <w:rFonts w:asciiTheme="minorHAnsi" w:eastAsiaTheme="minorEastAsia" w:hAnsiTheme="minorHAnsi" w:cstheme="minorBidi"/>
                <w:noProof/>
                <w:kern w:val="2"/>
                <w:sz w:val="20"/>
                <w:szCs w:val="20"/>
                <w:lang w:eastAsia="en-GB"/>
                <w14:ligatures w14:val="standardContextual"/>
              </w:rPr>
              <w:tab/>
            </w:r>
            <w:r w:rsidR="003754ED" w:rsidRPr="005F3372">
              <w:rPr>
                <w:rStyle w:val="Hyperlink"/>
                <w:rFonts w:eastAsia="Calibri"/>
                <w:noProof/>
                <w:sz w:val="20"/>
                <w:szCs w:val="20"/>
              </w:rPr>
              <w:t>Defined Benefit Pension Schemes</w:t>
            </w:r>
            <w:r w:rsidR="003754ED" w:rsidRPr="005F3372">
              <w:rPr>
                <w:noProof/>
                <w:webHidden/>
                <w:sz w:val="20"/>
                <w:szCs w:val="20"/>
              </w:rPr>
              <w:tab/>
            </w:r>
            <w:r w:rsidR="003754ED" w:rsidRPr="005F3372">
              <w:rPr>
                <w:noProof/>
                <w:webHidden/>
                <w:sz w:val="20"/>
                <w:szCs w:val="20"/>
              </w:rPr>
              <w:fldChar w:fldCharType="begin"/>
            </w:r>
            <w:r w:rsidR="003754ED" w:rsidRPr="005F3372">
              <w:rPr>
                <w:noProof/>
                <w:webHidden/>
                <w:sz w:val="20"/>
                <w:szCs w:val="20"/>
              </w:rPr>
              <w:instrText xml:space="preserve"> PAGEREF _Toc167965809 \h </w:instrText>
            </w:r>
            <w:r w:rsidR="003754ED" w:rsidRPr="005F3372">
              <w:rPr>
                <w:noProof/>
                <w:webHidden/>
                <w:sz w:val="20"/>
                <w:szCs w:val="20"/>
              </w:rPr>
            </w:r>
            <w:r w:rsidR="003754ED" w:rsidRPr="005F3372">
              <w:rPr>
                <w:noProof/>
                <w:webHidden/>
                <w:sz w:val="20"/>
                <w:szCs w:val="20"/>
              </w:rPr>
              <w:fldChar w:fldCharType="separate"/>
            </w:r>
            <w:r w:rsidR="00FE5E6E">
              <w:rPr>
                <w:noProof/>
                <w:webHidden/>
                <w:sz w:val="20"/>
                <w:szCs w:val="20"/>
              </w:rPr>
              <w:t>55</w:t>
            </w:r>
            <w:r w:rsidR="003754ED" w:rsidRPr="005F3372">
              <w:rPr>
                <w:noProof/>
                <w:webHidden/>
                <w:sz w:val="20"/>
                <w:szCs w:val="20"/>
              </w:rPr>
              <w:fldChar w:fldCharType="end"/>
            </w:r>
          </w:hyperlink>
        </w:p>
        <w:p w14:paraId="0B652B3D" w14:textId="39B36EC2" w:rsidR="003754ED" w:rsidRPr="005F3372"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10" w:history="1">
            <w:r w:rsidR="003754ED" w:rsidRPr="005F3372">
              <w:rPr>
                <w:rStyle w:val="Hyperlink"/>
                <w:rFonts w:eastAsia="Calibri"/>
                <w:iCs/>
                <w:noProof/>
                <w:sz w:val="20"/>
                <w:szCs w:val="20"/>
                <w:lang w:eastAsia="en-GB"/>
              </w:rPr>
              <w:t>18.</w:t>
            </w:r>
            <w:r w:rsidR="003754ED" w:rsidRPr="005F3372">
              <w:rPr>
                <w:rFonts w:asciiTheme="minorHAnsi" w:eastAsiaTheme="minorEastAsia" w:hAnsiTheme="minorHAnsi" w:cstheme="minorBidi"/>
                <w:noProof/>
                <w:kern w:val="2"/>
                <w:sz w:val="20"/>
                <w:szCs w:val="20"/>
                <w:lang w:eastAsia="en-GB"/>
                <w14:ligatures w14:val="standardContextual"/>
              </w:rPr>
              <w:tab/>
            </w:r>
            <w:r w:rsidR="003754ED" w:rsidRPr="005F3372">
              <w:rPr>
                <w:rStyle w:val="Hyperlink"/>
                <w:rFonts w:eastAsia="Calibri"/>
                <w:noProof/>
                <w:sz w:val="20"/>
                <w:szCs w:val="20"/>
              </w:rPr>
              <w:t>Disclosure of External Audit Costs</w:t>
            </w:r>
            <w:r w:rsidR="003754ED" w:rsidRPr="005F3372">
              <w:rPr>
                <w:noProof/>
                <w:webHidden/>
                <w:sz w:val="20"/>
                <w:szCs w:val="20"/>
              </w:rPr>
              <w:tab/>
            </w:r>
            <w:r w:rsidR="003754ED" w:rsidRPr="005F3372">
              <w:rPr>
                <w:noProof/>
                <w:webHidden/>
                <w:sz w:val="20"/>
                <w:szCs w:val="20"/>
              </w:rPr>
              <w:fldChar w:fldCharType="begin"/>
            </w:r>
            <w:r w:rsidR="003754ED" w:rsidRPr="005F3372">
              <w:rPr>
                <w:noProof/>
                <w:webHidden/>
                <w:sz w:val="20"/>
                <w:szCs w:val="20"/>
              </w:rPr>
              <w:instrText xml:space="preserve"> PAGEREF _Toc167965810 \h </w:instrText>
            </w:r>
            <w:r w:rsidR="003754ED" w:rsidRPr="005F3372">
              <w:rPr>
                <w:noProof/>
                <w:webHidden/>
                <w:sz w:val="20"/>
                <w:szCs w:val="20"/>
              </w:rPr>
            </w:r>
            <w:r w:rsidR="003754ED" w:rsidRPr="005F3372">
              <w:rPr>
                <w:noProof/>
                <w:webHidden/>
                <w:sz w:val="20"/>
                <w:szCs w:val="20"/>
              </w:rPr>
              <w:fldChar w:fldCharType="separate"/>
            </w:r>
            <w:r w:rsidR="00FE5E6E">
              <w:rPr>
                <w:noProof/>
                <w:webHidden/>
                <w:sz w:val="20"/>
                <w:szCs w:val="20"/>
              </w:rPr>
              <w:t>61</w:t>
            </w:r>
            <w:r w:rsidR="003754ED" w:rsidRPr="005F3372">
              <w:rPr>
                <w:noProof/>
                <w:webHidden/>
                <w:sz w:val="20"/>
                <w:szCs w:val="20"/>
              </w:rPr>
              <w:fldChar w:fldCharType="end"/>
            </w:r>
          </w:hyperlink>
        </w:p>
        <w:p w14:paraId="4338809A" w14:textId="0B5904C1" w:rsidR="003754ED" w:rsidRPr="00766243"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11" w:history="1">
            <w:r w:rsidR="003754ED" w:rsidRPr="005F3372">
              <w:rPr>
                <w:rStyle w:val="Hyperlink"/>
                <w:rFonts w:eastAsia="Calibri"/>
                <w:iCs/>
                <w:noProof/>
                <w:spacing w:val="15"/>
                <w:sz w:val="20"/>
                <w:szCs w:val="20"/>
                <w:lang w:eastAsia="en-GB"/>
              </w:rPr>
              <w:t>19.</w:t>
            </w:r>
            <w:r w:rsidR="003754ED" w:rsidRPr="005F3372">
              <w:rPr>
                <w:rFonts w:asciiTheme="minorHAnsi" w:eastAsiaTheme="minorEastAsia" w:hAnsiTheme="minorHAnsi" w:cstheme="minorBidi"/>
                <w:noProof/>
                <w:kern w:val="2"/>
                <w:sz w:val="20"/>
                <w:szCs w:val="20"/>
                <w:lang w:eastAsia="en-GB"/>
                <w14:ligatures w14:val="standardContextual"/>
              </w:rPr>
              <w:tab/>
            </w:r>
            <w:r w:rsidR="003754ED" w:rsidRPr="005F3372">
              <w:rPr>
                <w:rStyle w:val="Hyperlink"/>
                <w:rFonts w:eastAsia="Calibri"/>
                <w:noProof/>
                <w:spacing w:val="15"/>
                <w:sz w:val="20"/>
                <w:szCs w:val="20"/>
              </w:rPr>
              <w:t>Property, Plant and Equipment</w:t>
            </w:r>
            <w:r w:rsidR="003754ED" w:rsidRPr="005F3372">
              <w:rPr>
                <w:noProof/>
                <w:webHidden/>
                <w:sz w:val="20"/>
                <w:szCs w:val="20"/>
              </w:rPr>
              <w:tab/>
            </w:r>
            <w:r w:rsidR="003754ED" w:rsidRPr="005F3372">
              <w:rPr>
                <w:noProof/>
                <w:webHidden/>
                <w:sz w:val="20"/>
                <w:szCs w:val="20"/>
              </w:rPr>
              <w:fldChar w:fldCharType="begin"/>
            </w:r>
            <w:r w:rsidR="003754ED" w:rsidRPr="005F3372">
              <w:rPr>
                <w:noProof/>
                <w:webHidden/>
                <w:sz w:val="20"/>
                <w:szCs w:val="20"/>
              </w:rPr>
              <w:instrText xml:space="preserve"> PAGEREF _Toc167965811 \h </w:instrText>
            </w:r>
            <w:r w:rsidR="003754ED" w:rsidRPr="005F3372">
              <w:rPr>
                <w:noProof/>
                <w:webHidden/>
                <w:sz w:val="20"/>
                <w:szCs w:val="20"/>
              </w:rPr>
            </w:r>
            <w:r w:rsidR="003754ED" w:rsidRPr="005F3372">
              <w:rPr>
                <w:noProof/>
                <w:webHidden/>
                <w:sz w:val="20"/>
                <w:szCs w:val="20"/>
              </w:rPr>
              <w:fldChar w:fldCharType="separate"/>
            </w:r>
            <w:r w:rsidR="00FE5E6E">
              <w:rPr>
                <w:noProof/>
                <w:webHidden/>
                <w:sz w:val="20"/>
                <w:szCs w:val="20"/>
              </w:rPr>
              <w:t>61</w:t>
            </w:r>
            <w:r w:rsidR="003754ED" w:rsidRPr="005F3372">
              <w:rPr>
                <w:noProof/>
                <w:webHidden/>
                <w:sz w:val="20"/>
                <w:szCs w:val="20"/>
              </w:rPr>
              <w:fldChar w:fldCharType="end"/>
            </w:r>
          </w:hyperlink>
        </w:p>
        <w:p w14:paraId="69AA6BAF" w14:textId="45F8FF67" w:rsidR="003754ED" w:rsidRPr="00766243"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12" w:history="1">
            <w:r w:rsidR="003754ED" w:rsidRPr="00766243">
              <w:rPr>
                <w:rStyle w:val="Hyperlink"/>
                <w:rFonts w:eastAsia="Calibri"/>
                <w:iCs/>
                <w:noProof/>
                <w:sz w:val="20"/>
                <w:szCs w:val="20"/>
                <w:lang w:eastAsia="en-GB"/>
              </w:rPr>
              <w:t>20.</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rFonts w:eastAsia="Calibri"/>
                <w:noProof/>
                <w:sz w:val="20"/>
                <w:szCs w:val="20"/>
              </w:rPr>
              <w:t>Bases of Valuation</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_Toc167965812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62</w:t>
            </w:r>
            <w:r w:rsidR="003754ED" w:rsidRPr="00766243">
              <w:rPr>
                <w:noProof/>
                <w:webHidden/>
                <w:sz w:val="20"/>
                <w:szCs w:val="20"/>
              </w:rPr>
              <w:fldChar w:fldCharType="end"/>
            </w:r>
          </w:hyperlink>
        </w:p>
        <w:p w14:paraId="49F20D50" w14:textId="2E9FDE82" w:rsidR="003754ED" w:rsidRPr="00766243"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13" w:history="1">
            <w:r w:rsidR="003754ED" w:rsidRPr="00766243">
              <w:rPr>
                <w:rStyle w:val="Hyperlink"/>
                <w:rFonts w:eastAsia="Calibri"/>
                <w:iCs/>
                <w:noProof/>
                <w:spacing w:val="15"/>
                <w:sz w:val="20"/>
                <w:szCs w:val="20"/>
                <w:lang w:eastAsia="en-GB"/>
              </w:rPr>
              <w:t>21.</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rFonts w:eastAsia="Calibri"/>
                <w:noProof/>
                <w:spacing w:val="15"/>
                <w:sz w:val="20"/>
                <w:szCs w:val="20"/>
              </w:rPr>
              <w:t>Capital Expenditure</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_Toc167965813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65</w:t>
            </w:r>
            <w:r w:rsidR="003754ED" w:rsidRPr="00766243">
              <w:rPr>
                <w:noProof/>
                <w:webHidden/>
                <w:sz w:val="20"/>
                <w:szCs w:val="20"/>
              </w:rPr>
              <w:fldChar w:fldCharType="end"/>
            </w:r>
          </w:hyperlink>
        </w:p>
        <w:p w14:paraId="65F58FC0" w14:textId="076186A5" w:rsidR="003754ED" w:rsidRPr="00766243"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14" w:history="1">
            <w:r w:rsidR="003754ED" w:rsidRPr="00766243">
              <w:rPr>
                <w:rStyle w:val="Hyperlink"/>
                <w:rFonts w:eastAsia="Calibri"/>
                <w:iCs/>
                <w:noProof/>
                <w:spacing w:val="15"/>
                <w:sz w:val="20"/>
                <w:szCs w:val="20"/>
                <w:lang w:eastAsia="en-GB"/>
              </w:rPr>
              <w:t>22.</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rFonts w:eastAsia="Calibri"/>
                <w:noProof/>
                <w:spacing w:val="15"/>
                <w:sz w:val="20"/>
                <w:szCs w:val="20"/>
              </w:rPr>
              <w:t>Investment Property</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_Toc167965814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66</w:t>
            </w:r>
            <w:r w:rsidR="003754ED" w:rsidRPr="00766243">
              <w:rPr>
                <w:noProof/>
                <w:webHidden/>
                <w:sz w:val="20"/>
                <w:szCs w:val="20"/>
              </w:rPr>
              <w:fldChar w:fldCharType="end"/>
            </w:r>
          </w:hyperlink>
        </w:p>
        <w:p w14:paraId="1898A2DA" w14:textId="4A6C74AA" w:rsidR="003754ED" w:rsidRPr="00766243"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15" w:history="1">
            <w:r w:rsidR="003754ED" w:rsidRPr="00766243">
              <w:rPr>
                <w:rStyle w:val="Hyperlink"/>
                <w:rFonts w:eastAsia="Calibri"/>
                <w:iCs/>
                <w:noProof/>
                <w:spacing w:val="15"/>
                <w:sz w:val="20"/>
                <w:szCs w:val="20"/>
                <w:lang w:eastAsia="en-GB"/>
              </w:rPr>
              <w:t>23.</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rFonts w:eastAsia="Calibri"/>
                <w:noProof/>
                <w:spacing w:val="15"/>
                <w:sz w:val="20"/>
                <w:szCs w:val="20"/>
              </w:rPr>
              <w:t>Leases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_Toc167965815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68</w:t>
            </w:r>
            <w:r w:rsidR="003754ED" w:rsidRPr="00766243">
              <w:rPr>
                <w:noProof/>
                <w:webHidden/>
                <w:sz w:val="20"/>
                <w:szCs w:val="20"/>
              </w:rPr>
              <w:fldChar w:fldCharType="end"/>
            </w:r>
          </w:hyperlink>
        </w:p>
        <w:p w14:paraId="32AC4077" w14:textId="367A6B41" w:rsidR="003754ED" w:rsidRPr="00766243"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16" w:history="1">
            <w:r w:rsidR="003754ED" w:rsidRPr="00766243">
              <w:rPr>
                <w:rStyle w:val="Hyperlink"/>
                <w:rFonts w:eastAsia="Calibri"/>
                <w:iCs/>
                <w:noProof/>
                <w:sz w:val="20"/>
                <w:szCs w:val="20"/>
                <w:lang w:eastAsia="en-GB"/>
              </w:rPr>
              <w:t>24.</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rFonts w:eastAsia="Calibri"/>
                <w:noProof/>
                <w:sz w:val="20"/>
                <w:szCs w:val="20"/>
              </w:rPr>
              <w:t>Contingent Liability</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_Toc167965816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69</w:t>
            </w:r>
            <w:r w:rsidR="003754ED" w:rsidRPr="00766243">
              <w:rPr>
                <w:noProof/>
                <w:webHidden/>
                <w:sz w:val="20"/>
                <w:szCs w:val="20"/>
              </w:rPr>
              <w:fldChar w:fldCharType="end"/>
            </w:r>
          </w:hyperlink>
        </w:p>
        <w:p w14:paraId="1531E2B6" w14:textId="4622711C" w:rsidR="003754ED" w:rsidRPr="00766243"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17" w:history="1">
            <w:r w:rsidR="003754ED" w:rsidRPr="00766243">
              <w:rPr>
                <w:rStyle w:val="Hyperlink"/>
                <w:rFonts w:eastAsia="Calibri"/>
                <w:iCs/>
                <w:noProof/>
                <w:sz w:val="20"/>
                <w:szCs w:val="20"/>
                <w:lang w:eastAsia="en-GB"/>
              </w:rPr>
              <w:t>25.</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rFonts w:eastAsia="Calibri"/>
                <w:noProof/>
                <w:sz w:val="20"/>
                <w:szCs w:val="20"/>
              </w:rPr>
              <w:t>Financial Instruments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_Toc167965817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69</w:t>
            </w:r>
            <w:r w:rsidR="003754ED" w:rsidRPr="00766243">
              <w:rPr>
                <w:noProof/>
                <w:webHidden/>
                <w:sz w:val="20"/>
                <w:szCs w:val="20"/>
              </w:rPr>
              <w:fldChar w:fldCharType="end"/>
            </w:r>
          </w:hyperlink>
        </w:p>
        <w:p w14:paraId="35D30C8D" w14:textId="45675ACC" w:rsidR="003754ED" w:rsidRPr="005F3372"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18" w:history="1">
            <w:r w:rsidR="003754ED" w:rsidRPr="005F3372">
              <w:rPr>
                <w:rStyle w:val="Hyperlink"/>
                <w:rFonts w:eastAsia="Calibri"/>
                <w:bCs/>
                <w:iCs/>
                <w:noProof/>
                <w:sz w:val="20"/>
                <w:szCs w:val="20"/>
                <w:lang w:eastAsia="en-GB"/>
              </w:rPr>
              <w:t>26.</w:t>
            </w:r>
            <w:r w:rsidR="003754ED" w:rsidRPr="005F3372">
              <w:rPr>
                <w:rFonts w:asciiTheme="minorHAnsi" w:eastAsiaTheme="minorEastAsia" w:hAnsiTheme="minorHAnsi" w:cstheme="minorBidi"/>
                <w:noProof/>
                <w:kern w:val="2"/>
                <w:sz w:val="20"/>
                <w:szCs w:val="20"/>
                <w:lang w:eastAsia="en-GB"/>
                <w14:ligatures w14:val="standardContextual"/>
              </w:rPr>
              <w:tab/>
            </w:r>
            <w:r w:rsidR="003754ED" w:rsidRPr="005F3372">
              <w:rPr>
                <w:rStyle w:val="Hyperlink"/>
                <w:rFonts w:eastAsia="Calibri"/>
                <w:noProof/>
                <w:sz w:val="20"/>
                <w:szCs w:val="20"/>
              </w:rPr>
              <w:t>Nature and extent of risks arising from Financial Instruments</w:t>
            </w:r>
            <w:r w:rsidR="003754ED" w:rsidRPr="005F3372">
              <w:rPr>
                <w:noProof/>
                <w:webHidden/>
                <w:sz w:val="20"/>
                <w:szCs w:val="20"/>
              </w:rPr>
              <w:tab/>
            </w:r>
            <w:r w:rsidR="003754ED" w:rsidRPr="005F3372">
              <w:rPr>
                <w:noProof/>
                <w:webHidden/>
                <w:sz w:val="20"/>
                <w:szCs w:val="20"/>
              </w:rPr>
              <w:fldChar w:fldCharType="begin"/>
            </w:r>
            <w:r w:rsidR="003754ED" w:rsidRPr="005F3372">
              <w:rPr>
                <w:noProof/>
                <w:webHidden/>
                <w:sz w:val="20"/>
                <w:szCs w:val="20"/>
              </w:rPr>
              <w:instrText xml:space="preserve"> PAGEREF _Toc167965818 \h </w:instrText>
            </w:r>
            <w:r w:rsidR="003754ED" w:rsidRPr="005F3372">
              <w:rPr>
                <w:noProof/>
                <w:webHidden/>
                <w:sz w:val="20"/>
                <w:szCs w:val="20"/>
              </w:rPr>
            </w:r>
            <w:r w:rsidR="003754ED" w:rsidRPr="005F3372">
              <w:rPr>
                <w:noProof/>
                <w:webHidden/>
                <w:sz w:val="20"/>
                <w:szCs w:val="20"/>
              </w:rPr>
              <w:fldChar w:fldCharType="separate"/>
            </w:r>
            <w:r w:rsidR="00FE5E6E">
              <w:rPr>
                <w:noProof/>
                <w:webHidden/>
                <w:sz w:val="20"/>
                <w:szCs w:val="20"/>
              </w:rPr>
              <w:t>70</w:t>
            </w:r>
            <w:r w:rsidR="003754ED" w:rsidRPr="005F3372">
              <w:rPr>
                <w:noProof/>
                <w:webHidden/>
                <w:sz w:val="20"/>
                <w:szCs w:val="20"/>
              </w:rPr>
              <w:fldChar w:fldCharType="end"/>
            </w:r>
          </w:hyperlink>
        </w:p>
        <w:p w14:paraId="7C954C0B" w14:textId="5C908F09" w:rsidR="003754ED" w:rsidRPr="005F3372"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19" w:history="1">
            <w:r w:rsidR="003754ED" w:rsidRPr="005F3372">
              <w:rPr>
                <w:rStyle w:val="Hyperlink"/>
                <w:rFonts w:eastAsia="Calibri"/>
                <w:iCs/>
                <w:noProof/>
                <w:spacing w:val="15"/>
                <w:sz w:val="20"/>
                <w:szCs w:val="20"/>
              </w:rPr>
              <w:t>27.</w:t>
            </w:r>
            <w:r w:rsidR="003754ED" w:rsidRPr="005F3372">
              <w:rPr>
                <w:rFonts w:asciiTheme="minorHAnsi" w:eastAsiaTheme="minorEastAsia" w:hAnsiTheme="minorHAnsi" w:cstheme="minorBidi"/>
                <w:noProof/>
                <w:kern w:val="2"/>
                <w:sz w:val="20"/>
                <w:szCs w:val="20"/>
                <w:lang w:eastAsia="en-GB"/>
                <w14:ligatures w14:val="standardContextual"/>
              </w:rPr>
              <w:tab/>
            </w:r>
            <w:r w:rsidR="003754ED" w:rsidRPr="005F3372">
              <w:rPr>
                <w:rStyle w:val="Hyperlink"/>
                <w:rFonts w:eastAsia="Calibri"/>
                <w:noProof/>
                <w:spacing w:val="15"/>
                <w:sz w:val="20"/>
                <w:szCs w:val="20"/>
              </w:rPr>
              <w:t>Cash and Cash Equivalents</w:t>
            </w:r>
            <w:r w:rsidR="003754ED" w:rsidRPr="005F3372">
              <w:rPr>
                <w:noProof/>
                <w:webHidden/>
                <w:sz w:val="20"/>
                <w:szCs w:val="20"/>
              </w:rPr>
              <w:tab/>
            </w:r>
            <w:r w:rsidR="003754ED" w:rsidRPr="005F3372">
              <w:rPr>
                <w:noProof/>
                <w:webHidden/>
                <w:sz w:val="20"/>
                <w:szCs w:val="20"/>
              </w:rPr>
              <w:fldChar w:fldCharType="begin"/>
            </w:r>
            <w:r w:rsidR="003754ED" w:rsidRPr="005F3372">
              <w:rPr>
                <w:noProof/>
                <w:webHidden/>
                <w:sz w:val="20"/>
                <w:szCs w:val="20"/>
              </w:rPr>
              <w:instrText xml:space="preserve"> PAGEREF _Toc167965819 \h </w:instrText>
            </w:r>
            <w:r w:rsidR="003754ED" w:rsidRPr="005F3372">
              <w:rPr>
                <w:noProof/>
                <w:webHidden/>
                <w:sz w:val="20"/>
                <w:szCs w:val="20"/>
              </w:rPr>
            </w:r>
            <w:r w:rsidR="003754ED" w:rsidRPr="005F3372">
              <w:rPr>
                <w:noProof/>
                <w:webHidden/>
                <w:sz w:val="20"/>
                <w:szCs w:val="20"/>
              </w:rPr>
              <w:fldChar w:fldCharType="separate"/>
            </w:r>
            <w:r w:rsidR="00FE5E6E">
              <w:rPr>
                <w:noProof/>
                <w:webHidden/>
                <w:sz w:val="20"/>
                <w:szCs w:val="20"/>
              </w:rPr>
              <w:t>72</w:t>
            </w:r>
            <w:r w:rsidR="003754ED" w:rsidRPr="005F3372">
              <w:rPr>
                <w:noProof/>
                <w:webHidden/>
                <w:sz w:val="20"/>
                <w:szCs w:val="20"/>
              </w:rPr>
              <w:fldChar w:fldCharType="end"/>
            </w:r>
          </w:hyperlink>
        </w:p>
        <w:p w14:paraId="06934580" w14:textId="24FB3988" w:rsidR="003754ED" w:rsidRPr="005F3372"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20" w:history="1">
            <w:r w:rsidR="003754ED" w:rsidRPr="005F3372">
              <w:rPr>
                <w:rStyle w:val="Hyperlink"/>
                <w:iCs/>
                <w:noProof/>
                <w:sz w:val="20"/>
                <w:szCs w:val="20"/>
              </w:rPr>
              <w:t>28.</w:t>
            </w:r>
            <w:r w:rsidR="003754ED" w:rsidRPr="005F3372">
              <w:rPr>
                <w:rFonts w:asciiTheme="minorHAnsi" w:eastAsiaTheme="minorEastAsia" w:hAnsiTheme="minorHAnsi" w:cstheme="minorBidi"/>
                <w:noProof/>
                <w:kern w:val="2"/>
                <w:sz w:val="20"/>
                <w:szCs w:val="20"/>
                <w:lang w:eastAsia="en-GB"/>
                <w14:ligatures w14:val="standardContextual"/>
              </w:rPr>
              <w:tab/>
            </w:r>
            <w:r w:rsidR="003754ED" w:rsidRPr="005F3372">
              <w:rPr>
                <w:rStyle w:val="Hyperlink"/>
                <w:rFonts w:eastAsia="Calibri"/>
                <w:noProof/>
                <w:spacing w:val="15"/>
                <w:sz w:val="20"/>
                <w:szCs w:val="20"/>
              </w:rPr>
              <w:t>Short Term Debtors and Prepayments</w:t>
            </w:r>
            <w:r w:rsidR="003754ED" w:rsidRPr="005F3372">
              <w:rPr>
                <w:noProof/>
                <w:webHidden/>
                <w:sz w:val="20"/>
                <w:szCs w:val="20"/>
              </w:rPr>
              <w:tab/>
            </w:r>
            <w:r w:rsidR="003754ED" w:rsidRPr="005F3372">
              <w:rPr>
                <w:noProof/>
                <w:webHidden/>
                <w:sz w:val="20"/>
                <w:szCs w:val="20"/>
              </w:rPr>
              <w:fldChar w:fldCharType="begin"/>
            </w:r>
            <w:r w:rsidR="003754ED" w:rsidRPr="005F3372">
              <w:rPr>
                <w:noProof/>
                <w:webHidden/>
                <w:sz w:val="20"/>
                <w:szCs w:val="20"/>
              </w:rPr>
              <w:instrText xml:space="preserve"> PAGEREF _Toc167965820 \h </w:instrText>
            </w:r>
            <w:r w:rsidR="003754ED" w:rsidRPr="005F3372">
              <w:rPr>
                <w:noProof/>
                <w:webHidden/>
                <w:sz w:val="20"/>
                <w:szCs w:val="20"/>
              </w:rPr>
            </w:r>
            <w:r w:rsidR="003754ED" w:rsidRPr="005F3372">
              <w:rPr>
                <w:noProof/>
                <w:webHidden/>
                <w:sz w:val="20"/>
                <w:szCs w:val="20"/>
              </w:rPr>
              <w:fldChar w:fldCharType="separate"/>
            </w:r>
            <w:r w:rsidR="00FE5E6E">
              <w:rPr>
                <w:noProof/>
                <w:webHidden/>
                <w:sz w:val="20"/>
                <w:szCs w:val="20"/>
              </w:rPr>
              <w:t>72</w:t>
            </w:r>
            <w:r w:rsidR="003754ED" w:rsidRPr="005F3372">
              <w:rPr>
                <w:noProof/>
                <w:webHidden/>
                <w:sz w:val="20"/>
                <w:szCs w:val="20"/>
              </w:rPr>
              <w:fldChar w:fldCharType="end"/>
            </w:r>
          </w:hyperlink>
        </w:p>
        <w:p w14:paraId="5ADDEA95" w14:textId="6D0EC044" w:rsidR="003754ED" w:rsidRPr="00766243"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21" w:history="1">
            <w:r w:rsidR="003754ED" w:rsidRPr="005F3372">
              <w:rPr>
                <w:rStyle w:val="Hyperlink"/>
                <w:iCs/>
                <w:noProof/>
                <w:sz w:val="20"/>
                <w:szCs w:val="20"/>
              </w:rPr>
              <w:t>29.</w:t>
            </w:r>
            <w:r w:rsidR="003754ED" w:rsidRPr="005F3372">
              <w:rPr>
                <w:rFonts w:asciiTheme="minorHAnsi" w:eastAsiaTheme="minorEastAsia" w:hAnsiTheme="minorHAnsi" w:cstheme="minorBidi"/>
                <w:noProof/>
                <w:kern w:val="2"/>
                <w:sz w:val="20"/>
                <w:szCs w:val="20"/>
                <w:lang w:eastAsia="en-GB"/>
                <w14:ligatures w14:val="standardContextual"/>
              </w:rPr>
              <w:tab/>
            </w:r>
            <w:r w:rsidR="003754ED" w:rsidRPr="005F3372">
              <w:rPr>
                <w:rStyle w:val="Hyperlink"/>
                <w:rFonts w:eastAsia="Calibri"/>
                <w:noProof/>
                <w:spacing w:val="15"/>
                <w:sz w:val="20"/>
                <w:szCs w:val="20"/>
              </w:rPr>
              <w:t>Short Term Creditors and Receipts in Advance</w:t>
            </w:r>
            <w:r w:rsidR="003754ED" w:rsidRPr="005F3372">
              <w:rPr>
                <w:noProof/>
                <w:webHidden/>
                <w:sz w:val="20"/>
                <w:szCs w:val="20"/>
              </w:rPr>
              <w:tab/>
            </w:r>
            <w:r w:rsidR="003754ED" w:rsidRPr="005F3372">
              <w:rPr>
                <w:noProof/>
                <w:webHidden/>
                <w:sz w:val="20"/>
                <w:szCs w:val="20"/>
              </w:rPr>
              <w:fldChar w:fldCharType="begin"/>
            </w:r>
            <w:r w:rsidR="003754ED" w:rsidRPr="005F3372">
              <w:rPr>
                <w:noProof/>
                <w:webHidden/>
                <w:sz w:val="20"/>
                <w:szCs w:val="20"/>
              </w:rPr>
              <w:instrText xml:space="preserve"> PAGEREF _Toc167965821 \h </w:instrText>
            </w:r>
            <w:r w:rsidR="003754ED" w:rsidRPr="005F3372">
              <w:rPr>
                <w:noProof/>
                <w:webHidden/>
                <w:sz w:val="20"/>
                <w:szCs w:val="20"/>
              </w:rPr>
            </w:r>
            <w:r w:rsidR="003754ED" w:rsidRPr="005F3372">
              <w:rPr>
                <w:noProof/>
                <w:webHidden/>
                <w:sz w:val="20"/>
                <w:szCs w:val="20"/>
              </w:rPr>
              <w:fldChar w:fldCharType="separate"/>
            </w:r>
            <w:r w:rsidR="00FE5E6E">
              <w:rPr>
                <w:noProof/>
                <w:webHidden/>
                <w:sz w:val="20"/>
                <w:szCs w:val="20"/>
              </w:rPr>
              <w:t>73</w:t>
            </w:r>
            <w:r w:rsidR="003754ED" w:rsidRPr="005F3372">
              <w:rPr>
                <w:noProof/>
                <w:webHidden/>
                <w:sz w:val="20"/>
                <w:szCs w:val="20"/>
              </w:rPr>
              <w:fldChar w:fldCharType="end"/>
            </w:r>
          </w:hyperlink>
        </w:p>
        <w:p w14:paraId="0E7D40FB" w14:textId="2478EF6A" w:rsidR="003754ED" w:rsidRPr="00766243" w:rsidRDefault="00115E31">
          <w:pPr>
            <w:pStyle w:val="TOC2"/>
            <w:tabs>
              <w:tab w:val="left" w:pos="920"/>
              <w:tab w:val="right" w:leader="dot" w:pos="9629"/>
            </w:tabs>
            <w:rPr>
              <w:rFonts w:asciiTheme="minorHAnsi" w:eastAsiaTheme="minorEastAsia" w:hAnsiTheme="minorHAnsi" w:cstheme="minorBidi"/>
              <w:noProof/>
              <w:kern w:val="2"/>
              <w:sz w:val="20"/>
              <w:szCs w:val="20"/>
              <w:lang w:eastAsia="en-GB"/>
              <w14:ligatures w14:val="standardContextual"/>
            </w:rPr>
          </w:pPr>
          <w:hyperlink w:anchor="_Toc167965822" w:history="1">
            <w:r w:rsidR="003754ED" w:rsidRPr="00766243">
              <w:rPr>
                <w:rStyle w:val="Hyperlink"/>
                <w:rFonts w:eastAsia="Calibri"/>
                <w:iCs/>
                <w:noProof/>
                <w:spacing w:val="15"/>
                <w:sz w:val="20"/>
                <w:szCs w:val="20"/>
                <w:lang w:eastAsia="en-GB"/>
              </w:rPr>
              <w:t>30.</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rFonts w:eastAsia="Calibri"/>
                <w:noProof/>
                <w:spacing w:val="15"/>
                <w:sz w:val="20"/>
                <w:szCs w:val="20"/>
              </w:rPr>
              <w:t>Nature and Purpose of General Fund Earmarked Reserves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_Toc167965822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73</w:t>
            </w:r>
            <w:r w:rsidR="003754ED" w:rsidRPr="00766243">
              <w:rPr>
                <w:noProof/>
                <w:webHidden/>
                <w:sz w:val="20"/>
                <w:szCs w:val="20"/>
              </w:rPr>
              <w:fldChar w:fldCharType="end"/>
            </w:r>
          </w:hyperlink>
        </w:p>
        <w:p w14:paraId="76329168" w14:textId="723B5922" w:rsidR="003754ED" w:rsidRDefault="00115E31">
          <w:pPr>
            <w:pStyle w:val="TOC2"/>
            <w:tabs>
              <w:tab w:val="left" w:pos="920"/>
              <w:tab w:val="right" w:leader="dot" w:pos="9629"/>
            </w:tabs>
            <w:rPr>
              <w:noProof/>
              <w:sz w:val="20"/>
              <w:szCs w:val="20"/>
            </w:rPr>
          </w:pPr>
          <w:hyperlink w:anchor="_Toc167965823" w:history="1">
            <w:r w:rsidR="003754ED" w:rsidRPr="00766243">
              <w:rPr>
                <w:rStyle w:val="Hyperlink"/>
                <w:iCs/>
                <w:noProof/>
                <w:sz w:val="20"/>
                <w:szCs w:val="20"/>
              </w:rPr>
              <w:t>31.</w:t>
            </w:r>
            <w:r w:rsidR="003754ED" w:rsidRPr="00766243">
              <w:rPr>
                <w:rFonts w:asciiTheme="minorHAnsi" w:eastAsiaTheme="minorEastAsia" w:hAnsiTheme="minorHAnsi" w:cstheme="minorBidi"/>
                <w:noProof/>
                <w:kern w:val="2"/>
                <w:sz w:val="20"/>
                <w:szCs w:val="20"/>
                <w:lang w:eastAsia="en-GB"/>
                <w14:ligatures w14:val="standardContextual"/>
              </w:rPr>
              <w:tab/>
            </w:r>
            <w:r w:rsidR="003754ED" w:rsidRPr="00766243">
              <w:rPr>
                <w:rStyle w:val="Hyperlink"/>
                <w:rFonts w:eastAsia="Calibri"/>
                <w:noProof/>
                <w:spacing w:val="15"/>
                <w:sz w:val="20"/>
                <w:szCs w:val="20"/>
              </w:rPr>
              <w:t>Summary of Movement on Usable Reserves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_Toc167965823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75</w:t>
            </w:r>
            <w:r w:rsidR="003754ED" w:rsidRPr="00766243">
              <w:rPr>
                <w:noProof/>
                <w:webHidden/>
                <w:sz w:val="20"/>
                <w:szCs w:val="20"/>
              </w:rPr>
              <w:fldChar w:fldCharType="end"/>
            </w:r>
          </w:hyperlink>
        </w:p>
        <w:p w14:paraId="31CD22D4" w14:textId="3641B834" w:rsidR="008F2124" w:rsidRPr="008F2124" w:rsidRDefault="008F2124" w:rsidP="008F2124">
          <w:pPr>
            <w:rPr>
              <w:rFonts w:eastAsiaTheme="minorEastAsia"/>
              <w:sz w:val="20"/>
              <w:szCs w:val="20"/>
            </w:rPr>
          </w:pPr>
          <w:r>
            <w:rPr>
              <w:rFonts w:eastAsiaTheme="minorEastAsia"/>
            </w:rPr>
            <w:t xml:space="preserve">    </w:t>
          </w:r>
          <w:r w:rsidRPr="008F2124">
            <w:rPr>
              <w:rFonts w:eastAsiaTheme="minorEastAsia"/>
              <w:sz w:val="20"/>
              <w:szCs w:val="20"/>
            </w:rPr>
            <w:t>32.</w:t>
          </w:r>
          <w:r w:rsidRPr="008F2124">
            <w:rPr>
              <w:rFonts w:eastAsiaTheme="minorEastAsia"/>
              <w:sz w:val="20"/>
              <w:szCs w:val="20"/>
            </w:rPr>
            <w:tab/>
            <w:t xml:space="preserve">    Prior year restatement</w:t>
          </w:r>
          <w:r>
            <w:rPr>
              <w:rFonts w:eastAsiaTheme="minorEastAsia"/>
              <w:sz w:val="20"/>
              <w:szCs w:val="20"/>
            </w:rPr>
            <w:t>…………………………………………………………………………………….76</w:t>
          </w:r>
        </w:p>
        <w:p w14:paraId="0D0133C7" w14:textId="08AC9119" w:rsidR="003754ED" w:rsidRPr="00766243" w:rsidRDefault="00115E31">
          <w:pPr>
            <w:pStyle w:val="TOC1"/>
            <w:tabs>
              <w:tab w:val="right" w:leader="dot" w:pos="9629"/>
            </w:tabs>
            <w:rPr>
              <w:rFonts w:asciiTheme="minorHAnsi" w:eastAsiaTheme="minorEastAsia" w:hAnsiTheme="minorHAnsi" w:cstheme="minorBidi"/>
              <w:b w:val="0"/>
              <w:noProof/>
              <w:kern w:val="2"/>
              <w:sz w:val="20"/>
              <w:szCs w:val="20"/>
              <w:lang w:eastAsia="en-GB"/>
              <w14:ligatures w14:val="standardContextual"/>
            </w:rPr>
          </w:pPr>
          <w:hyperlink w:anchor="_Toc167965824" w:history="1">
            <w:r w:rsidR="003754ED" w:rsidRPr="00766243">
              <w:rPr>
                <w:rStyle w:val="Hyperlink"/>
                <w:noProof/>
                <w:sz w:val="20"/>
                <w:szCs w:val="20"/>
              </w:rPr>
              <w:t>Annual Governance Statement 2023/24 Lake District National Park Authority.</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_Toc167965824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77</w:t>
            </w:r>
            <w:r w:rsidR="003754ED" w:rsidRPr="00766243">
              <w:rPr>
                <w:noProof/>
                <w:webHidden/>
                <w:sz w:val="20"/>
                <w:szCs w:val="20"/>
              </w:rPr>
              <w:fldChar w:fldCharType="end"/>
            </w:r>
          </w:hyperlink>
        </w:p>
        <w:p w14:paraId="022C097A" w14:textId="46B22133" w:rsidR="003754ED" w:rsidRPr="00766243" w:rsidRDefault="00115E31">
          <w:pPr>
            <w:pStyle w:val="TOC1"/>
            <w:tabs>
              <w:tab w:val="right" w:leader="dot" w:pos="9629"/>
            </w:tabs>
            <w:rPr>
              <w:rFonts w:asciiTheme="minorHAnsi" w:eastAsiaTheme="minorEastAsia" w:hAnsiTheme="minorHAnsi" w:cstheme="minorBidi"/>
              <w:b w:val="0"/>
              <w:noProof/>
              <w:kern w:val="2"/>
              <w:sz w:val="20"/>
              <w:szCs w:val="20"/>
              <w:lang w:eastAsia="en-GB"/>
              <w14:ligatures w14:val="standardContextual"/>
            </w:rPr>
          </w:pPr>
          <w:hyperlink w:anchor="_Toc167965825" w:history="1">
            <w:r w:rsidR="003754ED" w:rsidRPr="00766243">
              <w:rPr>
                <w:rStyle w:val="Hyperlink"/>
                <w:noProof/>
                <w:sz w:val="20"/>
                <w:szCs w:val="20"/>
              </w:rPr>
              <w:t>Glossary of Terms</w:t>
            </w:r>
            <w:r w:rsidR="003754ED" w:rsidRPr="00766243">
              <w:rPr>
                <w:noProof/>
                <w:webHidden/>
                <w:sz w:val="20"/>
                <w:szCs w:val="20"/>
              </w:rPr>
              <w:tab/>
            </w:r>
            <w:r w:rsidR="003754ED" w:rsidRPr="00766243">
              <w:rPr>
                <w:noProof/>
                <w:webHidden/>
                <w:sz w:val="20"/>
                <w:szCs w:val="20"/>
              </w:rPr>
              <w:fldChar w:fldCharType="begin"/>
            </w:r>
            <w:r w:rsidR="003754ED" w:rsidRPr="00766243">
              <w:rPr>
                <w:noProof/>
                <w:webHidden/>
                <w:sz w:val="20"/>
                <w:szCs w:val="20"/>
              </w:rPr>
              <w:instrText xml:space="preserve"> PAGEREF _Toc167965825 \h </w:instrText>
            </w:r>
            <w:r w:rsidR="003754ED" w:rsidRPr="00766243">
              <w:rPr>
                <w:noProof/>
                <w:webHidden/>
                <w:sz w:val="20"/>
                <w:szCs w:val="20"/>
              </w:rPr>
            </w:r>
            <w:r w:rsidR="003754ED" w:rsidRPr="00766243">
              <w:rPr>
                <w:noProof/>
                <w:webHidden/>
                <w:sz w:val="20"/>
                <w:szCs w:val="20"/>
              </w:rPr>
              <w:fldChar w:fldCharType="separate"/>
            </w:r>
            <w:r w:rsidR="00FE5E6E">
              <w:rPr>
                <w:noProof/>
                <w:webHidden/>
                <w:sz w:val="20"/>
                <w:szCs w:val="20"/>
              </w:rPr>
              <w:t>86</w:t>
            </w:r>
            <w:r w:rsidR="003754ED" w:rsidRPr="00766243">
              <w:rPr>
                <w:noProof/>
                <w:webHidden/>
                <w:sz w:val="20"/>
                <w:szCs w:val="20"/>
              </w:rPr>
              <w:fldChar w:fldCharType="end"/>
            </w:r>
          </w:hyperlink>
        </w:p>
        <w:p w14:paraId="6E608A4E" w14:textId="6E7438ED" w:rsidR="00DC13BD" w:rsidRDefault="00DC13BD">
          <w:r w:rsidRPr="00766243">
            <w:rPr>
              <w:b/>
              <w:bCs/>
              <w:noProof/>
              <w:sz w:val="20"/>
              <w:szCs w:val="20"/>
            </w:rPr>
            <w:fldChar w:fldCharType="end"/>
          </w:r>
        </w:p>
      </w:sdtContent>
    </w:sdt>
    <w:p w14:paraId="485A42B8" w14:textId="77777777" w:rsidR="008A14A3" w:rsidRPr="000C5A45" w:rsidRDefault="008A14A3" w:rsidP="00222819">
      <w:pPr>
        <w:ind w:right="-195"/>
      </w:pPr>
    </w:p>
    <w:p w14:paraId="485A42B9" w14:textId="77777777" w:rsidR="00AB48A2" w:rsidRPr="000C5A45" w:rsidRDefault="006B57E8" w:rsidP="00D34473">
      <w:pPr>
        <w:ind w:right="-195"/>
        <w:jc w:val="center"/>
        <w:sectPr w:rsidR="00AB48A2" w:rsidRPr="000C5A45" w:rsidSect="00397A5D">
          <w:footerReference w:type="first" r:id="rId9"/>
          <w:pgSz w:w="11906" w:h="16838" w:code="9"/>
          <w:pgMar w:top="1135" w:right="991" w:bottom="993" w:left="1276" w:header="709" w:footer="221" w:gutter="0"/>
          <w:paperSrc w:first="7" w:other="7"/>
          <w:pgNumType w:start="1"/>
          <w:cols w:space="708"/>
          <w:titlePg/>
          <w:docGrid w:linePitch="360"/>
        </w:sectPr>
      </w:pPr>
      <w:r w:rsidRPr="000C5A45">
        <w:tab/>
      </w:r>
    </w:p>
    <w:p w14:paraId="55469C64" w14:textId="2E6F6B65" w:rsidR="00DA6E9A" w:rsidRPr="00831D94" w:rsidRDefault="00DA6E9A" w:rsidP="00C01DC6">
      <w:pPr>
        <w:pStyle w:val="Heading1"/>
      </w:pPr>
      <w:bookmarkStart w:id="0" w:name="_Toc167965754"/>
      <w:bookmarkStart w:id="1" w:name="_Toc75750676"/>
      <w:bookmarkStart w:id="2" w:name="_Toc75750969"/>
      <w:bookmarkStart w:id="3" w:name="_Toc75751791"/>
      <w:bookmarkStart w:id="4" w:name="_Toc107817290"/>
      <w:r w:rsidRPr="00831D94">
        <w:lastRenderedPageBreak/>
        <w:t>N</w:t>
      </w:r>
      <w:r w:rsidR="009C5A0E">
        <w:t>arrative Report</w:t>
      </w:r>
      <w:bookmarkEnd w:id="0"/>
    </w:p>
    <w:p w14:paraId="10EA9EB8" w14:textId="32D593C4" w:rsidR="00DA6E9A" w:rsidRPr="00831D94" w:rsidRDefault="00DA6E9A" w:rsidP="00DA6E9A">
      <w:pPr>
        <w:pStyle w:val="HEADING"/>
        <w:jc w:val="center"/>
        <w:rPr>
          <w:szCs w:val="24"/>
        </w:rPr>
      </w:pPr>
      <w:r w:rsidRPr="00831D94">
        <w:rPr>
          <w:sz w:val="28"/>
          <w:szCs w:val="28"/>
        </w:rPr>
        <w:t xml:space="preserve"> </w:t>
      </w:r>
      <w:r w:rsidRPr="00831D94">
        <w:rPr>
          <w:szCs w:val="24"/>
        </w:rPr>
        <w:t>FOR THE PERIOD 1 APRIL 202</w:t>
      </w:r>
      <w:r w:rsidR="009C5A0E">
        <w:rPr>
          <w:szCs w:val="24"/>
        </w:rPr>
        <w:t>3</w:t>
      </w:r>
      <w:r w:rsidRPr="00831D94">
        <w:rPr>
          <w:szCs w:val="24"/>
        </w:rPr>
        <w:t xml:space="preserve"> TO 31 MARCH 202</w:t>
      </w:r>
      <w:r w:rsidR="009C5A0E">
        <w:rPr>
          <w:szCs w:val="24"/>
        </w:rPr>
        <w:t>4</w:t>
      </w:r>
    </w:p>
    <w:p w14:paraId="13D7AC06" w14:textId="77777777" w:rsidR="00DA6E9A" w:rsidRPr="00831D94" w:rsidRDefault="00DA6E9A" w:rsidP="00DA6E9A">
      <w:pPr>
        <w:jc w:val="center"/>
      </w:pPr>
    </w:p>
    <w:p w14:paraId="53EF17FA" w14:textId="77777777" w:rsidR="00DA6E9A" w:rsidRPr="007055C3" w:rsidRDefault="00DA6E9A" w:rsidP="000644FA">
      <w:pPr>
        <w:pStyle w:val="Heading2"/>
      </w:pPr>
      <w:bookmarkStart w:id="5" w:name="_Toc156816121"/>
      <w:bookmarkStart w:id="6" w:name="_Toc156820512"/>
      <w:bookmarkStart w:id="7" w:name="_Toc165295254"/>
      <w:bookmarkStart w:id="8" w:name="_Toc167965755"/>
      <w:r w:rsidRPr="007055C3">
        <w:t>Introduction</w:t>
      </w:r>
      <w:bookmarkEnd w:id="5"/>
      <w:bookmarkEnd w:id="6"/>
      <w:bookmarkEnd w:id="7"/>
      <w:bookmarkEnd w:id="8"/>
    </w:p>
    <w:p w14:paraId="1677BBB2" w14:textId="5ABF1F50" w:rsidR="00DA6E9A" w:rsidRPr="00831D94" w:rsidRDefault="00DA6E9A" w:rsidP="007055C3"/>
    <w:p w14:paraId="0A686865" w14:textId="4B5347E9" w:rsidR="00DA6E9A" w:rsidRPr="00831D94" w:rsidRDefault="00DA6E9A" w:rsidP="007055C3">
      <w:r w:rsidRPr="00831D94">
        <w:t xml:space="preserve">The Lake District National Park Authority </w:t>
      </w:r>
      <w:r w:rsidR="00446933">
        <w:t xml:space="preserve">(LDNPA) </w:t>
      </w:r>
      <w:r w:rsidRPr="00831D94">
        <w:t xml:space="preserve">is an independent local authority, forming part of the system of local government in the Lake District. It does some, but not all, of the work that is done by </w:t>
      </w:r>
      <w:r w:rsidR="007D7878">
        <w:t>the unitary authorities</w:t>
      </w:r>
      <w:r w:rsidRPr="00831D94">
        <w:t xml:space="preserve"> in other areas of the country. Other local authorities operating inside the Lake District National Park have an important role to play.</w:t>
      </w:r>
    </w:p>
    <w:p w14:paraId="62799E2A" w14:textId="77777777" w:rsidR="00DA6E9A" w:rsidRPr="00831D94" w:rsidRDefault="00DA6E9A" w:rsidP="007055C3"/>
    <w:p w14:paraId="6EB5A94A" w14:textId="77777777" w:rsidR="00DA6E9A" w:rsidRDefault="00DA6E9A" w:rsidP="007055C3">
      <w:r w:rsidRPr="00831D94">
        <w:t>The National Parks and Access to the Countryside Act 1949, subsequently amended by the Environment Act 1995, sets out key responsibilities through two statutory purposes for National Parks:</w:t>
      </w:r>
    </w:p>
    <w:p w14:paraId="665B5720" w14:textId="77777777" w:rsidR="00831D94" w:rsidRPr="00831D94" w:rsidRDefault="00831D94" w:rsidP="007055C3"/>
    <w:p w14:paraId="4A2C7BA3" w14:textId="77777777" w:rsidR="00DA6E9A" w:rsidRPr="00831D94" w:rsidRDefault="00DA6E9A" w:rsidP="007055C3">
      <w:r w:rsidRPr="00831D94">
        <w:t>To conserve and enhance the Parks’ natural beauty, wildlife and cultural heritage; and</w:t>
      </w:r>
    </w:p>
    <w:p w14:paraId="278FEA84" w14:textId="77777777" w:rsidR="00DA6E9A" w:rsidRPr="00831D94" w:rsidRDefault="00DA6E9A" w:rsidP="007055C3">
      <w:r w:rsidRPr="00831D94">
        <w:t>To promote opportunities for the understanding and enjoyment of the special qualities (of the Parks) by the public.</w:t>
      </w:r>
    </w:p>
    <w:p w14:paraId="57249CAC" w14:textId="77777777" w:rsidR="00DA6E9A" w:rsidRPr="00831D94" w:rsidRDefault="00DA6E9A" w:rsidP="007055C3"/>
    <w:p w14:paraId="31B2C2DE" w14:textId="5B4D859A" w:rsidR="005642DF" w:rsidRDefault="00DA6E9A" w:rsidP="007055C3">
      <w:r w:rsidRPr="00831D94">
        <w:t xml:space="preserve">The Authority’s services are delivered so as to contribute to the </w:t>
      </w:r>
      <w:r w:rsidR="001E6AFC">
        <w:t xml:space="preserve">2030 </w:t>
      </w:r>
      <w:r w:rsidRPr="00831D94">
        <w:t>Vision for the Lake District National Park. The Vision sets out the strategic aims of the Lake District National Park Partnership, which is comprised of many key stakeholders</w:t>
      </w:r>
      <w:r w:rsidR="001E6AFC">
        <w:t xml:space="preserve"> with an interest</w:t>
      </w:r>
      <w:r w:rsidRPr="00831D94">
        <w:t xml:space="preserve"> in the future of the Park. The Vision is</w:t>
      </w:r>
      <w:r w:rsidR="005642DF">
        <w:t>:</w:t>
      </w:r>
    </w:p>
    <w:p w14:paraId="3EB4E89B" w14:textId="77777777" w:rsidR="005642DF" w:rsidRDefault="005642DF" w:rsidP="007055C3"/>
    <w:p w14:paraId="4B9327D7" w14:textId="77777777" w:rsidR="00EE17EB" w:rsidRDefault="005642DF" w:rsidP="00EE17EB">
      <w:pPr>
        <w:ind w:left="567"/>
        <w:rPr>
          <w:i/>
          <w:iCs/>
        </w:rPr>
      </w:pPr>
      <w:r w:rsidRPr="001E6AFC">
        <w:rPr>
          <w:i/>
          <w:iCs/>
        </w:rPr>
        <w:t>“T</w:t>
      </w:r>
      <w:r w:rsidR="00DA6E9A" w:rsidRPr="001E6AFC">
        <w:rPr>
          <w:i/>
          <w:iCs/>
        </w:rPr>
        <w:t xml:space="preserve">he Lake District National Park will be an inspirational example of sustainable development in action. </w:t>
      </w:r>
      <w:r w:rsidRPr="001E6AFC">
        <w:rPr>
          <w:i/>
          <w:iCs/>
        </w:rPr>
        <w:t>A</w:t>
      </w:r>
      <w:r w:rsidR="00DA6E9A" w:rsidRPr="001E6AFC">
        <w:rPr>
          <w:i/>
          <w:iCs/>
        </w:rPr>
        <w:t xml:space="preserve"> place where </w:t>
      </w:r>
      <w:r w:rsidR="001E6AFC" w:rsidRPr="001E6AFC">
        <w:rPr>
          <w:i/>
          <w:iCs/>
        </w:rPr>
        <w:t>a</w:t>
      </w:r>
      <w:r w:rsidR="00DA6E9A" w:rsidRPr="001E6AFC">
        <w:rPr>
          <w:i/>
          <w:iCs/>
        </w:rPr>
        <w:t xml:space="preserve"> prosperous economy, world class visitor experiences and vibrant communities come together to sustain the spectacular landscape, its wildlife and cultural heritage.  Local people, visitors, and the many organisations working in the National Park, or have a contribution to make to it, </w:t>
      </w:r>
    </w:p>
    <w:p w14:paraId="329B60B4" w14:textId="3FAF8521" w:rsidR="00DA6E9A" w:rsidRPr="001E6AFC" w:rsidRDefault="00DA6E9A" w:rsidP="00EE17EB">
      <w:pPr>
        <w:ind w:left="567"/>
        <w:rPr>
          <w:i/>
          <w:iCs/>
        </w:rPr>
      </w:pPr>
      <w:r w:rsidRPr="001E6AFC">
        <w:rPr>
          <w:i/>
          <w:iCs/>
        </w:rPr>
        <w:t>must be united in achieving this</w:t>
      </w:r>
      <w:r w:rsidR="00446933" w:rsidRPr="001E6AFC">
        <w:rPr>
          <w:i/>
          <w:iCs/>
        </w:rPr>
        <w:t>.</w:t>
      </w:r>
      <w:r w:rsidR="001E6AFC" w:rsidRPr="001E6AFC">
        <w:rPr>
          <w:i/>
          <w:iCs/>
        </w:rPr>
        <w:t>”</w:t>
      </w:r>
    </w:p>
    <w:p w14:paraId="0DD9BAA7" w14:textId="77777777" w:rsidR="00DA6E9A" w:rsidRPr="00831D94" w:rsidRDefault="00DA6E9A" w:rsidP="007055C3"/>
    <w:p w14:paraId="74DA434D" w14:textId="0FBF56ED" w:rsidR="00DA6E9A" w:rsidRPr="00831D94" w:rsidRDefault="00DA6E9A" w:rsidP="007055C3">
      <w:r w:rsidRPr="00831D94">
        <w:t>The Partnership’s near-term objectives are set out in the Partnership’s Plan. The plan will ensure that the Lake District’s World Heritage Site Status is protected and that we remain on track to achieving our 2030 Vision of the Lake District. A refreshed Partnership Plan was adopted on 20</w:t>
      </w:r>
      <w:r w:rsidRPr="00831D94">
        <w:rPr>
          <w:vertAlign w:val="superscript"/>
        </w:rPr>
        <w:t>th</w:t>
      </w:r>
      <w:r w:rsidRPr="00831D94">
        <w:t xml:space="preserve"> October 2021</w:t>
      </w:r>
      <w:r w:rsidR="00EB7BBC">
        <w:t xml:space="preserve"> and work on the ne</w:t>
      </w:r>
      <w:r w:rsidR="005642DF">
        <w:t>xt full iteration of the</w:t>
      </w:r>
      <w:r w:rsidR="00EB7BBC">
        <w:t xml:space="preserve"> plan is due to commence over the next 12 months.</w:t>
      </w:r>
    </w:p>
    <w:p w14:paraId="7454C85F" w14:textId="77777777" w:rsidR="00DA6E9A" w:rsidRPr="004D5CA8" w:rsidRDefault="00DA6E9A" w:rsidP="007055C3">
      <w:pPr>
        <w:rPr>
          <w:highlight w:val="yellow"/>
        </w:rPr>
      </w:pPr>
    </w:p>
    <w:p w14:paraId="7397D7D3" w14:textId="3E8B656E" w:rsidR="00DA6E9A" w:rsidRPr="00831D94" w:rsidRDefault="00DA6E9A" w:rsidP="007055C3">
      <w:r w:rsidRPr="00831D94">
        <w:t>The Authority’s strong working relationships with all member organisations within the Partnership are essential to its success in effective service delivery, working together to combine expertise and skill sets in the most effective ways. This model of operation allows the Authority to add significant value to the delivery of the Partnership’s Plan</w:t>
      </w:r>
      <w:r w:rsidR="005642DF">
        <w:t>.</w:t>
      </w:r>
      <w:r w:rsidR="001E6AFC">
        <w:t xml:space="preserve"> The Partnership Plan also acts as the statutory Management Plan for the Lake District.</w:t>
      </w:r>
    </w:p>
    <w:p w14:paraId="233FA879" w14:textId="77777777" w:rsidR="00DA6E9A" w:rsidRPr="004D5CA8" w:rsidRDefault="00DA6E9A" w:rsidP="007055C3">
      <w:pPr>
        <w:rPr>
          <w:highlight w:val="yellow"/>
        </w:rPr>
      </w:pPr>
    </w:p>
    <w:p w14:paraId="229DFD14" w14:textId="38405058" w:rsidR="001E6AFC" w:rsidRDefault="00DA6E9A" w:rsidP="007055C3">
      <w:r w:rsidRPr="00831D94">
        <w:t xml:space="preserve">The Authority’s responsibilities within the Partnership’s Plan are formalised in, and monitored </w:t>
      </w:r>
      <w:r w:rsidR="001E6AFC">
        <w:t>through,</w:t>
      </w:r>
      <w:r w:rsidRPr="00831D94">
        <w:t xml:space="preserve"> the Authority’s Business Plan</w:t>
      </w:r>
      <w:r w:rsidR="001E6AFC">
        <w:t>. This</w:t>
      </w:r>
      <w:r w:rsidRPr="00831D94">
        <w:t xml:space="preserve"> sets out actions and milestones relating to our contribution to priority areas</w:t>
      </w:r>
      <w:r w:rsidR="005642DF">
        <w:t xml:space="preserve">. </w:t>
      </w:r>
      <w:r w:rsidR="001E6AFC">
        <w:t xml:space="preserve"> The Business Plan also sets out the Authority’s values and behaviours which form a key reference point </w:t>
      </w:r>
      <w:r w:rsidR="00EE17EB">
        <w:t>for</w:t>
      </w:r>
      <w:r w:rsidR="001E6AFC">
        <w:t xml:space="preserve"> our organisational culture and ethics. These are summarised below:</w:t>
      </w:r>
    </w:p>
    <w:p w14:paraId="5B1782EF" w14:textId="77777777" w:rsidR="001E6AFC" w:rsidRDefault="001E6AFC" w:rsidP="007055C3"/>
    <w:p w14:paraId="07A7B700" w14:textId="34D45ACE" w:rsidR="001E6AFC" w:rsidRDefault="001E6AFC" w:rsidP="007055C3">
      <w:r w:rsidRPr="001E6AFC">
        <w:rPr>
          <w:noProof/>
        </w:rPr>
        <w:lastRenderedPageBreak/>
        <w:drawing>
          <wp:inline distT="0" distB="0" distL="0" distR="0" wp14:anchorId="51AC552B" wp14:editId="22D18E09">
            <wp:extent cx="6120765" cy="4735830"/>
            <wp:effectExtent l="0" t="0" r="0" b="7620"/>
            <wp:docPr id="1499241456"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241456" name="Picture 1" descr="A close-up of a text&#10;&#10;Description automatically generated"/>
                    <pic:cNvPicPr/>
                  </pic:nvPicPr>
                  <pic:blipFill>
                    <a:blip r:embed="rId10"/>
                    <a:stretch>
                      <a:fillRect/>
                    </a:stretch>
                  </pic:blipFill>
                  <pic:spPr>
                    <a:xfrm>
                      <a:off x="0" y="0"/>
                      <a:ext cx="6120765" cy="4735830"/>
                    </a:xfrm>
                    <a:prstGeom prst="rect">
                      <a:avLst/>
                    </a:prstGeom>
                  </pic:spPr>
                </pic:pic>
              </a:graphicData>
            </a:graphic>
          </wp:inline>
        </w:drawing>
      </w:r>
    </w:p>
    <w:p w14:paraId="306DE09B" w14:textId="2F5DAFB9" w:rsidR="001E6AFC" w:rsidRDefault="001E6AFC" w:rsidP="007055C3">
      <w:r>
        <w:t>(source: 2024/27 Business Plan)</w:t>
      </w:r>
    </w:p>
    <w:p w14:paraId="1238BC1E" w14:textId="77777777" w:rsidR="001E6AFC" w:rsidRDefault="001E6AFC" w:rsidP="007055C3"/>
    <w:p w14:paraId="42990FE2" w14:textId="0780E2D2" w:rsidR="000F5BFC" w:rsidRDefault="00DA6E9A" w:rsidP="000F5BFC">
      <w:r w:rsidRPr="00831D94">
        <w:t>Our financial planning is set out in our Medium Term Financial Strategy</w:t>
      </w:r>
      <w:r w:rsidR="000F5BFC">
        <w:t xml:space="preserve"> (MTFS)</w:t>
      </w:r>
      <w:r w:rsidRPr="00831D94">
        <w:t>. The strategy formalises the Authority’s key revenue and capital principles in relation to the management of its finances, given the prevailing financial environment. It sets out projections for future years’ budgets over a f</w:t>
      </w:r>
      <w:r w:rsidR="00446933">
        <w:t>ive</w:t>
      </w:r>
      <w:r w:rsidRPr="00831D94">
        <w:t xml:space="preserve"> year period to inform understanding of the likely availability of financial resources, which will be used in the provision of services. </w:t>
      </w:r>
    </w:p>
    <w:p w14:paraId="62DE7063" w14:textId="77777777" w:rsidR="000F5BFC" w:rsidRDefault="000F5BFC" w:rsidP="000F5BFC"/>
    <w:p w14:paraId="641433DC" w14:textId="01BE1B7E" w:rsidR="000F5BFC" w:rsidRPr="00831D94" w:rsidRDefault="000F5BFC" w:rsidP="000F5BFC">
      <w:r w:rsidRPr="00831D94">
        <w:t>The</w:t>
      </w:r>
      <w:r>
        <w:t xml:space="preserve"> full</w:t>
      </w:r>
      <w:r w:rsidRPr="00831D94">
        <w:t xml:space="preserve"> </w:t>
      </w:r>
      <w:r>
        <w:t xml:space="preserve">MTFS, Business Plan and Park Partnership Plan </w:t>
      </w:r>
      <w:r w:rsidRPr="00831D94">
        <w:t xml:space="preserve">documents can be found on the Authority’s website. </w:t>
      </w:r>
    </w:p>
    <w:p w14:paraId="6DB30CFD" w14:textId="77777777" w:rsidR="00DA6E9A" w:rsidRPr="004D5CA8" w:rsidRDefault="00DA6E9A" w:rsidP="007055C3">
      <w:pPr>
        <w:rPr>
          <w:highlight w:val="yellow"/>
        </w:rPr>
      </w:pPr>
    </w:p>
    <w:p w14:paraId="0BA94F7D" w14:textId="77777777" w:rsidR="00762FE5" w:rsidRDefault="00DA6E9A" w:rsidP="007055C3">
      <w:r w:rsidRPr="00831D94">
        <w:t xml:space="preserve">One of the Authority’s key responsibilities to its communities is to act as the Planning Authority for the geographical area of the National Park. Other principal services include work in areas such as conservation, recreation management and transport, promoting understanding, rangers and volunteers, and forward planning and communities. </w:t>
      </w:r>
    </w:p>
    <w:p w14:paraId="4BF40F60" w14:textId="77777777" w:rsidR="00DA6E9A" w:rsidRPr="004D5CA8" w:rsidRDefault="00DA6E9A" w:rsidP="007055C3">
      <w:pPr>
        <w:rPr>
          <w:highlight w:val="yellow"/>
        </w:rPr>
      </w:pPr>
    </w:p>
    <w:p w14:paraId="7A667E9A" w14:textId="44AB973E" w:rsidR="00257698" w:rsidRPr="004D5CA8" w:rsidRDefault="00257698" w:rsidP="007055C3">
      <w:pPr>
        <w:rPr>
          <w:highlight w:val="yellow"/>
        </w:rPr>
      </w:pPr>
    </w:p>
    <w:p w14:paraId="7EA99955" w14:textId="2FD94A8B" w:rsidR="00257698" w:rsidRPr="00E3732C" w:rsidRDefault="00257698" w:rsidP="000644FA">
      <w:pPr>
        <w:pStyle w:val="Heading3"/>
      </w:pPr>
      <w:bookmarkStart w:id="9" w:name="_Toc156816122"/>
      <w:bookmarkStart w:id="10" w:name="_Toc156820513"/>
      <w:bookmarkStart w:id="11" w:name="_Toc165295255"/>
      <w:bookmarkStart w:id="12" w:name="_Toc167965756"/>
      <w:r w:rsidRPr="00E3732C">
        <w:t>Significant Matters Reported in the 202</w:t>
      </w:r>
      <w:r w:rsidR="00EE17EB">
        <w:t>3</w:t>
      </w:r>
      <w:r w:rsidRPr="00E3732C">
        <w:t>/2</w:t>
      </w:r>
      <w:r w:rsidR="00EE17EB">
        <w:t>4</w:t>
      </w:r>
      <w:r w:rsidRPr="00E3732C">
        <w:t xml:space="preserve"> Accounts</w:t>
      </w:r>
      <w:bookmarkEnd w:id="9"/>
      <w:bookmarkEnd w:id="10"/>
      <w:bookmarkEnd w:id="11"/>
      <w:bookmarkEnd w:id="12"/>
    </w:p>
    <w:p w14:paraId="4B6C487D" w14:textId="77777777" w:rsidR="00257698" w:rsidRPr="007D0045" w:rsidRDefault="00257698" w:rsidP="007055C3"/>
    <w:p w14:paraId="1727FE69" w14:textId="2D2EAD96" w:rsidR="00762FE5" w:rsidRPr="00831D94" w:rsidRDefault="00762FE5" w:rsidP="007055C3">
      <w:r w:rsidRPr="00831D94">
        <w:t>The aim of our Statement of Accounts is to demonstrate the overall financial performance and position of the Authority at the end of the 202</w:t>
      </w:r>
      <w:r w:rsidR="00EE17EB">
        <w:t>3</w:t>
      </w:r>
      <w:r w:rsidRPr="00831D94">
        <w:t>/2</w:t>
      </w:r>
      <w:r w:rsidR="00EE17EB">
        <w:t>4</w:t>
      </w:r>
      <w:r w:rsidRPr="00831D94">
        <w:t xml:space="preserve"> financial year. The Authority’s accounts for the year ending 31 March 202</w:t>
      </w:r>
      <w:r w:rsidR="00EE17EB">
        <w:t>4</w:t>
      </w:r>
      <w:r w:rsidRPr="00831D94">
        <w:t xml:space="preserve"> are presented in the format laid down in the Code of Practice on Local Authority Accounting in the United Kingdom 202</w:t>
      </w:r>
      <w:r w:rsidR="00EE17EB">
        <w:t>3</w:t>
      </w:r>
      <w:r w:rsidRPr="00831D94">
        <w:t>/2</w:t>
      </w:r>
      <w:r w:rsidR="00EE17EB">
        <w:t>4</w:t>
      </w:r>
      <w:r w:rsidRPr="00831D94">
        <w:t xml:space="preserve"> (the Code). This format incorporates the requirements of International Financial Reporting Standards (IFRS) wherever this is possible.</w:t>
      </w:r>
    </w:p>
    <w:p w14:paraId="050475CD" w14:textId="77777777" w:rsidR="00762FE5" w:rsidRDefault="00762FE5" w:rsidP="007055C3"/>
    <w:p w14:paraId="55903260" w14:textId="73B0E31C" w:rsidR="00630433" w:rsidRDefault="00762FE5" w:rsidP="007055C3">
      <w:bookmarkStart w:id="13" w:name="_Hlk151453094"/>
      <w:r>
        <w:lastRenderedPageBreak/>
        <w:t>The external financial and economic environment has</w:t>
      </w:r>
      <w:r w:rsidR="00EE17EB">
        <w:t xml:space="preserve"> continued to</w:t>
      </w:r>
      <w:r>
        <w:t xml:space="preserve"> pose a number of challenges to the </w:t>
      </w:r>
      <w:r w:rsidR="00E04AF4">
        <w:t>A</w:t>
      </w:r>
      <w:r>
        <w:t>uthority</w:t>
      </w:r>
      <w:r w:rsidR="006B0A98">
        <w:t>, both direct and indirect</w:t>
      </w:r>
      <w:r>
        <w:t>.</w:t>
      </w:r>
      <w:r w:rsidR="00EE17EB">
        <w:t xml:space="preserve"> There has been a continued impact of</w:t>
      </w:r>
      <w:r>
        <w:t xml:space="preserve"> </w:t>
      </w:r>
      <w:r w:rsidR="000F5BFC">
        <w:t xml:space="preserve">the </w:t>
      </w:r>
      <w:r w:rsidR="006B0A98">
        <w:t>steep</w:t>
      </w:r>
      <w:r w:rsidR="00EE17EB">
        <w:t xml:space="preserve"> </w:t>
      </w:r>
      <w:r w:rsidR="006B0A98">
        <w:t>price rises</w:t>
      </w:r>
      <w:r w:rsidR="00EE17EB">
        <w:t xml:space="preserve"> experienced since the pandemic. This </w:t>
      </w:r>
      <w:r>
        <w:t>has</w:t>
      </w:r>
      <w:r w:rsidR="00333297">
        <w:t xml:space="preserve"> </w:t>
      </w:r>
      <w:r>
        <w:t>increas</w:t>
      </w:r>
      <w:r w:rsidR="00333297">
        <w:t>ed</w:t>
      </w:r>
      <w:r>
        <w:t xml:space="preserve"> </w:t>
      </w:r>
      <w:r w:rsidR="00463F58">
        <w:t xml:space="preserve">the Authority’s </w:t>
      </w:r>
      <w:r>
        <w:t xml:space="preserve">underlying running costs, with particular pressures around fuel and wages. </w:t>
      </w:r>
      <w:r w:rsidR="00333297">
        <w:t>At the same time, the general public have been experiencing increases to the</w:t>
      </w:r>
      <w:r w:rsidR="006B0A98">
        <w:t>ir</w:t>
      </w:r>
      <w:r w:rsidR="00333297">
        <w:t xml:space="preserve"> cost of living</w:t>
      </w:r>
      <w:r w:rsidR="000F5BFC">
        <w:t>,</w:t>
      </w:r>
      <w:r w:rsidR="006B0A98">
        <w:t xml:space="preserve"> which indirectly</w:t>
      </w:r>
      <w:r w:rsidR="00333297">
        <w:t xml:space="preserve"> </w:t>
      </w:r>
      <w:r w:rsidR="000F5BFC">
        <w:t>impacts</w:t>
      </w:r>
      <w:r w:rsidR="006B0A98">
        <w:t xml:space="preserve"> the Authority’s ability to increase income from sale of</w:t>
      </w:r>
      <w:r w:rsidR="007D7878">
        <w:t xml:space="preserve"> its</w:t>
      </w:r>
      <w:r w:rsidR="006B0A98">
        <w:t xml:space="preserve"> goods and services.</w:t>
      </w:r>
      <w:r w:rsidR="00333297">
        <w:t xml:space="preserve"> </w:t>
      </w:r>
      <w:r w:rsidR="006B0A98">
        <w:t>This, along with poor weather over the main summer season led to a challenging year for Visitor Services, with the trading reserve being fully depleted</w:t>
      </w:r>
      <w:r w:rsidR="000F5BFC">
        <w:t>,</w:t>
      </w:r>
      <w:r w:rsidR="006B0A98">
        <w:t xml:space="preserve"> based on normal trading. </w:t>
      </w:r>
      <w:r w:rsidR="00630433">
        <w:t xml:space="preserve">This was </w:t>
      </w:r>
      <w:r w:rsidR="000F5BFC">
        <w:t>flagged through</w:t>
      </w:r>
      <w:r w:rsidR="00630433">
        <w:t xml:space="preserve"> in</w:t>
      </w:r>
      <w:r w:rsidR="000F5BFC">
        <w:t>-</w:t>
      </w:r>
      <w:r w:rsidR="00630433">
        <w:t>year monitoring</w:t>
      </w:r>
      <w:r w:rsidR="000F5BFC">
        <w:t>,</w:t>
      </w:r>
      <w:r w:rsidR="00630433">
        <w:t xml:space="preserve"> allowing time for significant changes to be made to the structures and operating models within the Service, and for this to be reflected in the approved 2024/25 budgets and MTFS.</w:t>
      </w:r>
    </w:p>
    <w:p w14:paraId="755D423E" w14:textId="77777777" w:rsidR="00630433" w:rsidRDefault="00630433" w:rsidP="007055C3"/>
    <w:p w14:paraId="1BCB55E8" w14:textId="5298AB07" w:rsidR="006B0A98" w:rsidRDefault="00B30100" w:rsidP="007055C3">
      <w:r>
        <w:t xml:space="preserve">Fortunately, the Authority </w:t>
      </w:r>
      <w:r w:rsidR="00630433">
        <w:t>was successful in</w:t>
      </w:r>
      <w:r>
        <w:t xml:space="preserve"> </w:t>
      </w:r>
      <w:r w:rsidR="006B0A98">
        <w:t>a back dated VAT claim</w:t>
      </w:r>
      <w:r>
        <w:t xml:space="preserve"> </w:t>
      </w:r>
      <w:r w:rsidR="00630433">
        <w:t xml:space="preserve">on certain sports and leisure activities, </w:t>
      </w:r>
      <w:r>
        <w:t>resulting in a refund of c£500k being confirmed by HMRC in March. This</w:t>
      </w:r>
      <w:r w:rsidR="0035333C">
        <w:t xml:space="preserve"> windfall</w:t>
      </w:r>
      <w:r w:rsidR="00630433">
        <w:t xml:space="preserve"> has</w:t>
      </w:r>
      <w:r>
        <w:t xml:space="preserve"> allowed the trading reserve to be reinstated to its target balance</w:t>
      </w:r>
      <w:r w:rsidR="00630433">
        <w:t xml:space="preserve">. </w:t>
      </w:r>
    </w:p>
    <w:bookmarkEnd w:id="13"/>
    <w:p w14:paraId="0C9B690A" w14:textId="77777777" w:rsidR="00762FE5" w:rsidRDefault="00762FE5" w:rsidP="007055C3"/>
    <w:p w14:paraId="41196BE4" w14:textId="1549456F" w:rsidR="00762FE5" w:rsidRDefault="00762FE5" w:rsidP="007055C3">
      <w:r w:rsidRPr="00831D94">
        <w:t>The Department of Environment, Food and Rural Affairs (Defra) sets the level of Government funding for the National Park Authority on an annual basis through National Park Grant. For 202</w:t>
      </w:r>
      <w:r w:rsidR="000F5BFC">
        <w:t>3</w:t>
      </w:r>
      <w:r w:rsidRPr="00831D94">
        <w:t>/2</w:t>
      </w:r>
      <w:r w:rsidR="000F5BFC">
        <w:t>4</w:t>
      </w:r>
      <w:r w:rsidRPr="00831D94">
        <w:t xml:space="preserve">, the level of core funding allocated by Defra resulted in a flat-cash settlement at the same level as funding received in </w:t>
      </w:r>
      <w:r w:rsidR="00516F4C">
        <w:t xml:space="preserve">each year since </w:t>
      </w:r>
      <w:r w:rsidRPr="00831D94">
        <w:t>2019/20 at £5,590k.</w:t>
      </w:r>
      <w:r w:rsidR="000F5BFC">
        <w:t xml:space="preserve"> During 2022/23</w:t>
      </w:r>
      <w:r w:rsidRPr="00831D94">
        <w:t xml:space="preserve"> </w:t>
      </w:r>
      <w:r w:rsidR="000F5BFC">
        <w:t>t</w:t>
      </w:r>
      <w:r w:rsidRPr="00831D94">
        <w:t>he Authority also received a top up of £440k in year</w:t>
      </w:r>
      <w:r w:rsidR="000F5BFC">
        <w:t>, this was not repeated</w:t>
      </w:r>
      <w:r w:rsidR="000C3BC8">
        <w:t xml:space="preserve"> </w:t>
      </w:r>
      <w:r w:rsidR="000F5BFC">
        <w:t>so the level of grant for 23/24 actually fell compared to the prior year, with no compensating deflation in prices</w:t>
      </w:r>
      <w:r>
        <w:t xml:space="preserve">. </w:t>
      </w:r>
    </w:p>
    <w:p w14:paraId="074CD9B5" w14:textId="77777777" w:rsidR="00762FE5" w:rsidRDefault="00762FE5" w:rsidP="007055C3"/>
    <w:p w14:paraId="2A4899FF" w14:textId="74510F10" w:rsidR="00762FE5" w:rsidRPr="00831D94" w:rsidRDefault="00762FE5" w:rsidP="007055C3">
      <w:r w:rsidRPr="00831D94">
        <w:t xml:space="preserve">The Authority’s </w:t>
      </w:r>
      <w:r w:rsidR="007D7878">
        <w:t>MTFS</w:t>
      </w:r>
      <w:r w:rsidRPr="00831D94">
        <w:t xml:space="preserve"> assumes </w:t>
      </w:r>
      <w:r w:rsidR="000C3BC8">
        <w:t>a</w:t>
      </w:r>
      <w:r w:rsidRPr="00831D94">
        <w:t xml:space="preserve"> flat cash level of funding continues without uplift over subsequent years of the strategy. This leaves a significant level of income from other sources required to balance the budget</w:t>
      </w:r>
      <w:r w:rsidR="0034243A">
        <w:t>.</w:t>
      </w:r>
      <w:r>
        <w:t xml:space="preserve"> </w:t>
      </w:r>
      <w:r w:rsidR="0034243A">
        <w:t xml:space="preserve">The Authority has grown it’s income from non-core grant sources which has helped preserve service levels. This also exposes the Authority to other risks, including non-achievement of Visitor Services net income, as discussed above. </w:t>
      </w:r>
    </w:p>
    <w:p w14:paraId="57D72C04" w14:textId="77777777" w:rsidR="00762FE5" w:rsidRDefault="00762FE5" w:rsidP="007055C3"/>
    <w:p w14:paraId="1765EBCE" w14:textId="7F0F4064" w:rsidR="00762FE5" w:rsidRDefault="00762FE5" w:rsidP="007055C3">
      <w:r w:rsidRPr="00CD2BD4">
        <w:t>The General Fund overall closed at £1.</w:t>
      </w:r>
      <w:r w:rsidR="00CD2BD4" w:rsidRPr="00CD2BD4">
        <w:t>39</w:t>
      </w:r>
      <w:r w:rsidRPr="00CD2BD4">
        <w:t>m which is</w:t>
      </w:r>
      <w:r w:rsidR="00CD2BD4">
        <w:t xml:space="preserve"> a</w:t>
      </w:r>
      <w:r w:rsidR="00CD2BD4" w:rsidRPr="00CD2BD4">
        <w:t xml:space="preserve"> slight improve</w:t>
      </w:r>
      <w:r w:rsidR="00CD2BD4">
        <w:t>ment</w:t>
      </w:r>
      <w:r w:rsidR="00CD2BD4" w:rsidRPr="00CD2BD4">
        <w:t xml:space="preserve"> </w:t>
      </w:r>
      <w:r w:rsidR="00CD2BD4">
        <w:t>to</w:t>
      </w:r>
      <w:r w:rsidRPr="00CD2BD4">
        <w:t xml:space="preserve"> the assumptions in the MTFS</w:t>
      </w:r>
      <w:r w:rsidR="0034243A" w:rsidRPr="00CD2BD4">
        <w:t>.</w:t>
      </w:r>
    </w:p>
    <w:p w14:paraId="01E83E89" w14:textId="77777777" w:rsidR="00B978F5" w:rsidRDefault="00B978F5" w:rsidP="007055C3">
      <w:pPr>
        <w:rPr>
          <w:highlight w:val="yellow"/>
        </w:rPr>
      </w:pPr>
    </w:p>
    <w:p w14:paraId="2277D310" w14:textId="77777777" w:rsidR="008D324A" w:rsidRDefault="008D324A" w:rsidP="007055C3">
      <w:pPr>
        <w:rPr>
          <w:b/>
          <w:bCs/>
        </w:rPr>
      </w:pPr>
    </w:p>
    <w:p w14:paraId="62A0BCEF" w14:textId="2FE8134C" w:rsidR="008D324A" w:rsidRPr="008D324A" w:rsidRDefault="008D324A" w:rsidP="000644FA">
      <w:pPr>
        <w:pStyle w:val="Heading3"/>
      </w:pPr>
      <w:bookmarkStart w:id="14" w:name="_Toc156820514"/>
      <w:bookmarkStart w:id="15" w:name="_Toc165295256"/>
      <w:bookmarkStart w:id="16" w:name="_Toc167965757"/>
      <w:r w:rsidRPr="008D324A">
        <w:t>Other significant items for 202</w:t>
      </w:r>
      <w:r w:rsidR="0034243A">
        <w:t>3</w:t>
      </w:r>
      <w:r w:rsidRPr="00115A8A">
        <w:t>/2</w:t>
      </w:r>
      <w:bookmarkEnd w:id="14"/>
      <w:bookmarkEnd w:id="15"/>
      <w:r w:rsidR="0034243A" w:rsidRPr="00115A8A">
        <w:t>4</w:t>
      </w:r>
      <w:bookmarkEnd w:id="16"/>
      <w:r w:rsidR="0034243A" w:rsidRPr="00115A8A">
        <w:t xml:space="preserve"> </w:t>
      </w:r>
    </w:p>
    <w:p w14:paraId="13E76B3E" w14:textId="77777777" w:rsidR="008D324A" w:rsidRPr="004D5CA8" w:rsidRDefault="008D324A" w:rsidP="007055C3">
      <w:pPr>
        <w:rPr>
          <w:highlight w:val="yellow"/>
        </w:rPr>
      </w:pPr>
    </w:p>
    <w:p w14:paraId="4AB3F98C" w14:textId="6E1E4EF1" w:rsidR="00810848" w:rsidRPr="00B44B50" w:rsidRDefault="00B44B50" w:rsidP="007055C3">
      <w:r w:rsidRPr="00B44B50">
        <w:t>There</w:t>
      </w:r>
      <w:r w:rsidR="00B978F5" w:rsidRPr="00B44B50">
        <w:t xml:space="preserve"> was significant revenue</w:t>
      </w:r>
      <w:r w:rsidRPr="00B44B50">
        <w:t xml:space="preserve"> in year</w:t>
      </w:r>
      <w:r w:rsidR="00B978F5" w:rsidRPr="00B44B50">
        <w:t xml:space="preserve"> relating to Farming in Protected Landscapes (FiPL). The Farming in Protected Landscapes programme is a part of Defra’s Agricultural Transition Plan. It offers funding to farmers and land managers in Areas of Outstanding Natural Beauty (AONB), National Parks and the Broads. </w:t>
      </w:r>
    </w:p>
    <w:p w14:paraId="29A282FB" w14:textId="77777777" w:rsidR="00810848" w:rsidRPr="004D5CA8" w:rsidRDefault="00810848" w:rsidP="007055C3">
      <w:pPr>
        <w:rPr>
          <w:highlight w:val="yellow"/>
        </w:rPr>
      </w:pPr>
    </w:p>
    <w:p w14:paraId="45B3B52F" w14:textId="0A02425D" w:rsidR="00B978F5" w:rsidRPr="008D324A" w:rsidRDefault="00B978F5" w:rsidP="007055C3">
      <w:r w:rsidRPr="008D324A">
        <w:t>The programme fund</w:t>
      </w:r>
      <w:r w:rsidR="00730FD8">
        <w:t>s</w:t>
      </w:r>
      <w:r w:rsidRPr="008D324A">
        <w:t xml:space="preserve"> projects that:</w:t>
      </w:r>
    </w:p>
    <w:p w14:paraId="1A3A9463" w14:textId="77777777" w:rsidR="00B978F5" w:rsidRPr="008D324A" w:rsidRDefault="00B978F5" w:rsidP="007055C3"/>
    <w:p w14:paraId="545B48F2" w14:textId="77777777" w:rsidR="00B978F5" w:rsidRPr="00730FD8" w:rsidRDefault="00B978F5" w:rsidP="00730FD8">
      <w:pPr>
        <w:pStyle w:val="ListParagraph"/>
        <w:numPr>
          <w:ilvl w:val="0"/>
          <w:numId w:val="53"/>
        </w:numPr>
        <w:rPr>
          <w:u w:val="none"/>
        </w:rPr>
      </w:pPr>
      <w:r w:rsidRPr="00730FD8">
        <w:rPr>
          <w:u w:val="none"/>
        </w:rPr>
        <w:t>support nature recovery</w:t>
      </w:r>
    </w:p>
    <w:p w14:paraId="4D0A417B" w14:textId="77777777" w:rsidR="00B978F5" w:rsidRPr="00730FD8" w:rsidRDefault="00B978F5" w:rsidP="00730FD8">
      <w:pPr>
        <w:pStyle w:val="ListParagraph"/>
        <w:numPr>
          <w:ilvl w:val="0"/>
          <w:numId w:val="53"/>
        </w:numPr>
        <w:rPr>
          <w:u w:val="none"/>
        </w:rPr>
      </w:pPr>
      <w:r w:rsidRPr="00730FD8">
        <w:rPr>
          <w:u w:val="none"/>
        </w:rPr>
        <w:t>mitigate the impacts of climate change</w:t>
      </w:r>
    </w:p>
    <w:p w14:paraId="1D7EF629" w14:textId="77777777" w:rsidR="00B978F5" w:rsidRPr="00730FD8" w:rsidRDefault="00B978F5" w:rsidP="00730FD8">
      <w:pPr>
        <w:pStyle w:val="ListParagraph"/>
        <w:numPr>
          <w:ilvl w:val="0"/>
          <w:numId w:val="53"/>
        </w:numPr>
        <w:rPr>
          <w:u w:val="none"/>
        </w:rPr>
      </w:pPr>
      <w:r w:rsidRPr="00730FD8">
        <w:rPr>
          <w:u w:val="none"/>
        </w:rPr>
        <w:t>provide opportunities for people to discover, enjoy and understand the landscape and its cultural heritage</w:t>
      </w:r>
    </w:p>
    <w:p w14:paraId="2AB63AA5" w14:textId="77777777" w:rsidR="00B978F5" w:rsidRPr="00730FD8" w:rsidRDefault="00B978F5" w:rsidP="00730FD8">
      <w:pPr>
        <w:pStyle w:val="ListParagraph"/>
        <w:numPr>
          <w:ilvl w:val="0"/>
          <w:numId w:val="53"/>
        </w:numPr>
        <w:rPr>
          <w:u w:val="none"/>
        </w:rPr>
      </w:pPr>
      <w:r w:rsidRPr="00730FD8">
        <w:rPr>
          <w:u w:val="none"/>
        </w:rPr>
        <w:t>protect or improve the quality and character of the landscape or place</w:t>
      </w:r>
    </w:p>
    <w:p w14:paraId="2BF484D0" w14:textId="77777777" w:rsidR="00B978F5" w:rsidRPr="004D5CA8" w:rsidRDefault="00B978F5" w:rsidP="007055C3">
      <w:pPr>
        <w:rPr>
          <w:highlight w:val="yellow"/>
        </w:rPr>
      </w:pPr>
    </w:p>
    <w:p w14:paraId="7355E26E" w14:textId="35C3F311" w:rsidR="00257698" w:rsidRDefault="00B978F5" w:rsidP="007055C3">
      <w:r w:rsidRPr="008D324A">
        <w:t xml:space="preserve">During </w:t>
      </w:r>
      <w:r w:rsidR="00730FD8">
        <w:t>2022/23</w:t>
      </w:r>
      <w:r w:rsidR="007D0045" w:rsidRPr="008D324A">
        <w:t xml:space="preserve"> </w:t>
      </w:r>
      <w:r w:rsidR="00730FD8">
        <w:t>the authority received</w:t>
      </w:r>
      <w:r w:rsidR="008D324A" w:rsidRPr="008D324A">
        <w:t xml:space="preserve"> £1.</w:t>
      </w:r>
      <w:r w:rsidR="007E3DC1">
        <w:t>2</w:t>
      </w:r>
      <w:r w:rsidR="008D324A" w:rsidRPr="008D324A">
        <w:t>m</w:t>
      </w:r>
      <w:r w:rsidR="008D324A">
        <w:t xml:space="preserve"> in</w:t>
      </w:r>
      <w:r w:rsidR="00B43A8B">
        <w:t>c</w:t>
      </w:r>
      <w:r w:rsidR="008D324A">
        <w:t>luding both payments to third parties and direct funding of LDNPA schemes.</w:t>
      </w:r>
      <w:r w:rsidR="00DF2B6B">
        <w:t xml:space="preserve"> This increased for 2023/24 to </w:t>
      </w:r>
      <w:r w:rsidR="00730FD8">
        <w:t xml:space="preserve">£1.36m. </w:t>
      </w:r>
    </w:p>
    <w:p w14:paraId="3B4A1D9A" w14:textId="77777777" w:rsidR="00730FD8" w:rsidRDefault="00730FD8" w:rsidP="007055C3"/>
    <w:p w14:paraId="33A3D2D5" w14:textId="6AA2BB05" w:rsidR="00730FD8" w:rsidRPr="004D5CA8" w:rsidRDefault="00730FD8" w:rsidP="007055C3">
      <w:pPr>
        <w:rPr>
          <w:highlight w:val="yellow"/>
        </w:rPr>
      </w:pPr>
      <w:r>
        <w:t xml:space="preserve">The Authority has also been involved in Wainright’s Coast to Coast National Trail programme to upgrade the coast to coast path. The scheme also involves the existing Fix the Fells partnership with the National Trust and is funded by Natural England. The total funding over </w:t>
      </w:r>
      <w:r>
        <w:lastRenderedPageBreak/>
        <w:t xml:space="preserve">three years </w:t>
      </w:r>
      <w:r w:rsidR="007D7878">
        <w:t xml:space="preserve">on the Coast to Coast trail is </w:t>
      </w:r>
      <w:r>
        <w:t xml:space="preserve">expected to be in excess of £1m. Spend on the trail in the year was </w:t>
      </w:r>
      <w:r w:rsidR="00D41E26">
        <w:t>c£430k.</w:t>
      </w:r>
    </w:p>
    <w:p w14:paraId="130B5D8B" w14:textId="77777777" w:rsidR="00B978F5" w:rsidRPr="004D5CA8" w:rsidRDefault="00B978F5" w:rsidP="007055C3">
      <w:pPr>
        <w:rPr>
          <w:highlight w:val="yellow"/>
        </w:rPr>
      </w:pPr>
    </w:p>
    <w:p w14:paraId="799BE883" w14:textId="00D98BF2" w:rsidR="00DF2B6B" w:rsidRDefault="00B978F5" w:rsidP="007055C3">
      <w:r w:rsidRPr="000B43DC">
        <w:t>Overall Net Assets held by the Authority increased by £</w:t>
      </w:r>
      <w:r w:rsidR="00D41E26">
        <w:t>1</w:t>
      </w:r>
      <w:r w:rsidR="007D7878">
        <w:t>.1</w:t>
      </w:r>
      <w:r w:rsidR="00D41E26">
        <w:t>m</w:t>
      </w:r>
      <w:r w:rsidRPr="000B43DC">
        <w:t xml:space="preserve"> from £</w:t>
      </w:r>
      <w:r w:rsidR="00D41E26">
        <w:t>39,160</w:t>
      </w:r>
      <w:r w:rsidR="00B44B50" w:rsidRPr="000B43DC">
        <w:t>k</w:t>
      </w:r>
      <w:r w:rsidRPr="000B43DC">
        <w:t xml:space="preserve"> in 202</w:t>
      </w:r>
      <w:r w:rsidR="00115A8A">
        <w:t>2</w:t>
      </w:r>
      <w:r w:rsidRPr="000B43DC">
        <w:t>/2</w:t>
      </w:r>
      <w:r w:rsidR="00115A8A">
        <w:t>3</w:t>
      </w:r>
      <w:r w:rsidRPr="000B43DC">
        <w:t xml:space="preserve"> to £</w:t>
      </w:r>
      <w:r w:rsidR="00D41E26">
        <w:t>40,</w:t>
      </w:r>
      <w:r w:rsidR="007D7878">
        <w:t>2</w:t>
      </w:r>
      <w:r w:rsidR="00DD5726">
        <w:t>68</w:t>
      </w:r>
      <w:r w:rsidR="00B44B50" w:rsidRPr="000B43DC">
        <w:t>k</w:t>
      </w:r>
      <w:r w:rsidR="00115A8A">
        <w:t xml:space="preserve"> in 2023/24</w:t>
      </w:r>
      <w:r w:rsidRPr="000B43DC">
        <w:t xml:space="preserve">. </w:t>
      </w:r>
      <w:r w:rsidR="00D41E26">
        <w:t>This largely related to movements in non-current assets, where asset values were increased due to capital expenditure (</w:t>
      </w:r>
      <w:r w:rsidR="00115A8A">
        <w:t>+£0.5m)</w:t>
      </w:r>
      <w:r w:rsidR="00D41E26">
        <w:t xml:space="preserve"> and revaluations (+£2.</w:t>
      </w:r>
      <w:r w:rsidR="00115A8A">
        <w:t>1</w:t>
      </w:r>
      <w:r w:rsidR="00D41E26">
        <w:t>m)</w:t>
      </w:r>
      <w:r w:rsidR="00115A8A">
        <w:t>, and reduced due to disposal (-£0.2m) and depreciation (-£1.3m).</w:t>
      </w:r>
    </w:p>
    <w:p w14:paraId="78C5A349" w14:textId="77777777" w:rsidR="00DF2B6B" w:rsidRDefault="00DF2B6B" w:rsidP="007055C3"/>
    <w:p w14:paraId="361062E1" w14:textId="2D4A75D9" w:rsidR="00B978F5" w:rsidRPr="00B44B50" w:rsidRDefault="00DF2B6B" w:rsidP="007055C3">
      <w:r>
        <w:t>T</w:t>
      </w:r>
      <w:r w:rsidR="00B978F5" w:rsidRPr="000B43DC">
        <w:t>he net defined benefit pension liability</w:t>
      </w:r>
      <w:r w:rsidR="00B44B50" w:rsidRPr="00B44B50">
        <w:t xml:space="preserve"> </w:t>
      </w:r>
      <w:r>
        <w:t>has seen much reduced volatility this year</w:t>
      </w:r>
      <w:r w:rsidR="00115A8A">
        <w:t>; it</w:t>
      </w:r>
      <w:r>
        <w:t xml:space="preserve"> has </w:t>
      </w:r>
      <w:r w:rsidR="00115A8A">
        <w:t xml:space="preserve">marginally </w:t>
      </w:r>
      <w:r>
        <w:t>reduced from</w:t>
      </w:r>
      <w:r w:rsidR="00B44B50" w:rsidRPr="00B44B50">
        <w:t xml:space="preserve"> </w:t>
      </w:r>
      <w:r>
        <w:t xml:space="preserve">an </w:t>
      </w:r>
      <w:r w:rsidR="00B44B50" w:rsidRPr="00B44B50">
        <w:t>£</w:t>
      </w:r>
      <w:r w:rsidR="003D65F5">
        <w:t>852k</w:t>
      </w:r>
      <w:r w:rsidR="00B43A8B">
        <w:t xml:space="preserve"> </w:t>
      </w:r>
      <w:r w:rsidR="003D65F5">
        <w:t xml:space="preserve">liability </w:t>
      </w:r>
      <w:r>
        <w:t>to an</w:t>
      </w:r>
      <w:r w:rsidR="00B43A8B">
        <w:t xml:space="preserve"> £</w:t>
      </w:r>
      <w:r>
        <w:t>809k liability</w:t>
      </w:r>
      <w:r w:rsidR="00B978F5" w:rsidRPr="00B44B50">
        <w:t>.</w:t>
      </w:r>
      <w:r>
        <w:t xml:space="preserve"> This is mainly the result of asset capping</w:t>
      </w:r>
      <w:r w:rsidR="003A3F96">
        <w:t>,</w:t>
      </w:r>
      <w:r>
        <w:t xml:space="preserve"> in line with pension accounting rules. Ignoring the impact of capping, the </w:t>
      </w:r>
      <w:r w:rsidR="003A3F96">
        <w:t xml:space="preserve">funded </w:t>
      </w:r>
      <w:r>
        <w:t xml:space="preserve">asset </w:t>
      </w:r>
      <w:r w:rsidR="003A3F96">
        <w:t>would have</w:t>
      </w:r>
      <w:r>
        <w:t xml:space="preserve"> increased from £5,655k to </w:t>
      </w:r>
      <w:r w:rsidR="003A3F96">
        <w:t xml:space="preserve">£9,043k. </w:t>
      </w:r>
      <w:r w:rsidR="00B44B50">
        <w:t xml:space="preserve">The defined benefit pension asset is valued by expert actuaries and the impact of </w:t>
      </w:r>
      <w:r>
        <w:t>changes in</w:t>
      </w:r>
      <w:r w:rsidR="00B44B50">
        <w:t xml:space="preserve"> value </w:t>
      </w:r>
      <w:r>
        <w:t>are</w:t>
      </w:r>
      <w:r w:rsidR="00B44B50">
        <w:t xml:space="preserve"> limited through statutory adjustments to the accounts. This means that there is no impact on the Authority’s usable reserves</w:t>
      </w:r>
      <w:r w:rsidR="008D324A">
        <w:t xml:space="preserve"> as a result of movements in the net </w:t>
      </w:r>
      <w:r w:rsidR="003D65F5">
        <w:t>liability</w:t>
      </w:r>
      <w:r w:rsidR="003A3F96">
        <w:t>, with or without the application of the asset cap</w:t>
      </w:r>
      <w:r w:rsidR="008D324A">
        <w:t xml:space="preserve">. The </w:t>
      </w:r>
      <w:r>
        <w:t xml:space="preserve">underlying pension asset </w:t>
      </w:r>
      <w:r w:rsidR="008D324A">
        <w:t>indicates that there is potential for reduced future contribution rates. However, this will not be confirmed until the next full valuation which is due in 2025.</w:t>
      </w:r>
    </w:p>
    <w:p w14:paraId="2DAE3339" w14:textId="77777777" w:rsidR="00B978F5" w:rsidRPr="004D5CA8" w:rsidRDefault="00B978F5" w:rsidP="007055C3">
      <w:pPr>
        <w:rPr>
          <w:highlight w:val="yellow"/>
        </w:rPr>
      </w:pPr>
    </w:p>
    <w:p w14:paraId="0EEFD140" w14:textId="47E82BD7" w:rsidR="00B978F5" w:rsidRPr="00B44B50" w:rsidRDefault="00B978F5" w:rsidP="007055C3">
      <w:r w:rsidRPr="00B44B50">
        <w:t>Total capital expenditure for 202</w:t>
      </w:r>
      <w:r w:rsidR="007D7878">
        <w:t>3</w:t>
      </w:r>
      <w:r w:rsidRPr="00B44B50">
        <w:t>/2</w:t>
      </w:r>
      <w:r w:rsidR="007D7878">
        <w:t>4</w:t>
      </w:r>
      <w:r w:rsidRPr="00B44B50">
        <w:t xml:space="preserve"> </w:t>
      </w:r>
      <w:r w:rsidRPr="002472C3">
        <w:t>was £</w:t>
      </w:r>
      <w:r w:rsidR="003A3F96" w:rsidRPr="002472C3">
        <w:t>8</w:t>
      </w:r>
      <w:r w:rsidR="007D7878" w:rsidRPr="002472C3">
        <w:t>44</w:t>
      </w:r>
      <w:r w:rsidR="003A3F96" w:rsidRPr="002472C3">
        <w:t>k</w:t>
      </w:r>
      <w:r w:rsidRPr="00B44B50">
        <w:t xml:space="preserve"> (£</w:t>
      </w:r>
      <w:r w:rsidR="00B44B50" w:rsidRPr="00B44B50">
        <w:t>1</w:t>
      </w:r>
      <w:r w:rsidR="003A3F96">
        <w:t>.9</w:t>
      </w:r>
      <w:r w:rsidRPr="00B44B50">
        <w:t>m for 202</w:t>
      </w:r>
      <w:r w:rsidR="003A3F96">
        <w:t>2</w:t>
      </w:r>
      <w:r w:rsidRPr="00B44B50">
        <w:t>/2</w:t>
      </w:r>
      <w:r w:rsidR="003A3F96">
        <w:t>3</w:t>
      </w:r>
      <w:r w:rsidRPr="00B44B50">
        <w:t>). The spend in year was spread across a range of projects (</w:t>
      </w:r>
      <w:r w:rsidR="00A01E56" w:rsidRPr="00B44B50">
        <w:t>see capital investment section below and note 20</w:t>
      </w:r>
      <w:r w:rsidRPr="00B44B50">
        <w:t>)</w:t>
      </w:r>
      <w:r w:rsidR="00B44B50" w:rsidRPr="00B44B50">
        <w:t xml:space="preserve"> with the single largest element (£</w:t>
      </w:r>
      <w:r w:rsidR="003A3F96">
        <w:t>0.</w:t>
      </w:r>
      <w:r w:rsidR="00B44B50" w:rsidRPr="00B44B50">
        <w:t>3</w:t>
      </w:r>
      <w:r w:rsidR="007D7878">
        <w:t>2</w:t>
      </w:r>
      <w:r w:rsidR="00B44B50" w:rsidRPr="00B44B50">
        <w:t xml:space="preserve">m) on the </w:t>
      </w:r>
      <w:r w:rsidR="00516F4C">
        <w:t>West Windermere Way</w:t>
      </w:r>
      <w:r w:rsidR="00B44B50" w:rsidRPr="00B44B50">
        <w:t xml:space="preserve">. This is a largely grant funded </w:t>
      </w:r>
      <w:r w:rsidR="00516F4C">
        <w:t xml:space="preserve">project </w:t>
      </w:r>
      <w:r w:rsidR="00B44B50" w:rsidRPr="00B44B50">
        <w:t>which is enhancing existing rights of way and adding new sections to make a coherent route around the South-West area of Windermere. The</w:t>
      </w:r>
      <w:r w:rsidR="00115A8A">
        <w:t xml:space="preserve"> scheme was</w:t>
      </w:r>
      <w:r w:rsidR="00B44B50" w:rsidRPr="00B44B50">
        <w:t xml:space="preserve"> </w:t>
      </w:r>
      <w:r w:rsidR="003A3F96">
        <w:t>effectively</w:t>
      </w:r>
      <w:r w:rsidR="00B44B50" w:rsidRPr="00B44B50">
        <w:t xml:space="preserve"> complete</w:t>
      </w:r>
      <w:r w:rsidR="003A3F96">
        <w:t>d</w:t>
      </w:r>
      <w:r w:rsidR="00B44B50" w:rsidRPr="00B44B50">
        <w:t xml:space="preserve"> in June 2023</w:t>
      </w:r>
      <w:r w:rsidR="00115A8A">
        <w:t xml:space="preserve"> to align with the funding window for the European Structural </w:t>
      </w:r>
      <w:r w:rsidR="004249ED">
        <w:t xml:space="preserve">and </w:t>
      </w:r>
      <w:r w:rsidR="00115A8A">
        <w:t>Investment Fund</w:t>
      </w:r>
      <w:r w:rsidR="004249ED">
        <w:t>s</w:t>
      </w:r>
      <w:r w:rsidR="00115A8A">
        <w:t xml:space="preserve"> (ESIF) grant.</w:t>
      </w:r>
    </w:p>
    <w:p w14:paraId="150293D2" w14:textId="1EEDA4F7" w:rsidR="00B978F5" w:rsidRPr="004D5CA8" w:rsidRDefault="00B978F5" w:rsidP="007055C3">
      <w:pPr>
        <w:rPr>
          <w:highlight w:val="yellow"/>
        </w:rPr>
      </w:pPr>
    </w:p>
    <w:p w14:paraId="03FAF1B4" w14:textId="77777777" w:rsidR="000644FA" w:rsidRPr="008D324A" w:rsidRDefault="000644FA" w:rsidP="007055C3"/>
    <w:p w14:paraId="60E2B15B" w14:textId="76BE40C5" w:rsidR="004F3100" w:rsidRPr="00757709" w:rsidRDefault="004F3100" w:rsidP="000644FA">
      <w:pPr>
        <w:pStyle w:val="Heading3"/>
        <w:rPr>
          <w:sz w:val="28"/>
          <w:szCs w:val="28"/>
        </w:rPr>
      </w:pPr>
      <w:bookmarkStart w:id="17" w:name="_Toc156820515"/>
      <w:bookmarkStart w:id="18" w:name="_Toc165295257"/>
      <w:bookmarkStart w:id="19" w:name="_Toc167965758"/>
      <w:r w:rsidRPr="00757709">
        <w:rPr>
          <w:sz w:val="28"/>
          <w:szCs w:val="28"/>
        </w:rPr>
        <w:t>Application of Funds</w:t>
      </w:r>
      <w:bookmarkEnd w:id="17"/>
      <w:bookmarkEnd w:id="18"/>
      <w:r w:rsidR="007D7878" w:rsidRPr="00757709">
        <w:rPr>
          <w:sz w:val="28"/>
          <w:szCs w:val="28"/>
        </w:rPr>
        <w:t xml:space="preserve"> </w:t>
      </w:r>
      <w:bookmarkEnd w:id="19"/>
    </w:p>
    <w:p w14:paraId="73BAE5FE" w14:textId="77777777" w:rsidR="004F3100" w:rsidRPr="0025666B" w:rsidRDefault="004F3100" w:rsidP="007055C3"/>
    <w:p w14:paraId="64163DBA" w14:textId="0FBE5145" w:rsidR="004F3100" w:rsidRDefault="004F3100" w:rsidP="007055C3">
      <w:r w:rsidRPr="0025666B">
        <w:t>The table below summarises all revenue income and expenditure.</w:t>
      </w:r>
    </w:p>
    <w:tbl>
      <w:tblPr>
        <w:tblW w:w="9062" w:type="dxa"/>
        <w:tblLook w:val="04A0" w:firstRow="1" w:lastRow="0" w:firstColumn="1" w:lastColumn="0" w:noHBand="0" w:noVBand="1"/>
      </w:tblPr>
      <w:tblGrid>
        <w:gridCol w:w="5640"/>
        <w:gridCol w:w="1154"/>
        <w:gridCol w:w="1134"/>
        <w:gridCol w:w="1134"/>
      </w:tblGrid>
      <w:tr w:rsidR="00766243" w:rsidRPr="00766243" w14:paraId="4C3D98E2" w14:textId="77777777" w:rsidTr="00766243">
        <w:trPr>
          <w:trHeight w:val="290"/>
        </w:trPr>
        <w:tc>
          <w:tcPr>
            <w:tcW w:w="5640" w:type="dxa"/>
            <w:tcBorders>
              <w:top w:val="single" w:sz="8" w:space="0" w:color="auto"/>
              <w:left w:val="single" w:sz="8" w:space="0" w:color="auto"/>
              <w:bottom w:val="nil"/>
              <w:right w:val="nil"/>
            </w:tcBorders>
            <w:shd w:val="clear" w:color="000000" w:fill="000000"/>
            <w:noWrap/>
            <w:vAlign w:val="center"/>
            <w:hideMark/>
          </w:tcPr>
          <w:p w14:paraId="2DA21121" w14:textId="77777777" w:rsidR="00766243" w:rsidRPr="00766243" w:rsidRDefault="00766243" w:rsidP="00766243">
            <w:pPr>
              <w:rPr>
                <w:rFonts w:cs="Arial"/>
                <w:color w:val="000000"/>
                <w:sz w:val="18"/>
                <w:szCs w:val="18"/>
                <w:lang w:eastAsia="en-GB"/>
              </w:rPr>
            </w:pPr>
            <w:r w:rsidRPr="00766243">
              <w:rPr>
                <w:rFonts w:cs="Arial"/>
                <w:color w:val="000000"/>
                <w:sz w:val="18"/>
                <w:szCs w:val="18"/>
                <w:lang w:eastAsia="en-GB"/>
              </w:rPr>
              <w:t> </w:t>
            </w:r>
          </w:p>
        </w:tc>
        <w:tc>
          <w:tcPr>
            <w:tcW w:w="1154" w:type="dxa"/>
            <w:tcBorders>
              <w:top w:val="single" w:sz="8" w:space="0" w:color="auto"/>
              <w:left w:val="single" w:sz="8" w:space="0" w:color="auto"/>
              <w:bottom w:val="nil"/>
              <w:right w:val="single" w:sz="8" w:space="0" w:color="auto"/>
            </w:tcBorders>
            <w:shd w:val="clear" w:color="000000" w:fill="000000"/>
            <w:vAlign w:val="center"/>
            <w:hideMark/>
          </w:tcPr>
          <w:p w14:paraId="3D77E19A" w14:textId="77777777" w:rsidR="00766243" w:rsidRPr="00766243" w:rsidRDefault="00766243" w:rsidP="00766243">
            <w:pPr>
              <w:jc w:val="center"/>
              <w:rPr>
                <w:rFonts w:cs="Arial"/>
                <w:b/>
                <w:bCs/>
                <w:color w:val="FFFFFF"/>
                <w:sz w:val="18"/>
                <w:szCs w:val="18"/>
                <w:lang w:eastAsia="en-GB"/>
              </w:rPr>
            </w:pPr>
            <w:r w:rsidRPr="00766243">
              <w:rPr>
                <w:rFonts w:cs="Arial"/>
                <w:b/>
                <w:bCs/>
                <w:color w:val="FFFFFF"/>
                <w:sz w:val="18"/>
                <w:szCs w:val="18"/>
                <w:lang w:eastAsia="en-GB"/>
              </w:rPr>
              <w:t>Net Exp</w:t>
            </w:r>
          </w:p>
        </w:tc>
        <w:tc>
          <w:tcPr>
            <w:tcW w:w="1134" w:type="dxa"/>
            <w:tcBorders>
              <w:top w:val="single" w:sz="8" w:space="0" w:color="auto"/>
              <w:left w:val="nil"/>
              <w:bottom w:val="nil"/>
              <w:right w:val="single" w:sz="8" w:space="0" w:color="auto"/>
            </w:tcBorders>
            <w:shd w:val="clear" w:color="000000" w:fill="000000"/>
            <w:vAlign w:val="center"/>
            <w:hideMark/>
          </w:tcPr>
          <w:p w14:paraId="3B1696C7" w14:textId="00AB5A13" w:rsidR="00766243" w:rsidRPr="00766243" w:rsidRDefault="00766243" w:rsidP="00766243">
            <w:pPr>
              <w:jc w:val="center"/>
              <w:rPr>
                <w:rFonts w:cs="Arial"/>
                <w:b/>
                <w:bCs/>
                <w:color w:val="FFFFFF"/>
                <w:sz w:val="18"/>
                <w:szCs w:val="18"/>
                <w:lang w:eastAsia="en-GB"/>
              </w:rPr>
            </w:pPr>
            <w:r>
              <w:rPr>
                <w:rFonts w:cs="Arial"/>
                <w:b/>
                <w:bCs/>
                <w:color w:val="FFFFFF"/>
                <w:sz w:val="18"/>
                <w:szCs w:val="18"/>
                <w:lang w:eastAsia="en-GB"/>
              </w:rPr>
              <w:t>B</w:t>
            </w:r>
            <w:r w:rsidRPr="00766243">
              <w:rPr>
                <w:rFonts w:cs="Arial"/>
                <w:b/>
                <w:bCs/>
                <w:color w:val="FFFFFF"/>
                <w:sz w:val="18"/>
                <w:szCs w:val="18"/>
                <w:lang w:eastAsia="en-GB"/>
              </w:rPr>
              <w:t>udget</w:t>
            </w:r>
          </w:p>
        </w:tc>
        <w:tc>
          <w:tcPr>
            <w:tcW w:w="1134" w:type="dxa"/>
            <w:tcBorders>
              <w:top w:val="single" w:sz="8" w:space="0" w:color="auto"/>
              <w:left w:val="nil"/>
              <w:bottom w:val="nil"/>
              <w:right w:val="single" w:sz="8" w:space="0" w:color="auto"/>
            </w:tcBorders>
            <w:shd w:val="clear" w:color="000000" w:fill="000000"/>
            <w:vAlign w:val="center"/>
            <w:hideMark/>
          </w:tcPr>
          <w:p w14:paraId="6CA33538" w14:textId="77777777" w:rsidR="00766243" w:rsidRPr="00766243" w:rsidRDefault="00766243" w:rsidP="00766243">
            <w:pPr>
              <w:jc w:val="center"/>
              <w:rPr>
                <w:rFonts w:cs="Arial"/>
                <w:b/>
                <w:bCs/>
                <w:color w:val="FFFFFF"/>
                <w:sz w:val="18"/>
                <w:szCs w:val="18"/>
                <w:lang w:eastAsia="en-GB"/>
              </w:rPr>
            </w:pPr>
            <w:r w:rsidRPr="00766243">
              <w:rPr>
                <w:rFonts w:cs="Arial"/>
                <w:b/>
                <w:bCs/>
                <w:color w:val="FFFFFF"/>
                <w:sz w:val="18"/>
                <w:szCs w:val="18"/>
                <w:lang w:eastAsia="en-GB"/>
              </w:rPr>
              <w:t>Variance</w:t>
            </w:r>
          </w:p>
        </w:tc>
      </w:tr>
      <w:tr w:rsidR="00766243" w:rsidRPr="00766243" w14:paraId="67755EF1" w14:textId="77777777" w:rsidTr="00766243">
        <w:trPr>
          <w:trHeight w:val="290"/>
        </w:trPr>
        <w:tc>
          <w:tcPr>
            <w:tcW w:w="5640" w:type="dxa"/>
            <w:tcBorders>
              <w:top w:val="nil"/>
              <w:left w:val="single" w:sz="8" w:space="0" w:color="auto"/>
              <w:bottom w:val="nil"/>
              <w:right w:val="nil"/>
            </w:tcBorders>
            <w:shd w:val="clear" w:color="000000" w:fill="000000"/>
            <w:noWrap/>
            <w:vAlign w:val="center"/>
            <w:hideMark/>
          </w:tcPr>
          <w:p w14:paraId="721EF389" w14:textId="77777777" w:rsidR="00766243" w:rsidRPr="00766243" w:rsidRDefault="00766243" w:rsidP="00766243">
            <w:pPr>
              <w:rPr>
                <w:rFonts w:cs="Arial"/>
                <w:color w:val="000000"/>
                <w:sz w:val="18"/>
                <w:szCs w:val="18"/>
                <w:lang w:eastAsia="en-GB"/>
              </w:rPr>
            </w:pPr>
            <w:r w:rsidRPr="00766243">
              <w:rPr>
                <w:rFonts w:cs="Arial"/>
                <w:color w:val="000000"/>
                <w:sz w:val="18"/>
                <w:szCs w:val="18"/>
                <w:lang w:eastAsia="en-GB"/>
              </w:rPr>
              <w:t> </w:t>
            </w:r>
          </w:p>
        </w:tc>
        <w:tc>
          <w:tcPr>
            <w:tcW w:w="1154" w:type="dxa"/>
            <w:tcBorders>
              <w:top w:val="nil"/>
              <w:left w:val="single" w:sz="8" w:space="0" w:color="auto"/>
              <w:bottom w:val="nil"/>
              <w:right w:val="single" w:sz="8" w:space="0" w:color="auto"/>
            </w:tcBorders>
            <w:shd w:val="clear" w:color="000000" w:fill="000000"/>
            <w:noWrap/>
            <w:vAlign w:val="center"/>
            <w:hideMark/>
          </w:tcPr>
          <w:p w14:paraId="2871BC04" w14:textId="77777777" w:rsidR="00766243" w:rsidRPr="00766243" w:rsidRDefault="00766243" w:rsidP="00766243">
            <w:pPr>
              <w:jc w:val="center"/>
              <w:rPr>
                <w:rFonts w:cs="Arial"/>
                <w:b/>
                <w:bCs/>
                <w:color w:val="FFFFFF"/>
                <w:sz w:val="18"/>
                <w:szCs w:val="18"/>
                <w:lang w:eastAsia="en-GB"/>
              </w:rPr>
            </w:pPr>
            <w:r w:rsidRPr="00766243">
              <w:rPr>
                <w:rFonts w:cs="Arial"/>
                <w:b/>
                <w:bCs/>
                <w:color w:val="FFFFFF"/>
                <w:sz w:val="18"/>
                <w:szCs w:val="18"/>
                <w:lang w:eastAsia="en-GB"/>
              </w:rPr>
              <w:t>£000</w:t>
            </w:r>
          </w:p>
        </w:tc>
        <w:tc>
          <w:tcPr>
            <w:tcW w:w="1134" w:type="dxa"/>
            <w:tcBorders>
              <w:top w:val="nil"/>
              <w:left w:val="nil"/>
              <w:bottom w:val="nil"/>
              <w:right w:val="single" w:sz="8" w:space="0" w:color="auto"/>
            </w:tcBorders>
            <w:shd w:val="clear" w:color="000000" w:fill="000000"/>
            <w:noWrap/>
            <w:vAlign w:val="center"/>
            <w:hideMark/>
          </w:tcPr>
          <w:p w14:paraId="2E46B900" w14:textId="77777777" w:rsidR="00766243" w:rsidRPr="00766243" w:rsidRDefault="00766243" w:rsidP="00766243">
            <w:pPr>
              <w:jc w:val="center"/>
              <w:rPr>
                <w:rFonts w:cs="Arial"/>
                <w:b/>
                <w:bCs/>
                <w:color w:val="FFFFFF"/>
                <w:sz w:val="18"/>
                <w:szCs w:val="18"/>
                <w:lang w:eastAsia="en-GB"/>
              </w:rPr>
            </w:pPr>
            <w:r w:rsidRPr="00766243">
              <w:rPr>
                <w:rFonts w:cs="Arial"/>
                <w:b/>
                <w:bCs/>
                <w:color w:val="FFFFFF"/>
                <w:sz w:val="18"/>
                <w:szCs w:val="18"/>
                <w:lang w:eastAsia="en-GB"/>
              </w:rPr>
              <w:t>£000</w:t>
            </w:r>
          </w:p>
        </w:tc>
        <w:tc>
          <w:tcPr>
            <w:tcW w:w="1134" w:type="dxa"/>
            <w:tcBorders>
              <w:top w:val="nil"/>
              <w:left w:val="nil"/>
              <w:bottom w:val="nil"/>
              <w:right w:val="single" w:sz="8" w:space="0" w:color="auto"/>
            </w:tcBorders>
            <w:shd w:val="clear" w:color="000000" w:fill="000000"/>
            <w:noWrap/>
            <w:vAlign w:val="center"/>
            <w:hideMark/>
          </w:tcPr>
          <w:p w14:paraId="6A33FCC7" w14:textId="77777777" w:rsidR="00766243" w:rsidRPr="00766243" w:rsidRDefault="00766243" w:rsidP="00766243">
            <w:pPr>
              <w:jc w:val="center"/>
              <w:rPr>
                <w:rFonts w:cs="Arial"/>
                <w:b/>
                <w:bCs/>
                <w:color w:val="FFFFFF"/>
                <w:sz w:val="18"/>
                <w:szCs w:val="18"/>
                <w:lang w:eastAsia="en-GB"/>
              </w:rPr>
            </w:pPr>
            <w:r w:rsidRPr="00766243">
              <w:rPr>
                <w:rFonts w:cs="Arial"/>
                <w:b/>
                <w:bCs/>
                <w:color w:val="FFFFFF"/>
                <w:sz w:val="18"/>
                <w:szCs w:val="18"/>
                <w:lang w:eastAsia="en-GB"/>
              </w:rPr>
              <w:t>£000</w:t>
            </w:r>
          </w:p>
        </w:tc>
      </w:tr>
      <w:tr w:rsidR="00766243" w:rsidRPr="00766243" w14:paraId="118DC6AD" w14:textId="77777777" w:rsidTr="00766243">
        <w:trPr>
          <w:trHeight w:val="280"/>
        </w:trPr>
        <w:tc>
          <w:tcPr>
            <w:tcW w:w="5640" w:type="dxa"/>
            <w:tcBorders>
              <w:top w:val="nil"/>
              <w:left w:val="single" w:sz="8" w:space="0" w:color="auto"/>
              <w:bottom w:val="nil"/>
              <w:right w:val="nil"/>
            </w:tcBorders>
            <w:shd w:val="clear" w:color="000000" w:fill="FFFFFF"/>
            <w:vAlign w:val="center"/>
            <w:hideMark/>
          </w:tcPr>
          <w:p w14:paraId="518AD385" w14:textId="77777777" w:rsidR="00766243" w:rsidRPr="00766243" w:rsidRDefault="00766243" w:rsidP="00766243">
            <w:pPr>
              <w:rPr>
                <w:rFonts w:cs="Arial"/>
                <w:color w:val="000000"/>
                <w:sz w:val="18"/>
                <w:szCs w:val="18"/>
                <w:lang w:eastAsia="en-GB"/>
              </w:rPr>
            </w:pPr>
            <w:r w:rsidRPr="00766243">
              <w:rPr>
                <w:rFonts w:cs="Arial"/>
                <w:color w:val="000000"/>
                <w:sz w:val="18"/>
                <w:szCs w:val="18"/>
                <w:lang w:eastAsia="en-GB"/>
              </w:rPr>
              <w:t>Executive Board &amp; Legal</w:t>
            </w:r>
          </w:p>
        </w:tc>
        <w:tc>
          <w:tcPr>
            <w:tcW w:w="1154" w:type="dxa"/>
            <w:tcBorders>
              <w:top w:val="nil"/>
              <w:left w:val="single" w:sz="8" w:space="0" w:color="auto"/>
              <w:bottom w:val="nil"/>
              <w:right w:val="single" w:sz="8" w:space="0" w:color="auto"/>
            </w:tcBorders>
            <w:shd w:val="clear" w:color="000000" w:fill="FFFFFF"/>
            <w:noWrap/>
            <w:vAlign w:val="center"/>
            <w:hideMark/>
          </w:tcPr>
          <w:p w14:paraId="55E17620"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923</w:t>
            </w:r>
          </w:p>
        </w:tc>
        <w:tc>
          <w:tcPr>
            <w:tcW w:w="1134" w:type="dxa"/>
            <w:tcBorders>
              <w:top w:val="nil"/>
              <w:left w:val="nil"/>
              <w:bottom w:val="nil"/>
              <w:right w:val="single" w:sz="8" w:space="0" w:color="auto"/>
            </w:tcBorders>
            <w:shd w:val="clear" w:color="000000" w:fill="FFFFFF"/>
            <w:noWrap/>
            <w:vAlign w:val="center"/>
            <w:hideMark/>
          </w:tcPr>
          <w:p w14:paraId="457D8E2E"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1083</w:t>
            </w:r>
          </w:p>
        </w:tc>
        <w:tc>
          <w:tcPr>
            <w:tcW w:w="1134" w:type="dxa"/>
            <w:tcBorders>
              <w:top w:val="nil"/>
              <w:left w:val="nil"/>
              <w:bottom w:val="nil"/>
              <w:right w:val="single" w:sz="8" w:space="0" w:color="auto"/>
            </w:tcBorders>
            <w:shd w:val="clear" w:color="000000" w:fill="FFFFFF"/>
            <w:noWrap/>
            <w:vAlign w:val="center"/>
            <w:hideMark/>
          </w:tcPr>
          <w:p w14:paraId="7CC44B68"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-160</w:t>
            </w:r>
          </w:p>
        </w:tc>
      </w:tr>
      <w:tr w:rsidR="00766243" w:rsidRPr="00766243" w14:paraId="010F472D" w14:textId="77777777" w:rsidTr="00766243">
        <w:trPr>
          <w:trHeight w:val="280"/>
        </w:trPr>
        <w:tc>
          <w:tcPr>
            <w:tcW w:w="5640" w:type="dxa"/>
            <w:tcBorders>
              <w:top w:val="nil"/>
              <w:left w:val="single" w:sz="8" w:space="0" w:color="auto"/>
              <w:bottom w:val="nil"/>
              <w:right w:val="nil"/>
            </w:tcBorders>
            <w:shd w:val="clear" w:color="000000" w:fill="FFFFFF"/>
            <w:vAlign w:val="center"/>
            <w:hideMark/>
          </w:tcPr>
          <w:p w14:paraId="070B91EC" w14:textId="77777777" w:rsidR="00766243" w:rsidRPr="00766243" w:rsidRDefault="00766243" w:rsidP="00766243">
            <w:pPr>
              <w:rPr>
                <w:rFonts w:cs="Arial"/>
                <w:color w:val="000000"/>
                <w:sz w:val="18"/>
                <w:szCs w:val="18"/>
                <w:lang w:eastAsia="en-GB"/>
              </w:rPr>
            </w:pPr>
            <w:r w:rsidRPr="00766243">
              <w:rPr>
                <w:rFonts w:cs="Arial"/>
                <w:color w:val="000000"/>
                <w:sz w:val="18"/>
                <w:szCs w:val="18"/>
                <w:lang w:eastAsia="en-GB"/>
              </w:rPr>
              <w:t>Resources</w:t>
            </w:r>
          </w:p>
        </w:tc>
        <w:tc>
          <w:tcPr>
            <w:tcW w:w="1154" w:type="dxa"/>
            <w:tcBorders>
              <w:top w:val="nil"/>
              <w:left w:val="single" w:sz="8" w:space="0" w:color="auto"/>
              <w:bottom w:val="nil"/>
              <w:right w:val="single" w:sz="8" w:space="0" w:color="auto"/>
            </w:tcBorders>
            <w:shd w:val="clear" w:color="000000" w:fill="FFFFFF"/>
            <w:noWrap/>
            <w:vAlign w:val="center"/>
            <w:hideMark/>
          </w:tcPr>
          <w:p w14:paraId="61E9D19D"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2,429</w:t>
            </w:r>
          </w:p>
        </w:tc>
        <w:tc>
          <w:tcPr>
            <w:tcW w:w="1134" w:type="dxa"/>
            <w:tcBorders>
              <w:top w:val="nil"/>
              <w:left w:val="nil"/>
              <w:bottom w:val="nil"/>
              <w:right w:val="single" w:sz="8" w:space="0" w:color="auto"/>
            </w:tcBorders>
            <w:shd w:val="clear" w:color="000000" w:fill="FFFFFF"/>
            <w:noWrap/>
            <w:vAlign w:val="center"/>
            <w:hideMark/>
          </w:tcPr>
          <w:p w14:paraId="621B6DCB"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2395</w:t>
            </w:r>
          </w:p>
        </w:tc>
        <w:tc>
          <w:tcPr>
            <w:tcW w:w="1134" w:type="dxa"/>
            <w:tcBorders>
              <w:top w:val="nil"/>
              <w:left w:val="nil"/>
              <w:bottom w:val="nil"/>
              <w:right w:val="single" w:sz="8" w:space="0" w:color="auto"/>
            </w:tcBorders>
            <w:shd w:val="clear" w:color="000000" w:fill="FFFFFF"/>
            <w:noWrap/>
            <w:vAlign w:val="center"/>
            <w:hideMark/>
          </w:tcPr>
          <w:p w14:paraId="514FE4F4"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34</w:t>
            </w:r>
          </w:p>
        </w:tc>
      </w:tr>
      <w:tr w:rsidR="00766243" w:rsidRPr="00766243" w14:paraId="7360BB4B" w14:textId="77777777" w:rsidTr="00766243">
        <w:trPr>
          <w:trHeight w:val="280"/>
        </w:trPr>
        <w:tc>
          <w:tcPr>
            <w:tcW w:w="5640" w:type="dxa"/>
            <w:tcBorders>
              <w:top w:val="nil"/>
              <w:left w:val="single" w:sz="8" w:space="0" w:color="auto"/>
              <w:bottom w:val="nil"/>
              <w:right w:val="nil"/>
            </w:tcBorders>
            <w:shd w:val="clear" w:color="000000" w:fill="FFFFFF"/>
            <w:vAlign w:val="center"/>
            <w:hideMark/>
          </w:tcPr>
          <w:p w14:paraId="422A375B" w14:textId="77777777" w:rsidR="00766243" w:rsidRPr="00766243" w:rsidRDefault="00766243" w:rsidP="00766243">
            <w:pPr>
              <w:rPr>
                <w:rFonts w:cs="Arial"/>
                <w:color w:val="000000"/>
                <w:sz w:val="18"/>
                <w:szCs w:val="18"/>
                <w:lang w:eastAsia="en-GB"/>
              </w:rPr>
            </w:pPr>
            <w:r w:rsidRPr="00766243">
              <w:rPr>
                <w:rFonts w:cs="Arial"/>
                <w:color w:val="000000"/>
                <w:sz w:val="18"/>
                <w:szCs w:val="18"/>
                <w:lang w:eastAsia="en-GB"/>
              </w:rPr>
              <w:t>Visitor Services</w:t>
            </w:r>
          </w:p>
        </w:tc>
        <w:tc>
          <w:tcPr>
            <w:tcW w:w="1154" w:type="dxa"/>
            <w:tcBorders>
              <w:top w:val="nil"/>
              <w:left w:val="single" w:sz="8" w:space="0" w:color="auto"/>
              <w:bottom w:val="nil"/>
              <w:right w:val="single" w:sz="8" w:space="0" w:color="auto"/>
            </w:tcBorders>
            <w:shd w:val="clear" w:color="000000" w:fill="FFFFFF"/>
            <w:noWrap/>
            <w:vAlign w:val="center"/>
            <w:hideMark/>
          </w:tcPr>
          <w:p w14:paraId="689A65C4"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42</w:t>
            </w:r>
          </w:p>
        </w:tc>
        <w:tc>
          <w:tcPr>
            <w:tcW w:w="1134" w:type="dxa"/>
            <w:tcBorders>
              <w:top w:val="nil"/>
              <w:left w:val="nil"/>
              <w:bottom w:val="nil"/>
              <w:right w:val="single" w:sz="8" w:space="0" w:color="auto"/>
            </w:tcBorders>
            <w:shd w:val="clear" w:color="000000" w:fill="FFFFFF"/>
            <w:noWrap/>
            <w:vAlign w:val="center"/>
            <w:hideMark/>
          </w:tcPr>
          <w:p w14:paraId="063EEEFE"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579</w:t>
            </w:r>
          </w:p>
        </w:tc>
        <w:tc>
          <w:tcPr>
            <w:tcW w:w="1134" w:type="dxa"/>
            <w:tcBorders>
              <w:top w:val="nil"/>
              <w:left w:val="nil"/>
              <w:bottom w:val="nil"/>
              <w:right w:val="single" w:sz="8" w:space="0" w:color="auto"/>
            </w:tcBorders>
            <w:shd w:val="clear" w:color="000000" w:fill="FFFFFF"/>
            <w:noWrap/>
            <w:vAlign w:val="center"/>
            <w:hideMark/>
          </w:tcPr>
          <w:p w14:paraId="37633122"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-537</w:t>
            </w:r>
          </w:p>
        </w:tc>
      </w:tr>
      <w:tr w:rsidR="00766243" w:rsidRPr="00766243" w14:paraId="7075FAA3" w14:textId="77777777" w:rsidTr="00766243">
        <w:trPr>
          <w:trHeight w:val="280"/>
        </w:trPr>
        <w:tc>
          <w:tcPr>
            <w:tcW w:w="5640" w:type="dxa"/>
            <w:tcBorders>
              <w:top w:val="nil"/>
              <w:left w:val="single" w:sz="8" w:space="0" w:color="auto"/>
              <w:bottom w:val="nil"/>
              <w:right w:val="nil"/>
            </w:tcBorders>
            <w:shd w:val="clear" w:color="000000" w:fill="FFFFFF"/>
            <w:vAlign w:val="center"/>
            <w:hideMark/>
          </w:tcPr>
          <w:p w14:paraId="60FE1332" w14:textId="77777777" w:rsidR="00766243" w:rsidRPr="00766243" w:rsidRDefault="00766243" w:rsidP="00766243">
            <w:pPr>
              <w:rPr>
                <w:rFonts w:cs="Arial"/>
                <w:color w:val="000000"/>
                <w:sz w:val="18"/>
                <w:szCs w:val="18"/>
                <w:lang w:eastAsia="en-GB"/>
              </w:rPr>
            </w:pPr>
            <w:r w:rsidRPr="00766243">
              <w:rPr>
                <w:rFonts w:cs="Arial"/>
                <w:color w:val="000000"/>
                <w:sz w:val="18"/>
                <w:szCs w:val="18"/>
                <w:lang w:eastAsia="en-GB"/>
              </w:rPr>
              <w:t>People</w:t>
            </w:r>
          </w:p>
        </w:tc>
        <w:tc>
          <w:tcPr>
            <w:tcW w:w="1154" w:type="dxa"/>
            <w:tcBorders>
              <w:top w:val="nil"/>
              <w:left w:val="single" w:sz="8" w:space="0" w:color="auto"/>
              <w:bottom w:val="nil"/>
              <w:right w:val="single" w:sz="8" w:space="0" w:color="auto"/>
            </w:tcBorders>
            <w:shd w:val="clear" w:color="000000" w:fill="FFFFFF"/>
            <w:noWrap/>
            <w:vAlign w:val="center"/>
            <w:hideMark/>
          </w:tcPr>
          <w:p w14:paraId="0E33552F"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432</w:t>
            </w:r>
          </w:p>
        </w:tc>
        <w:tc>
          <w:tcPr>
            <w:tcW w:w="1134" w:type="dxa"/>
            <w:tcBorders>
              <w:top w:val="nil"/>
              <w:left w:val="nil"/>
              <w:bottom w:val="nil"/>
              <w:right w:val="single" w:sz="8" w:space="0" w:color="auto"/>
            </w:tcBorders>
            <w:shd w:val="clear" w:color="000000" w:fill="FFFFFF"/>
            <w:noWrap/>
            <w:vAlign w:val="center"/>
            <w:hideMark/>
          </w:tcPr>
          <w:p w14:paraId="6257B4C1"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432</w:t>
            </w:r>
          </w:p>
        </w:tc>
        <w:tc>
          <w:tcPr>
            <w:tcW w:w="1134" w:type="dxa"/>
            <w:tcBorders>
              <w:top w:val="nil"/>
              <w:left w:val="nil"/>
              <w:bottom w:val="nil"/>
              <w:right w:val="single" w:sz="8" w:space="0" w:color="auto"/>
            </w:tcBorders>
            <w:shd w:val="clear" w:color="000000" w:fill="FFFFFF"/>
            <w:noWrap/>
            <w:vAlign w:val="center"/>
            <w:hideMark/>
          </w:tcPr>
          <w:p w14:paraId="59BE314B"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0</w:t>
            </w:r>
          </w:p>
        </w:tc>
      </w:tr>
      <w:tr w:rsidR="00766243" w:rsidRPr="00766243" w14:paraId="3CC68A2D" w14:textId="77777777" w:rsidTr="00766243">
        <w:trPr>
          <w:trHeight w:val="280"/>
        </w:trPr>
        <w:tc>
          <w:tcPr>
            <w:tcW w:w="5640" w:type="dxa"/>
            <w:tcBorders>
              <w:top w:val="nil"/>
              <w:left w:val="single" w:sz="8" w:space="0" w:color="auto"/>
              <w:bottom w:val="nil"/>
              <w:right w:val="nil"/>
            </w:tcBorders>
            <w:shd w:val="clear" w:color="000000" w:fill="FFFFFF"/>
            <w:vAlign w:val="center"/>
            <w:hideMark/>
          </w:tcPr>
          <w:p w14:paraId="791D2ABC" w14:textId="77777777" w:rsidR="00766243" w:rsidRPr="00766243" w:rsidRDefault="00766243" w:rsidP="00766243">
            <w:pPr>
              <w:rPr>
                <w:rFonts w:cs="Arial"/>
                <w:color w:val="000000"/>
                <w:sz w:val="18"/>
                <w:szCs w:val="18"/>
                <w:lang w:eastAsia="en-GB"/>
              </w:rPr>
            </w:pPr>
            <w:r w:rsidRPr="00766243">
              <w:rPr>
                <w:rFonts w:cs="Arial"/>
                <w:color w:val="000000"/>
                <w:sz w:val="18"/>
                <w:szCs w:val="18"/>
                <w:lang w:eastAsia="en-GB"/>
              </w:rPr>
              <w:t>Communications</w:t>
            </w:r>
          </w:p>
        </w:tc>
        <w:tc>
          <w:tcPr>
            <w:tcW w:w="1154" w:type="dxa"/>
            <w:tcBorders>
              <w:top w:val="nil"/>
              <w:left w:val="single" w:sz="8" w:space="0" w:color="auto"/>
              <w:bottom w:val="nil"/>
              <w:right w:val="single" w:sz="8" w:space="0" w:color="auto"/>
            </w:tcBorders>
            <w:shd w:val="clear" w:color="000000" w:fill="FFFFFF"/>
            <w:noWrap/>
            <w:vAlign w:val="center"/>
            <w:hideMark/>
          </w:tcPr>
          <w:p w14:paraId="6EFD614F"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500</w:t>
            </w:r>
          </w:p>
        </w:tc>
        <w:tc>
          <w:tcPr>
            <w:tcW w:w="1134" w:type="dxa"/>
            <w:tcBorders>
              <w:top w:val="nil"/>
              <w:left w:val="nil"/>
              <w:bottom w:val="nil"/>
              <w:right w:val="single" w:sz="8" w:space="0" w:color="auto"/>
            </w:tcBorders>
            <w:shd w:val="clear" w:color="000000" w:fill="FFFFFF"/>
            <w:noWrap/>
            <w:vAlign w:val="center"/>
            <w:hideMark/>
          </w:tcPr>
          <w:p w14:paraId="098B0D03"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388</w:t>
            </w:r>
          </w:p>
        </w:tc>
        <w:tc>
          <w:tcPr>
            <w:tcW w:w="1134" w:type="dxa"/>
            <w:tcBorders>
              <w:top w:val="nil"/>
              <w:left w:val="nil"/>
              <w:bottom w:val="nil"/>
              <w:right w:val="single" w:sz="8" w:space="0" w:color="auto"/>
            </w:tcBorders>
            <w:shd w:val="clear" w:color="000000" w:fill="FFFFFF"/>
            <w:noWrap/>
            <w:vAlign w:val="center"/>
            <w:hideMark/>
          </w:tcPr>
          <w:p w14:paraId="367EE290"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112</w:t>
            </w:r>
          </w:p>
        </w:tc>
      </w:tr>
      <w:tr w:rsidR="00766243" w:rsidRPr="00766243" w14:paraId="016FB397" w14:textId="77777777" w:rsidTr="00766243">
        <w:trPr>
          <w:trHeight w:val="280"/>
        </w:trPr>
        <w:tc>
          <w:tcPr>
            <w:tcW w:w="5640" w:type="dxa"/>
            <w:tcBorders>
              <w:top w:val="nil"/>
              <w:left w:val="single" w:sz="8" w:space="0" w:color="auto"/>
              <w:bottom w:val="nil"/>
              <w:right w:val="nil"/>
            </w:tcBorders>
            <w:shd w:val="clear" w:color="000000" w:fill="FFFFFF"/>
            <w:vAlign w:val="center"/>
            <w:hideMark/>
          </w:tcPr>
          <w:p w14:paraId="27AFAE5A" w14:textId="77777777" w:rsidR="00766243" w:rsidRPr="00766243" w:rsidRDefault="00766243" w:rsidP="00766243">
            <w:pPr>
              <w:rPr>
                <w:rFonts w:cs="Arial"/>
                <w:color w:val="000000"/>
                <w:sz w:val="18"/>
                <w:szCs w:val="18"/>
                <w:lang w:eastAsia="en-GB"/>
              </w:rPr>
            </w:pPr>
            <w:r w:rsidRPr="00766243">
              <w:rPr>
                <w:rFonts w:cs="Arial"/>
                <w:color w:val="000000"/>
                <w:sz w:val="18"/>
                <w:szCs w:val="18"/>
                <w:lang w:eastAsia="en-GB"/>
              </w:rPr>
              <w:t>Development Management</w:t>
            </w:r>
          </w:p>
        </w:tc>
        <w:tc>
          <w:tcPr>
            <w:tcW w:w="1154" w:type="dxa"/>
            <w:tcBorders>
              <w:top w:val="nil"/>
              <w:left w:val="single" w:sz="8" w:space="0" w:color="auto"/>
              <w:bottom w:val="nil"/>
              <w:right w:val="single" w:sz="8" w:space="0" w:color="auto"/>
            </w:tcBorders>
            <w:shd w:val="clear" w:color="000000" w:fill="FFFFFF"/>
            <w:noWrap/>
            <w:vAlign w:val="center"/>
            <w:hideMark/>
          </w:tcPr>
          <w:p w14:paraId="19C0698C"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573</w:t>
            </w:r>
          </w:p>
        </w:tc>
        <w:tc>
          <w:tcPr>
            <w:tcW w:w="1134" w:type="dxa"/>
            <w:tcBorders>
              <w:top w:val="nil"/>
              <w:left w:val="nil"/>
              <w:bottom w:val="nil"/>
              <w:right w:val="single" w:sz="8" w:space="0" w:color="auto"/>
            </w:tcBorders>
            <w:shd w:val="clear" w:color="000000" w:fill="FFFFFF"/>
            <w:noWrap/>
            <w:vAlign w:val="center"/>
            <w:hideMark/>
          </w:tcPr>
          <w:p w14:paraId="059DD1D7"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572</w:t>
            </w:r>
          </w:p>
        </w:tc>
        <w:tc>
          <w:tcPr>
            <w:tcW w:w="1134" w:type="dxa"/>
            <w:tcBorders>
              <w:top w:val="nil"/>
              <w:left w:val="nil"/>
              <w:bottom w:val="nil"/>
              <w:right w:val="single" w:sz="8" w:space="0" w:color="auto"/>
            </w:tcBorders>
            <w:shd w:val="clear" w:color="000000" w:fill="FFFFFF"/>
            <w:noWrap/>
            <w:vAlign w:val="center"/>
            <w:hideMark/>
          </w:tcPr>
          <w:p w14:paraId="1287DE81"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1</w:t>
            </w:r>
          </w:p>
        </w:tc>
      </w:tr>
      <w:tr w:rsidR="00766243" w:rsidRPr="00766243" w14:paraId="37179948" w14:textId="77777777" w:rsidTr="00766243">
        <w:trPr>
          <w:trHeight w:val="280"/>
        </w:trPr>
        <w:tc>
          <w:tcPr>
            <w:tcW w:w="5640" w:type="dxa"/>
            <w:tcBorders>
              <w:top w:val="nil"/>
              <w:left w:val="single" w:sz="8" w:space="0" w:color="auto"/>
              <w:bottom w:val="nil"/>
              <w:right w:val="nil"/>
            </w:tcBorders>
            <w:shd w:val="clear" w:color="000000" w:fill="FFFFFF"/>
            <w:vAlign w:val="center"/>
            <w:hideMark/>
          </w:tcPr>
          <w:p w14:paraId="3549483A" w14:textId="77777777" w:rsidR="00766243" w:rsidRPr="00766243" w:rsidRDefault="00766243" w:rsidP="00766243">
            <w:pPr>
              <w:rPr>
                <w:rFonts w:cs="Arial"/>
                <w:color w:val="000000"/>
                <w:sz w:val="18"/>
                <w:szCs w:val="18"/>
                <w:lang w:eastAsia="en-GB"/>
              </w:rPr>
            </w:pPr>
            <w:r w:rsidRPr="00766243">
              <w:rPr>
                <w:rFonts w:cs="Arial"/>
                <w:color w:val="000000"/>
                <w:sz w:val="18"/>
                <w:szCs w:val="18"/>
                <w:lang w:eastAsia="en-GB"/>
              </w:rPr>
              <w:t>Strategy &amp; Rangers</w:t>
            </w:r>
          </w:p>
        </w:tc>
        <w:tc>
          <w:tcPr>
            <w:tcW w:w="1154" w:type="dxa"/>
            <w:tcBorders>
              <w:top w:val="nil"/>
              <w:left w:val="single" w:sz="8" w:space="0" w:color="auto"/>
              <w:bottom w:val="nil"/>
              <w:right w:val="single" w:sz="8" w:space="0" w:color="auto"/>
            </w:tcBorders>
            <w:shd w:val="clear" w:color="000000" w:fill="FFFFFF"/>
            <w:noWrap/>
            <w:vAlign w:val="center"/>
            <w:hideMark/>
          </w:tcPr>
          <w:p w14:paraId="57649E87"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2,115</w:t>
            </w:r>
          </w:p>
        </w:tc>
        <w:tc>
          <w:tcPr>
            <w:tcW w:w="1134" w:type="dxa"/>
            <w:tcBorders>
              <w:top w:val="nil"/>
              <w:left w:val="nil"/>
              <w:bottom w:val="nil"/>
              <w:right w:val="single" w:sz="8" w:space="0" w:color="auto"/>
            </w:tcBorders>
            <w:shd w:val="clear" w:color="000000" w:fill="FFFFFF"/>
            <w:noWrap/>
            <w:vAlign w:val="center"/>
            <w:hideMark/>
          </w:tcPr>
          <w:p w14:paraId="4A2294FF"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2118</w:t>
            </w:r>
          </w:p>
        </w:tc>
        <w:tc>
          <w:tcPr>
            <w:tcW w:w="1134" w:type="dxa"/>
            <w:tcBorders>
              <w:top w:val="nil"/>
              <w:left w:val="nil"/>
              <w:bottom w:val="nil"/>
              <w:right w:val="single" w:sz="8" w:space="0" w:color="auto"/>
            </w:tcBorders>
            <w:shd w:val="clear" w:color="000000" w:fill="FFFFFF"/>
            <w:noWrap/>
            <w:vAlign w:val="center"/>
            <w:hideMark/>
          </w:tcPr>
          <w:p w14:paraId="2BBAC4AB"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-3</w:t>
            </w:r>
          </w:p>
        </w:tc>
      </w:tr>
      <w:tr w:rsidR="00766243" w:rsidRPr="00766243" w14:paraId="66FC8791" w14:textId="77777777" w:rsidTr="00766243">
        <w:trPr>
          <w:trHeight w:val="280"/>
        </w:trPr>
        <w:tc>
          <w:tcPr>
            <w:tcW w:w="5640" w:type="dxa"/>
            <w:tcBorders>
              <w:top w:val="nil"/>
              <w:left w:val="single" w:sz="8" w:space="0" w:color="auto"/>
              <w:bottom w:val="nil"/>
              <w:right w:val="nil"/>
            </w:tcBorders>
            <w:shd w:val="clear" w:color="000000" w:fill="FFFFFF"/>
            <w:vAlign w:val="center"/>
            <w:hideMark/>
          </w:tcPr>
          <w:p w14:paraId="1F602BBC" w14:textId="77777777" w:rsidR="00766243" w:rsidRPr="00766243" w:rsidRDefault="00766243" w:rsidP="00766243">
            <w:pPr>
              <w:rPr>
                <w:rFonts w:cs="Arial"/>
                <w:color w:val="000000"/>
                <w:sz w:val="18"/>
                <w:szCs w:val="18"/>
                <w:lang w:eastAsia="en-GB"/>
              </w:rPr>
            </w:pPr>
            <w:r w:rsidRPr="00766243">
              <w:rPr>
                <w:rFonts w:cs="Arial"/>
                <w:color w:val="000000"/>
                <w:sz w:val="18"/>
                <w:szCs w:val="18"/>
                <w:lang w:eastAsia="en-GB"/>
              </w:rPr>
              <w:t>Non Distributed Costs</w:t>
            </w:r>
          </w:p>
        </w:tc>
        <w:tc>
          <w:tcPr>
            <w:tcW w:w="1154" w:type="dxa"/>
            <w:tcBorders>
              <w:top w:val="nil"/>
              <w:left w:val="single" w:sz="8" w:space="0" w:color="auto"/>
              <w:bottom w:val="nil"/>
              <w:right w:val="single" w:sz="8" w:space="0" w:color="auto"/>
            </w:tcBorders>
            <w:shd w:val="clear" w:color="000000" w:fill="FFFFFF"/>
            <w:noWrap/>
            <w:vAlign w:val="center"/>
            <w:hideMark/>
          </w:tcPr>
          <w:p w14:paraId="477A9733" w14:textId="1ABE0C2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12</w:t>
            </w:r>
          </w:p>
        </w:tc>
        <w:tc>
          <w:tcPr>
            <w:tcW w:w="1134" w:type="dxa"/>
            <w:tcBorders>
              <w:top w:val="nil"/>
              <w:left w:val="nil"/>
              <w:bottom w:val="nil"/>
              <w:right w:val="single" w:sz="8" w:space="0" w:color="auto"/>
            </w:tcBorders>
            <w:shd w:val="clear" w:color="000000" w:fill="FFFFFF"/>
            <w:noWrap/>
            <w:vAlign w:val="center"/>
            <w:hideMark/>
          </w:tcPr>
          <w:p w14:paraId="45075971"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13</w:t>
            </w:r>
          </w:p>
        </w:tc>
        <w:tc>
          <w:tcPr>
            <w:tcW w:w="1134" w:type="dxa"/>
            <w:tcBorders>
              <w:top w:val="nil"/>
              <w:left w:val="nil"/>
              <w:bottom w:val="nil"/>
              <w:right w:val="single" w:sz="8" w:space="0" w:color="auto"/>
            </w:tcBorders>
            <w:shd w:val="clear" w:color="000000" w:fill="FFFFFF"/>
            <w:noWrap/>
            <w:vAlign w:val="center"/>
            <w:hideMark/>
          </w:tcPr>
          <w:p w14:paraId="45FF1CB1"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-1</w:t>
            </w:r>
          </w:p>
        </w:tc>
      </w:tr>
      <w:tr w:rsidR="00766243" w:rsidRPr="00766243" w14:paraId="51E76D30" w14:textId="77777777" w:rsidTr="00766243">
        <w:trPr>
          <w:trHeight w:val="280"/>
        </w:trPr>
        <w:tc>
          <w:tcPr>
            <w:tcW w:w="5640" w:type="dxa"/>
            <w:tcBorders>
              <w:top w:val="single" w:sz="8" w:space="0" w:color="auto"/>
              <w:left w:val="single" w:sz="8" w:space="0" w:color="auto"/>
              <w:bottom w:val="nil"/>
              <w:right w:val="nil"/>
            </w:tcBorders>
            <w:shd w:val="clear" w:color="000000" w:fill="FFFFFF"/>
            <w:vAlign w:val="center"/>
            <w:hideMark/>
          </w:tcPr>
          <w:p w14:paraId="00E9BAA5" w14:textId="77777777" w:rsidR="00766243" w:rsidRPr="00766243" w:rsidRDefault="00766243" w:rsidP="00766243">
            <w:pPr>
              <w:rPr>
                <w:rFonts w:cs="Arial"/>
                <w:b/>
                <w:bCs/>
                <w:color w:val="000000"/>
                <w:sz w:val="18"/>
                <w:szCs w:val="18"/>
                <w:lang w:eastAsia="en-GB"/>
              </w:rPr>
            </w:pPr>
            <w:r w:rsidRPr="00766243">
              <w:rPr>
                <w:rFonts w:cs="Arial"/>
                <w:b/>
                <w:bCs/>
                <w:color w:val="000000"/>
                <w:sz w:val="18"/>
                <w:szCs w:val="18"/>
                <w:lang w:eastAsia="en-GB"/>
              </w:rPr>
              <w:t>Cost of Services</w:t>
            </w:r>
          </w:p>
        </w:tc>
        <w:tc>
          <w:tcPr>
            <w:tcW w:w="1154" w:type="dxa"/>
            <w:tcBorders>
              <w:top w:val="single" w:sz="8" w:space="0" w:color="auto"/>
              <w:left w:val="single" w:sz="8" w:space="0" w:color="auto"/>
              <w:bottom w:val="nil"/>
              <w:right w:val="single" w:sz="8" w:space="0" w:color="auto"/>
            </w:tcBorders>
            <w:shd w:val="clear" w:color="000000" w:fill="FFFFFF"/>
            <w:noWrap/>
            <w:vAlign w:val="center"/>
            <w:hideMark/>
          </w:tcPr>
          <w:p w14:paraId="21A9EDD0" w14:textId="77777777" w:rsidR="00766243" w:rsidRPr="00766243" w:rsidRDefault="00766243" w:rsidP="00766243">
            <w:pPr>
              <w:jc w:val="right"/>
              <w:rPr>
                <w:rFonts w:cs="Arial"/>
                <w:b/>
                <w:bCs/>
                <w:color w:val="000000"/>
                <w:sz w:val="18"/>
                <w:szCs w:val="18"/>
                <w:lang w:eastAsia="en-GB"/>
              </w:rPr>
            </w:pPr>
            <w:r w:rsidRPr="00766243">
              <w:rPr>
                <w:rFonts w:cs="Arial"/>
                <w:b/>
                <w:bCs/>
                <w:color w:val="000000"/>
                <w:sz w:val="18"/>
                <w:szCs w:val="18"/>
                <w:lang w:eastAsia="en-GB"/>
              </w:rPr>
              <w:t>7,026</w:t>
            </w:r>
          </w:p>
        </w:tc>
        <w:tc>
          <w:tcPr>
            <w:tcW w:w="1134" w:type="dxa"/>
            <w:tcBorders>
              <w:top w:val="single" w:sz="8" w:space="0" w:color="auto"/>
              <w:left w:val="nil"/>
              <w:bottom w:val="nil"/>
              <w:right w:val="single" w:sz="8" w:space="0" w:color="auto"/>
            </w:tcBorders>
            <w:shd w:val="clear" w:color="000000" w:fill="FFFFFF"/>
            <w:noWrap/>
            <w:vAlign w:val="center"/>
            <w:hideMark/>
          </w:tcPr>
          <w:p w14:paraId="0F14FBF0" w14:textId="77777777" w:rsidR="00766243" w:rsidRPr="00766243" w:rsidRDefault="00766243" w:rsidP="00766243">
            <w:pPr>
              <w:jc w:val="right"/>
              <w:rPr>
                <w:rFonts w:cs="Arial"/>
                <w:b/>
                <w:bCs/>
                <w:color w:val="000000"/>
                <w:sz w:val="18"/>
                <w:szCs w:val="18"/>
                <w:lang w:eastAsia="en-GB"/>
              </w:rPr>
            </w:pPr>
            <w:r w:rsidRPr="00766243">
              <w:rPr>
                <w:rFonts w:cs="Arial"/>
                <w:b/>
                <w:bCs/>
                <w:color w:val="000000"/>
                <w:sz w:val="18"/>
                <w:szCs w:val="18"/>
                <w:lang w:eastAsia="en-GB"/>
              </w:rPr>
              <w:t>7,580</w:t>
            </w:r>
          </w:p>
        </w:tc>
        <w:tc>
          <w:tcPr>
            <w:tcW w:w="1134" w:type="dxa"/>
            <w:tcBorders>
              <w:top w:val="single" w:sz="8" w:space="0" w:color="auto"/>
              <w:left w:val="nil"/>
              <w:bottom w:val="nil"/>
              <w:right w:val="single" w:sz="8" w:space="0" w:color="auto"/>
            </w:tcBorders>
            <w:shd w:val="clear" w:color="000000" w:fill="FFFFFF"/>
            <w:noWrap/>
            <w:vAlign w:val="center"/>
            <w:hideMark/>
          </w:tcPr>
          <w:p w14:paraId="3311EE15" w14:textId="77777777" w:rsidR="00766243" w:rsidRPr="00766243" w:rsidRDefault="00766243" w:rsidP="00766243">
            <w:pPr>
              <w:jc w:val="right"/>
              <w:rPr>
                <w:rFonts w:cs="Arial"/>
                <w:b/>
                <w:bCs/>
                <w:color w:val="000000"/>
                <w:sz w:val="18"/>
                <w:szCs w:val="18"/>
                <w:lang w:eastAsia="en-GB"/>
              </w:rPr>
            </w:pPr>
            <w:r w:rsidRPr="00766243">
              <w:rPr>
                <w:rFonts w:cs="Arial"/>
                <w:b/>
                <w:bCs/>
                <w:color w:val="000000"/>
                <w:sz w:val="18"/>
                <w:szCs w:val="18"/>
                <w:lang w:eastAsia="en-GB"/>
              </w:rPr>
              <w:t>-554</w:t>
            </w:r>
          </w:p>
        </w:tc>
      </w:tr>
      <w:tr w:rsidR="00766243" w:rsidRPr="00766243" w14:paraId="3F13A362" w14:textId="77777777" w:rsidTr="00766243">
        <w:trPr>
          <w:trHeight w:val="280"/>
        </w:trPr>
        <w:tc>
          <w:tcPr>
            <w:tcW w:w="5640" w:type="dxa"/>
            <w:tcBorders>
              <w:top w:val="nil"/>
              <w:left w:val="single" w:sz="8" w:space="0" w:color="auto"/>
              <w:bottom w:val="nil"/>
              <w:right w:val="nil"/>
            </w:tcBorders>
            <w:shd w:val="clear" w:color="000000" w:fill="FFFFFF"/>
            <w:vAlign w:val="center"/>
            <w:hideMark/>
          </w:tcPr>
          <w:p w14:paraId="3E71A436" w14:textId="77777777" w:rsidR="00766243" w:rsidRPr="00766243" w:rsidRDefault="00766243" w:rsidP="00766243">
            <w:pPr>
              <w:rPr>
                <w:rFonts w:cs="Arial"/>
                <w:color w:val="000000"/>
                <w:sz w:val="18"/>
                <w:szCs w:val="18"/>
                <w:lang w:eastAsia="en-GB"/>
              </w:rPr>
            </w:pPr>
            <w:r w:rsidRPr="00766243">
              <w:rPr>
                <w:rFonts w:cs="Arial"/>
                <w:color w:val="000000"/>
                <w:sz w:val="18"/>
                <w:szCs w:val="18"/>
                <w:lang w:eastAsia="en-GB"/>
              </w:rPr>
              <w:t>Financing &amp; Investment Income &amp; Exp</w:t>
            </w:r>
          </w:p>
        </w:tc>
        <w:tc>
          <w:tcPr>
            <w:tcW w:w="1154" w:type="dxa"/>
            <w:tcBorders>
              <w:top w:val="nil"/>
              <w:left w:val="single" w:sz="8" w:space="0" w:color="auto"/>
              <w:bottom w:val="nil"/>
              <w:right w:val="single" w:sz="8" w:space="0" w:color="auto"/>
            </w:tcBorders>
            <w:shd w:val="clear" w:color="000000" w:fill="FFFFFF"/>
            <w:vAlign w:val="center"/>
            <w:hideMark/>
          </w:tcPr>
          <w:p w14:paraId="28B592F2"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-618</w:t>
            </w:r>
          </w:p>
        </w:tc>
        <w:tc>
          <w:tcPr>
            <w:tcW w:w="1134" w:type="dxa"/>
            <w:tcBorders>
              <w:top w:val="nil"/>
              <w:left w:val="nil"/>
              <w:bottom w:val="nil"/>
              <w:right w:val="single" w:sz="8" w:space="0" w:color="auto"/>
            </w:tcBorders>
            <w:shd w:val="clear" w:color="000000" w:fill="FFFFFF"/>
            <w:vAlign w:val="center"/>
            <w:hideMark/>
          </w:tcPr>
          <w:p w14:paraId="58D313E5"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-501</w:t>
            </w:r>
          </w:p>
        </w:tc>
        <w:tc>
          <w:tcPr>
            <w:tcW w:w="1134" w:type="dxa"/>
            <w:tcBorders>
              <w:top w:val="nil"/>
              <w:left w:val="nil"/>
              <w:bottom w:val="nil"/>
              <w:right w:val="single" w:sz="8" w:space="0" w:color="auto"/>
            </w:tcBorders>
            <w:shd w:val="clear" w:color="000000" w:fill="FFFFFF"/>
            <w:vAlign w:val="center"/>
            <w:hideMark/>
          </w:tcPr>
          <w:p w14:paraId="34AF2B0F"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-117</w:t>
            </w:r>
          </w:p>
        </w:tc>
      </w:tr>
      <w:tr w:rsidR="00766243" w:rsidRPr="00766243" w14:paraId="3F59D266" w14:textId="77777777" w:rsidTr="00766243">
        <w:trPr>
          <w:trHeight w:val="280"/>
        </w:trPr>
        <w:tc>
          <w:tcPr>
            <w:tcW w:w="5640" w:type="dxa"/>
            <w:tcBorders>
              <w:top w:val="nil"/>
              <w:left w:val="single" w:sz="8" w:space="0" w:color="auto"/>
              <w:bottom w:val="nil"/>
              <w:right w:val="nil"/>
            </w:tcBorders>
            <w:shd w:val="clear" w:color="000000" w:fill="FFFFFF"/>
            <w:vAlign w:val="center"/>
            <w:hideMark/>
          </w:tcPr>
          <w:p w14:paraId="6F6FC4A2" w14:textId="77777777" w:rsidR="00766243" w:rsidRPr="00766243" w:rsidRDefault="00766243" w:rsidP="00766243">
            <w:pPr>
              <w:rPr>
                <w:rFonts w:cs="Arial"/>
                <w:color w:val="000000"/>
                <w:sz w:val="18"/>
                <w:szCs w:val="18"/>
                <w:lang w:eastAsia="en-GB"/>
              </w:rPr>
            </w:pPr>
            <w:r w:rsidRPr="00766243">
              <w:rPr>
                <w:rFonts w:cs="Arial"/>
                <w:color w:val="000000"/>
                <w:sz w:val="18"/>
                <w:szCs w:val="18"/>
                <w:lang w:eastAsia="en-GB"/>
              </w:rPr>
              <w:t>Non-specific grant income</w:t>
            </w:r>
          </w:p>
        </w:tc>
        <w:tc>
          <w:tcPr>
            <w:tcW w:w="1154" w:type="dxa"/>
            <w:tcBorders>
              <w:top w:val="nil"/>
              <w:left w:val="single" w:sz="8" w:space="0" w:color="auto"/>
              <w:bottom w:val="nil"/>
              <w:right w:val="single" w:sz="8" w:space="0" w:color="auto"/>
            </w:tcBorders>
            <w:shd w:val="clear" w:color="000000" w:fill="FFFFFF"/>
            <w:vAlign w:val="center"/>
            <w:hideMark/>
          </w:tcPr>
          <w:p w14:paraId="2DD7797B"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-5,608</w:t>
            </w:r>
          </w:p>
        </w:tc>
        <w:tc>
          <w:tcPr>
            <w:tcW w:w="1134" w:type="dxa"/>
            <w:tcBorders>
              <w:top w:val="nil"/>
              <w:left w:val="nil"/>
              <w:bottom w:val="nil"/>
              <w:right w:val="single" w:sz="8" w:space="0" w:color="auto"/>
            </w:tcBorders>
            <w:shd w:val="clear" w:color="000000" w:fill="FFFFFF"/>
            <w:vAlign w:val="center"/>
            <w:hideMark/>
          </w:tcPr>
          <w:p w14:paraId="3E5C3CA0"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-5,608</w:t>
            </w:r>
          </w:p>
        </w:tc>
        <w:tc>
          <w:tcPr>
            <w:tcW w:w="1134" w:type="dxa"/>
            <w:tcBorders>
              <w:top w:val="nil"/>
              <w:left w:val="nil"/>
              <w:bottom w:val="nil"/>
              <w:right w:val="single" w:sz="8" w:space="0" w:color="auto"/>
            </w:tcBorders>
            <w:shd w:val="clear" w:color="000000" w:fill="FFFFFF"/>
            <w:vAlign w:val="center"/>
            <w:hideMark/>
          </w:tcPr>
          <w:p w14:paraId="738E90E7"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0</w:t>
            </w:r>
          </w:p>
        </w:tc>
      </w:tr>
      <w:tr w:rsidR="00766243" w:rsidRPr="00766243" w14:paraId="29624FB1" w14:textId="77777777" w:rsidTr="00766243">
        <w:trPr>
          <w:trHeight w:val="280"/>
        </w:trPr>
        <w:tc>
          <w:tcPr>
            <w:tcW w:w="5640" w:type="dxa"/>
            <w:tcBorders>
              <w:top w:val="single" w:sz="8" w:space="0" w:color="auto"/>
              <w:left w:val="single" w:sz="8" w:space="0" w:color="auto"/>
              <w:bottom w:val="nil"/>
              <w:right w:val="nil"/>
            </w:tcBorders>
            <w:shd w:val="clear" w:color="000000" w:fill="FFFFFF"/>
            <w:vAlign w:val="center"/>
            <w:hideMark/>
          </w:tcPr>
          <w:p w14:paraId="73E95CDB" w14:textId="77777777" w:rsidR="00766243" w:rsidRPr="00766243" w:rsidRDefault="00766243" w:rsidP="00766243">
            <w:pPr>
              <w:rPr>
                <w:rFonts w:cs="Arial"/>
                <w:b/>
                <w:bCs/>
                <w:color w:val="000000"/>
                <w:sz w:val="18"/>
                <w:szCs w:val="18"/>
                <w:lang w:eastAsia="en-GB"/>
              </w:rPr>
            </w:pPr>
            <w:r w:rsidRPr="00766243">
              <w:rPr>
                <w:rFonts w:cs="Arial"/>
                <w:b/>
                <w:bCs/>
                <w:color w:val="000000"/>
                <w:sz w:val="18"/>
                <w:szCs w:val="18"/>
                <w:lang w:eastAsia="en-GB"/>
              </w:rPr>
              <w:t>(Surplus) or Deficit on Provision of Services</w:t>
            </w:r>
          </w:p>
        </w:tc>
        <w:tc>
          <w:tcPr>
            <w:tcW w:w="1154" w:type="dxa"/>
            <w:tcBorders>
              <w:top w:val="single" w:sz="8" w:space="0" w:color="auto"/>
              <w:left w:val="single" w:sz="8" w:space="0" w:color="auto"/>
              <w:bottom w:val="nil"/>
              <w:right w:val="single" w:sz="8" w:space="0" w:color="auto"/>
            </w:tcBorders>
            <w:shd w:val="clear" w:color="000000" w:fill="FFFFFF"/>
            <w:noWrap/>
            <w:vAlign w:val="center"/>
            <w:hideMark/>
          </w:tcPr>
          <w:p w14:paraId="5A9C3A8A" w14:textId="77777777" w:rsidR="00766243" w:rsidRPr="00766243" w:rsidRDefault="00766243" w:rsidP="00766243">
            <w:pPr>
              <w:jc w:val="right"/>
              <w:rPr>
                <w:rFonts w:cs="Arial"/>
                <w:b/>
                <w:bCs/>
                <w:color w:val="000000"/>
                <w:sz w:val="18"/>
                <w:szCs w:val="18"/>
                <w:lang w:eastAsia="en-GB"/>
              </w:rPr>
            </w:pPr>
            <w:r w:rsidRPr="00766243">
              <w:rPr>
                <w:rFonts w:cs="Arial"/>
                <w:b/>
                <w:bCs/>
                <w:color w:val="000000"/>
                <w:sz w:val="18"/>
                <w:szCs w:val="18"/>
                <w:lang w:eastAsia="en-GB"/>
              </w:rPr>
              <w:t>800</w:t>
            </w:r>
          </w:p>
        </w:tc>
        <w:tc>
          <w:tcPr>
            <w:tcW w:w="1134" w:type="dxa"/>
            <w:tcBorders>
              <w:top w:val="single" w:sz="8" w:space="0" w:color="auto"/>
              <w:left w:val="nil"/>
              <w:bottom w:val="nil"/>
              <w:right w:val="single" w:sz="8" w:space="0" w:color="auto"/>
            </w:tcBorders>
            <w:shd w:val="clear" w:color="000000" w:fill="FFFFFF"/>
            <w:noWrap/>
            <w:vAlign w:val="center"/>
            <w:hideMark/>
          </w:tcPr>
          <w:p w14:paraId="367E9913" w14:textId="77777777" w:rsidR="00766243" w:rsidRPr="00766243" w:rsidRDefault="00766243" w:rsidP="00766243">
            <w:pPr>
              <w:jc w:val="right"/>
              <w:rPr>
                <w:rFonts w:cs="Arial"/>
                <w:b/>
                <w:bCs/>
                <w:color w:val="000000"/>
                <w:sz w:val="18"/>
                <w:szCs w:val="18"/>
                <w:lang w:eastAsia="en-GB"/>
              </w:rPr>
            </w:pPr>
            <w:r w:rsidRPr="00766243">
              <w:rPr>
                <w:rFonts w:cs="Arial"/>
                <w:b/>
                <w:bCs/>
                <w:color w:val="000000"/>
                <w:sz w:val="18"/>
                <w:szCs w:val="18"/>
                <w:lang w:eastAsia="en-GB"/>
              </w:rPr>
              <w:t>1,471</w:t>
            </w:r>
          </w:p>
        </w:tc>
        <w:tc>
          <w:tcPr>
            <w:tcW w:w="1134" w:type="dxa"/>
            <w:tcBorders>
              <w:top w:val="single" w:sz="8" w:space="0" w:color="auto"/>
              <w:left w:val="nil"/>
              <w:bottom w:val="nil"/>
              <w:right w:val="single" w:sz="8" w:space="0" w:color="auto"/>
            </w:tcBorders>
            <w:shd w:val="clear" w:color="000000" w:fill="FFFFFF"/>
            <w:noWrap/>
            <w:vAlign w:val="center"/>
            <w:hideMark/>
          </w:tcPr>
          <w:p w14:paraId="31C338AF" w14:textId="77777777" w:rsidR="00766243" w:rsidRPr="00766243" w:rsidRDefault="00766243" w:rsidP="00766243">
            <w:pPr>
              <w:jc w:val="right"/>
              <w:rPr>
                <w:rFonts w:cs="Arial"/>
                <w:b/>
                <w:bCs/>
                <w:color w:val="000000"/>
                <w:sz w:val="18"/>
                <w:szCs w:val="18"/>
                <w:lang w:eastAsia="en-GB"/>
              </w:rPr>
            </w:pPr>
            <w:r w:rsidRPr="00766243">
              <w:rPr>
                <w:rFonts w:cs="Arial"/>
                <w:b/>
                <w:bCs/>
                <w:color w:val="000000"/>
                <w:sz w:val="18"/>
                <w:szCs w:val="18"/>
                <w:lang w:eastAsia="en-GB"/>
              </w:rPr>
              <w:t>-671</w:t>
            </w:r>
          </w:p>
        </w:tc>
      </w:tr>
      <w:tr w:rsidR="00766243" w:rsidRPr="00766243" w14:paraId="1F4C4224" w14:textId="77777777" w:rsidTr="00766243">
        <w:trPr>
          <w:trHeight w:val="280"/>
        </w:trPr>
        <w:tc>
          <w:tcPr>
            <w:tcW w:w="5640" w:type="dxa"/>
            <w:tcBorders>
              <w:top w:val="nil"/>
              <w:left w:val="single" w:sz="8" w:space="0" w:color="auto"/>
              <w:bottom w:val="nil"/>
              <w:right w:val="nil"/>
            </w:tcBorders>
            <w:shd w:val="clear" w:color="000000" w:fill="FFFFFF"/>
            <w:vAlign w:val="center"/>
            <w:hideMark/>
          </w:tcPr>
          <w:p w14:paraId="0FC9EC74" w14:textId="77777777" w:rsidR="00766243" w:rsidRPr="00766243" w:rsidRDefault="00766243" w:rsidP="00766243">
            <w:pPr>
              <w:rPr>
                <w:rFonts w:cs="Arial"/>
                <w:color w:val="000000"/>
                <w:sz w:val="18"/>
                <w:szCs w:val="18"/>
                <w:lang w:eastAsia="en-GB"/>
              </w:rPr>
            </w:pPr>
            <w:r w:rsidRPr="00766243">
              <w:rPr>
                <w:rFonts w:cs="Arial"/>
                <w:color w:val="000000"/>
                <w:sz w:val="18"/>
                <w:szCs w:val="18"/>
                <w:lang w:eastAsia="en-GB"/>
              </w:rPr>
              <w:t>(Surplus) or deficit on revaluation of non-current assets</w:t>
            </w:r>
          </w:p>
        </w:tc>
        <w:tc>
          <w:tcPr>
            <w:tcW w:w="1154" w:type="dxa"/>
            <w:tcBorders>
              <w:top w:val="nil"/>
              <w:left w:val="single" w:sz="8" w:space="0" w:color="auto"/>
              <w:bottom w:val="nil"/>
              <w:right w:val="single" w:sz="8" w:space="0" w:color="auto"/>
            </w:tcBorders>
            <w:shd w:val="clear" w:color="000000" w:fill="FFFFFF"/>
            <w:vAlign w:val="center"/>
            <w:hideMark/>
          </w:tcPr>
          <w:p w14:paraId="5080D104"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-2,145</w:t>
            </w:r>
          </w:p>
        </w:tc>
        <w:tc>
          <w:tcPr>
            <w:tcW w:w="1134" w:type="dxa"/>
            <w:tcBorders>
              <w:top w:val="nil"/>
              <w:left w:val="nil"/>
              <w:bottom w:val="nil"/>
              <w:right w:val="single" w:sz="8" w:space="0" w:color="auto"/>
            </w:tcBorders>
            <w:shd w:val="clear" w:color="000000" w:fill="FFFFFF"/>
            <w:vAlign w:val="center"/>
            <w:hideMark/>
          </w:tcPr>
          <w:p w14:paraId="78DF6D1A"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-2,145</w:t>
            </w:r>
          </w:p>
        </w:tc>
        <w:tc>
          <w:tcPr>
            <w:tcW w:w="1134" w:type="dxa"/>
            <w:tcBorders>
              <w:top w:val="nil"/>
              <w:left w:val="nil"/>
              <w:bottom w:val="nil"/>
              <w:right w:val="single" w:sz="8" w:space="0" w:color="auto"/>
            </w:tcBorders>
            <w:shd w:val="clear" w:color="000000" w:fill="FFFFFF"/>
            <w:vAlign w:val="center"/>
            <w:hideMark/>
          </w:tcPr>
          <w:p w14:paraId="2E6978CE"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0</w:t>
            </w:r>
          </w:p>
        </w:tc>
      </w:tr>
      <w:tr w:rsidR="00766243" w:rsidRPr="00766243" w14:paraId="4758FD51" w14:textId="77777777" w:rsidTr="00766243">
        <w:trPr>
          <w:trHeight w:val="280"/>
        </w:trPr>
        <w:tc>
          <w:tcPr>
            <w:tcW w:w="5640" w:type="dxa"/>
            <w:tcBorders>
              <w:top w:val="nil"/>
              <w:left w:val="single" w:sz="8" w:space="0" w:color="auto"/>
              <w:bottom w:val="nil"/>
              <w:right w:val="nil"/>
            </w:tcBorders>
            <w:shd w:val="clear" w:color="000000" w:fill="FFFFFF"/>
            <w:vAlign w:val="center"/>
            <w:hideMark/>
          </w:tcPr>
          <w:p w14:paraId="4B92279C" w14:textId="77777777" w:rsidR="00766243" w:rsidRPr="00766243" w:rsidRDefault="00766243" w:rsidP="00766243">
            <w:pPr>
              <w:rPr>
                <w:rFonts w:cs="Arial"/>
                <w:color w:val="000000"/>
                <w:sz w:val="18"/>
                <w:szCs w:val="18"/>
                <w:lang w:eastAsia="en-GB"/>
              </w:rPr>
            </w:pPr>
            <w:r w:rsidRPr="00766243">
              <w:rPr>
                <w:rFonts w:cs="Arial"/>
                <w:color w:val="000000"/>
                <w:sz w:val="18"/>
                <w:szCs w:val="18"/>
                <w:lang w:eastAsia="en-GB"/>
              </w:rPr>
              <w:t>Remeasurements of the defined benefit liability</w:t>
            </w:r>
          </w:p>
        </w:tc>
        <w:tc>
          <w:tcPr>
            <w:tcW w:w="1154" w:type="dxa"/>
            <w:tcBorders>
              <w:top w:val="nil"/>
              <w:left w:val="single" w:sz="8" w:space="0" w:color="auto"/>
              <w:bottom w:val="nil"/>
              <w:right w:val="single" w:sz="8" w:space="0" w:color="auto"/>
            </w:tcBorders>
            <w:shd w:val="clear" w:color="000000" w:fill="FFFFFF"/>
            <w:vAlign w:val="center"/>
            <w:hideMark/>
          </w:tcPr>
          <w:p w14:paraId="41065EEB"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237</w:t>
            </w:r>
          </w:p>
        </w:tc>
        <w:tc>
          <w:tcPr>
            <w:tcW w:w="1134" w:type="dxa"/>
            <w:tcBorders>
              <w:top w:val="nil"/>
              <w:left w:val="nil"/>
              <w:bottom w:val="nil"/>
              <w:right w:val="single" w:sz="8" w:space="0" w:color="auto"/>
            </w:tcBorders>
            <w:shd w:val="clear" w:color="000000" w:fill="FFFFFF"/>
            <w:vAlign w:val="center"/>
            <w:hideMark/>
          </w:tcPr>
          <w:p w14:paraId="2C742FA5"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237</w:t>
            </w:r>
          </w:p>
        </w:tc>
        <w:tc>
          <w:tcPr>
            <w:tcW w:w="1134" w:type="dxa"/>
            <w:tcBorders>
              <w:top w:val="nil"/>
              <w:left w:val="nil"/>
              <w:bottom w:val="nil"/>
              <w:right w:val="single" w:sz="8" w:space="0" w:color="auto"/>
            </w:tcBorders>
            <w:shd w:val="clear" w:color="000000" w:fill="FFFFFF"/>
            <w:vAlign w:val="center"/>
            <w:hideMark/>
          </w:tcPr>
          <w:p w14:paraId="0054915B"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0</w:t>
            </w:r>
          </w:p>
        </w:tc>
      </w:tr>
      <w:tr w:rsidR="00766243" w:rsidRPr="00766243" w14:paraId="798F4C88" w14:textId="77777777" w:rsidTr="00757709">
        <w:trPr>
          <w:trHeight w:val="280"/>
        </w:trPr>
        <w:tc>
          <w:tcPr>
            <w:tcW w:w="5640" w:type="dxa"/>
            <w:tcBorders>
              <w:top w:val="single" w:sz="8" w:space="0" w:color="auto"/>
              <w:left w:val="single" w:sz="8" w:space="0" w:color="auto"/>
              <w:bottom w:val="single" w:sz="8" w:space="0" w:color="auto"/>
              <w:right w:val="nil"/>
            </w:tcBorders>
            <w:shd w:val="clear" w:color="000000" w:fill="FFFFFF"/>
            <w:vAlign w:val="center"/>
            <w:hideMark/>
          </w:tcPr>
          <w:p w14:paraId="3BFADB2D" w14:textId="77777777" w:rsidR="00766243" w:rsidRPr="00766243" w:rsidRDefault="00766243" w:rsidP="00766243">
            <w:pPr>
              <w:rPr>
                <w:rFonts w:cs="Arial"/>
                <w:b/>
                <w:bCs/>
                <w:color w:val="000000"/>
                <w:sz w:val="18"/>
                <w:szCs w:val="18"/>
                <w:lang w:eastAsia="en-GB"/>
              </w:rPr>
            </w:pPr>
            <w:r w:rsidRPr="00766243">
              <w:rPr>
                <w:rFonts w:cs="Arial"/>
                <w:b/>
                <w:bCs/>
                <w:color w:val="000000"/>
                <w:sz w:val="18"/>
                <w:szCs w:val="18"/>
                <w:lang w:eastAsia="en-GB"/>
              </w:rPr>
              <w:t>Other Comprehensive (Income) &amp; Expenditure</w:t>
            </w:r>
          </w:p>
        </w:tc>
        <w:tc>
          <w:tcPr>
            <w:tcW w:w="115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1B731E7" w14:textId="77777777" w:rsidR="00766243" w:rsidRPr="00766243" w:rsidRDefault="00766243" w:rsidP="00766243">
            <w:pPr>
              <w:jc w:val="right"/>
              <w:rPr>
                <w:rFonts w:cs="Arial"/>
                <w:b/>
                <w:bCs/>
                <w:color w:val="000000"/>
                <w:sz w:val="18"/>
                <w:szCs w:val="18"/>
                <w:lang w:eastAsia="en-GB"/>
              </w:rPr>
            </w:pPr>
            <w:r w:rsidRPr="00766243">
              <w:rPr>
                <w:rFonts w:cs="Arial"/>
                <w:b/>
                <w:bCs/>
                <w:color w:val="000000"/>
                <w:sz w:val="18"/>
                <w:szCs w:val="18"/>
                <w:lang w:eastAsia="en-GB"/>
              </w:rPr>
              <w:t>-1,908</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14:paraId="0C023B9F" w14:textId="77777777" w:rsidR="00766243" w:rsidRPr="00766243" w:rsidRDefault="00766243" w:rsidP="00766243">
            <w:pPr>
              <w:jc w:val="right"/>
              <w:rPr>
                <w:rFonts w:cs="Arial"/>
                <w:b/>
                <w:bCs/>
                <w:color w:val="000000"/>
                <w:sz w:val="18"/>
                <w:szCs w:val="18"/>
                <w:lang w:eastAsia="en-GB"/>
              </w:rPr>
            </w:pPr>
            <w:r w:rsidRPr="00766243">
              <w:rPr>
                <w:rFonts w:cs="Arial"/>
                <w:b/>
                <w:bCs/>
                <w:color w:val="000000"/>
                <w:sz w:val="18"/>
                <w:szCs w:val="18"/>
                <w:lang w:eastAsia="en-GB"/>
              </w:rPr>
              <w:t>-1,908</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14:paraId="4CB5E7ED" w14:textId="77777777" w:rsidR="00766243" w:rsidRPr="00766243" w:rsidRDefault="00766243" w:rsidP="00766243">
            <w:pPr>
              <w:jc w:val="right"/>
              <w:rPr>
                <w:rFonts w:cs="Arial"/>
                <w:b/>
                <w:bCs/>
                <w:color w:val="000000"/>
                <w:sz w:val="18"/>
                <w:szCs w:val="18"/>
                <w:lang w:eastAsia="en-GB"/>
              </w:rPr>
            </w:pPr>
            <w:r w:rsidRPr="00766243">
              <w:rPr>
                <w:rFonts w:cs="Arial"/>
                <w:b/>
                <w:bCs/>
                <w:color w:val="000000"/>
                <w:sz w:val="18"/>
                <w:szCs w:val="18"/>
                <w:lang w:eastAsia="en-GB"/>
              </w:rPr>
              <w:t>0</w:t>
            </w:r>
          </w:p>
        </w:tc>
      </w:tr>
      <w:tr w:rsidR="00766243" w:rsidRPr="00766243" w14:paraId="237E812B" w14:textId="77777777" w:rsidTr="00757709">
        <w:trPr>
          <w:trHeight w:val="280"/>
        </w:trPr>
        <w:tc>
          <w:tcPr>
            <w:tcW w:w="5640" w:type="dxa"/>
            <w:tcBorders>
              <w:top w:val="single" w:sz="8" w:space="0" w:color="auto"/>
              <w:left w:val="single" w:sz="8" w:space="0" w:color="auto"/>
              <w:bottom w:val="single" w:sz="4" w:space="0" w:color="auto"/>
              <w:right w:val="nil"/>
            </w:tcBorders>
            <w:shd w:val="clear" w:color="000000" w:fill="FFFFFF"/>
            <w:vAlign w:val="center"/>
            <w:hideMark/>
          </w:tcPr>
          <w:p w14:paraId="3BE9DDD6" w14:textId="77777777" w:rsidR="00766243" w:rsidRPr="00766243" w:rsidRDefault="00766243" w:rsidP="00766243">
            <w:pPr>
              <w:rPr>
                <w:rFonts w:cs="Arial"/>
                <w:b/>
                <w:bCs/>
                <w:color w:val="000000"/>
                <w:sz w:val="18"/>
                <w:szCs w:val="18"/>
                <w:lang w:eastAsia="en-GB"/>
              </w:rPr>
            </w:pPr>
            <w:r w:rsidRPr="00766243">
              <w:rPr>
                <w:rFonts w:cs="Arial"/>
                <w:b/>
                <w:bCs/>
                <w:color w:val="000000"/>
                <w:sz w:val="18"/>
                <w:szCs w:val="18"/>
                <w:lang w:eastAsia="en-GB"/>
              </w:rPr>
              <w:t>Total Comprehensive (Income) &amp; Expenditure</w:t>
            </w:r>
          </w:p>
        </w:tc>
        <w:tc>
          <w:tcPr>
            <w:tcW w:w="11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5F02B38" w14:textId="77777777" w:rsidR="00766243" w:rsidRPr="00766243" w:rsidRDefault="00766243" w:rsidP="00766243">
            <w:pPr>
              <w:jc w:val="right"/>
              <w:rPr>
                <w:rFonts w:cs="Arial"/>
                <w:b/>
                <w:bCs/>
                <w:color w:val="000000"/>
                <w:sz w:val="18"/>
                <w:szCs w:val="18"/>
                <w:lang w:eastAsia="en-GB"/>
              </w:rPr>
            </w:pPr>
            <w:r w:rsidRPr="00766243">
              <w:rPr>
                <w:rFonts w:cs="Arial"/>
                <w:b/>
                <w:bCs/>
                <w:color w:val="000000"/>
                <w:sz w:val="18"/>
                <w:szCs w:val="18"/>
                <w:lang w:eastAsia="en-GB"/>
              </w:rPr>
              <w:t>-1,108</w:t>
            </w:r>
          </w:p>
        </w:tc>
        <w:tc>
          <w:tcPr>
            <w:tcW w:w="1134" w:type="dxa"/>
            <w:tcBorders>
              <w:top w:val="single" w:sz="8" w:space="0" w:color="auto"/>
              <w:left w:val="nil"/>
              <w:bottom w:val="single" w:sz="4" w:space="0" w:color="auto"/>
              <w:right w:val="nil"/>
            </w:tcBorders>
            <w:shd w:val="clear" w:color="000000" w:fill="FFFFFF"/>
            <w:noWrap/>
            <w:vAlign w:val="center"/>
            <w:hideMark/>
          </w:tcPr>
          <w:p w14:paraId="39B6B9F8" w14:textId="77777777" w:rsidR="00766243" w:rsidRPr="00766243" w:rsidRDefault="00766243" w:rsidP="00766243">
            <w:pPr>
              <w:jc w:val="right"/>
              <w:rPr>
                <w:rFonts w:cs="Arial"/>
                <w:b/>
                <w:bCs/>
                <w:color w:val="000000"/>
                <w:sz w:val="18"/>
                <w:szCs w:val="18"/>
                <w:lang w:eastAsia="en-GB"/>
              </w:rPr>
            </w:pPr>
            <w:r w:rsidRPr="00766243">
              <w:rPr>
                <w:rFonts w:cs="Arial"/>
                <w:b/>
                <w:bCs/>
                <w:color w:val="000000"/>
                <w:sz w:val="18"/>
                <w:szCs w:val="18"/>
                <w:lang w:eastAsia="en-GB"/>
              </w:rPr>
              <w:t>-437</w:t>
            </w:r>
          </w:p>
        </w:tc>
        <w:tc>
          <w:tcPr>
            <w:tcW w:w="113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2092288" w14:textId="77777777" w:rsidR="00766243" w:rsidRPr="00766243" w:rsidRDefault="00766243" w:rsidP="00766243">
            <w:pPr>
              <w:jc w:val="right"/>
              <w:rPr>
                <w:rFonts w:cs="Arial"/>
                <w:b/>
                <w:bCs/>
                <w:color w:val="000000"/>
                <w:sz w:val="18"/>
                <w:szCs w:val="18"/>
                <w:lang w:eastAsia="en-GB"/>
              </w:rPr>
            </w:pPr>
            <w:r w:rsidRPr="00766243">
              <w:rPr>
                <w:rFonts w:cs="Arial"/>
                <w:b/>
                <w:bCs/>
                <w:color w:val="000000"/>
                <w:sz w:val="18"/>
                <w:szCs w:val="18"/>
                <w:lang w:eastAsia="en-GB"/>
              </w:rPr>
              <w:t>-671</w:t>
            </w:r>
          </w:p>
        </w:tc>
      </w:tr>
      <w:tr w:rsidR="00766243" w:rsidRPr="00766243" w14:paraId="784663EF" w14:textId="77777777" w:rsidTr="00757709">
        <w:trPr>
          <w:trHeight w:val="280"/>
        </w:trPr>
        <w:tc>
          <w:tcPr>
            <w:tcW w:w="5640" w:type="dxa"/>
            <w:tcBorders>
              <w:top w:val="single" w:sz="4" w:space="0" w:color="auto"/>
              <w:left w:val="single" w:sz="8" w:space="0" w:color="auto"/>
              <w:bottom w:val="nil"/>
              <w:right w:val="nil"/>
            </w:tcBorders>
            <w:shd w:val="clear" w:color="auto" w:fill="auto"/>
            <w:noWrap/>
            <w:vAlign w:val="center"/>
            <w:hideMark/>
          </w:tcPr>
          <w:p w14:paraId="607781DF" w14:textId="77777777" w:rsidR="00766243" w:rsidRPr="00766243" w:rsidRDefault="00766243" w:rsidP="00766243">
            <w:pPr>
              <w:rPr>
                <w:rFonts w:cs="Arial"/>
                <w:color w:val="000000"/>
                <w:sz w:val="18"/>
                <w:szCs w:val="18"/>
                <w:lang w:eastAsia="en-GB"/>
              </w:rPr>
            </w:pPr>
            <w:r w:rsidRPr="00766243">
              <w:rPr>
                <w:rFonts w:cs="Arial"/>
                <w:color w:val="000000"/>
                <w:sz w:val="18"/>
                <w:szCs w:val="18"/>
                <w:lang w:eastAsia="en-GB"/>
              </w:rPr>
              <w:t>Capital financing</w:t>
            </w:r>
          </w:p>
        </w:tc>
        <w:tc>
          <w:tcPr>
            <w:tcW w:w="1154" w:type="dxa"/>
            <w:tcBorders>
              <w:top w:val="single" w:sz="4" w:space="0" w:color="auto"/>
              <w:left w:val="single" w:sz="8" w:space="0" w:color="auto"/>
              <w:bottom w:val="nil"/>
              <w:right w:val="single" w:sz="8" w:space="0" w:color="auto"/>
            </w:tcBorders>
            <w:shd w:val="clear" w:color="auto" w:fill="auto"/>
            <w:noWrap/>
            <w:vAlign w:val="center"/>
            <w:hideMark/>
          </w:tcPr>
          <w:p w14:paraId="63BE3F12"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50</w:t>
            </w:r>
          </w:p>
        </w:tc>
        <w:tc>
          <w:tcPr>
            <w:tcW w:w="1134" w:type="dxa"/>
            <w:tcBorders>
              <w:top w:val="single" w:sz="4" w:space="0" w:color="auto"/>
              <w:left w:val="nil"/>
              <w:bottom w:val="nil"/>
              <w:right w:val="nil"/>
            </w:tcBorders>
            <w:shd w:val="clear" w:color="auto" w:fill="auto"/>
            <w:noWrap/>
            <w:vAlign w:val="center"/>
            <w:hideMark/>
          </w:tcPr>
          <w:p w14:paraId="1486876F"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70</w:t>
            </w:r>
          </w:p>
        </w:tc>
        <w:tc>
          <w:tcPr>
            <w:tcW w:w="1134" w:type="dxa"/>
            <w:tcBorders>
              <w:top w:val="single" w:sz="4" w:space="0" w:color="auto"/>
              <w:left w:val="single" w:sz="8" w:space="0" w:color="auto"/>
              <w:bottom w:val="nil"/>
              <w:right w:val="single" w:sz="8" w:space="0" w:color="auto"/>
            </w:tcBorders>
            <w:shd w:val="clear" w:color="000000" w:fill="FFFFFF"/>
            <w:noWrap/>
            <w:vAlign w:val="center"/>
            <w:hideMark/>
          </w:tcPr>
          <w:p w14:paraId="08066466" w14:textId="77777777" w:rsidR="00766243" w:rsidRPr="00766243" w:rsidRDefault="00766243" w:rsidP="00766243">
            <w:pPr>
              <w:jc w:val="right"/>
              <w:rPr>
                <w:rFonts w:cs="Arial"/>
                <w:b/>
                <w:bCs/>
                <w:color w:val="000000"/>
                <w:sz w:val="18"/>
                <w:szCs w:val="18"/>
                <w:lang w:eastAsia="en-GB"/>
              </w:rPr>
            </w:pPr>
            <w:r w:rsidRPr="00766243">
              <w:rPr>
                <w:rFonts w:cs="Arial"/>
                <w:b/>
                <w:bCs/>
                <w:color w:val="000000"/>
                <w:sz w:val="18"/>
                <w:szCs w:val="18"/>
                <w:lang w:eastAsia="en-GB"/>
              </w:rPr>
              <w:t>-20</w:t>
            </w:r>
          </w:p>
        </w:tc>
      </w:tr>
      <w:tr w:rsidR="00766243" w:rsidRPr="00766243" w14:paraId="60CA63E1" w14:textId="77777777" w:rsidTr="00766243">
        <w:trPr>
          <w:trHeight w:val="280"/>
        </w:trPr>
        <w:tc>
          <w:tcPr>
            <w:tcW w:w="5640" w:type="dxa"/>
            <w:tcBorders>
              <w:top w:val="nil"/>
              <w:left w:val="single" w:sz="8" w:space="0" w:color="auto"/>
              <w:bottom w:val="nil"/>
              <w:right w:val="nil"/>
            </w:tcBorders>
            <w:shd w:val="clear" w:color="000000" w:fill="FFFFFF"/>
            <w:vAlign w:val="center"/>
            <w:hideMark/>
          </w:tcPr>
          <w:p w14:paraId="3F74C195" w14:textId="77777777" w:rsidR="00766243" w:rsidRPr="00766243" w:rsidRDefault="00766243" w:rsidP="00766243">
            <w:pPr>
              <w:rPr>
                <w:rFonts w:cs="Arial"/>
                <w:color w:val="000000"/>
                <w:sz w:val="18"/>
                <w:szCs w:val="18"/>
                <w:lang w:eastAsia="en-GB"/>
              </w:rPr>
            </w:pPr>
            <w:r w:rsidRPr="00766243">
              <w:rPr>
                <w:rFonts w:cs="Arial"/>
                <w:color w:val="000000"/>
                <w:sz w:val="18"/>
                <w:szCs w:val="18"/>
                <w:lang w:eastAsia="en-GB"/>
              </w:rPr>
              <w:t>Other Movement In Reserves</w:t>
            </w:r>
          </w:p>
        </w:tc>
        <w:tc>
          <w:tcPr>
            <w:tcW w:w="1154" w:type="dxa"/>
            <w:tcBorders>
              <w:top w:val="nil"/>
              <w:left w:val="single" w:sz="8" w:space="0" w:color="auto"/>
              <w:bottom w:val="nil"/>
              <w:right w:val="single" w:sz="8" w:space="0" w:color="auto"/>
            </w:tcBorders>
            <w:shd w:val="clear" w:color="auto" w:fill="auto"/>
            <w:noWrap/>
            <w:vAlign w:val="center"/>
            <w:hideMark/>
          </w:tcPr>
          <w:p w14:paraId="7D335169"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1,058</w:t>
            </w:r>
          </w:p>
        </w:tc>
        <w:tc>
          <w:tcPr>
            <w:tcW w:w="1134" w:type="dxa"/>
            <w:tcBorders>
              <w:top w:val="nil"/>
              <w:left w:val="nil"/>
              <w:bottom w:val="nil"/>
              <w:right w:val="nil"/>
            </w:tcBorders>
            <w:shd w:val="clear" w:color="auto" w:fill="auto"/>
            <w:noWrap/>
            <w:vAlign w:val="center"/>
            <w:hideMark/>
          </w:tcPr>
          <w:p w14:paraId="34C712A5"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367</w:t>
            </w:r>
          </w:p>
        </w:tc>
        <w:tc>
          <w:tcPr>
            <w:tcW w:w="1134" w:type="dxa"/>
            <w:tcBorders>
              <w:top w:val="nil"/>
              <w:left w:val="single" w:sz="8" w:space="0" w:color="auto"/>
              <w:bottom w:val="nil"/>
              <w:right w:val="single" w:sz="8" w:space="0" w:color="auto"/>
            </w:tcBorders>
            <w:shd w:val="clear" w:color="auto" w:fill="auto"/>
            <w:noWrap/>
            <w:vAlign w:val="center"/>
            <w:hideMark/>
          </w:tcPr>
          <w:p w14:paraId="54231430" w14:textId="77777777" w:rsidR="00766243" w:rsidRPr="00766243" w:rsidRDefault="00766243" w:rsidP="00766243">
            <w:pPr>
              <w:jc w:val="right"/>
              <w:rPr>
                <w:rFonts w:cs="Arial"/>
                <w:color w:val="000000"/>
                <w:sz w:val="18"/>
                <w:szCs w:val="18"/>
                <w:lang w:eastAsia="en-GB"/>
              </w:rPr>
            </w:pPr>
            <w:r w:rsidRPr="00766243">
              <w:rPr>
                <w:rFonts w:cs="Arial"/>
                <w:color w:val="000000"/>
                <w:sz w:val="18"/>
                <w:szCs w:val="18"/>
                <w:lang w:eastAsia="en-GB"/>
              </w:rPr>
              <w:t>691</w:t>
            </w:r>
          </w:p>
        </w:tc>
      </w:tr>
      <w:tr w:rsidR="00766243" w:rsidRPr="00766243" w14:paraId="39FB5D28" w14:textId="77777777" w:rsidTr="00766243">
        <w:trPr>
          <w:trHeight w:val="280"/>
        </w:trPr>
        <w:tc>
          <w:tcPr>
            <w:tcW w:w="5640" w:type="dxa"/>
            <w:tcBorders>
              <w:top w:val="single" w:sz="8" w:space="0" w:color="auto"/>
              <w:left w:val="single" w:sz="8" w:space="0" w:color="auto"/>
              <w:bottom w:val="single" w:sz="8" w:space="0" w:color="auto"/>
              <w:right w:val="nil"/>
            </w:tcBorders>
            <w:shd w:val="clear" w:color="auto" w:fill="auto"/>
            <w:noWrap/>
            <w:vAlign w:val="center"/>
            <w:hideMark/>
          </w:tcPr>
          <w:p w14:paraId="4F66A4E6" w14:textId="77777777" w:rsidR="00766243" w:rsidRPr="00766243" w:rsidRDefault="00766243" w:rsidP="00766243">
            <w:pPr>
              <w:rPr>
                <w:rFonts w:cs="Arial"/>
                <w:b/>
                <w:bCs/>
                <w:color w:val="000000"/>
                <w:sz w:val="18"/>
                <w:szCs w:val="18"/>
                <w:lang w:eastAsia="en-GB"/>
              </w:rPr>
            </w:pPr>
            <w:r w:rsidRPr="00766243">
              <w:rPr>
                <w:rFonts w:cs="Arial"/>
                <w:b/>
                <w:bCs/>
                <w:color w:val="000000"/>
                <w:sz w:val="18"/>
                <w:szCs w:val="18"/>
                <w:lang w:eastAsia="en-GB"/>
              </w:rPr>
              <w:t>Total</w:t>
            </w:r>
          </w:p>
        </w:tc>
        <w:tc>
          <w:tcPr>
            <w:tcW w:w="11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D0F68E" w14:textId="77777777" w:rsidR="00766243" w:rsidRPr="00766243" w:rsidRDefault="00766243" w:rsidP="00766243">
            <w:pPr>
              <w:jc w:val="right"/>
              <w:rPr>
                <w:rFonts w:cs="Arial"/>
                <w:b/>
                <w:bCs/>
                <w:color w:val="000000"/>
                <w:sz w:val="18"/>
                <w:szCs w:val="18"/>
                <w:lang w:eastAsia="en-GB"/>
              </w:rPr>
            </w:pPr>
            <w:r w:rsidRPr="00766243">
              <w:rPr>
                <w:rFonts w:cs="Arial"/>
                <w:b/>
                <w:bCs/>
                <w:color w:val="000000"/>
                <w:sz w:val="18"/>
                <w:szCs w:val="18"/>
                <w:lang w:eastAsia="en-GB"/>
              </w:rPr>
              <w:t>0</w:t>
            </w:r>
          </w:p>
        </w:tc>
        <w:tc>
          <w:tcPr>
            <w:tcW w:w="1134" w:type="dxa"/>
            <w:tcBorders>
              <w:top w:val="single" w:sz="8" w:space="0" w:color="auto"/>
              <w:left w:val="nil"/>
              <w:bottom w:val="single" w:sz="8" w:space="0" w:color="auto"/>
              <w:right w:val="nil"/>
            </w:tcBorders>
            <w:shd w:val="clear" w:color="auto" w:fill="auto"/>
            <w:noWrap/>
            <w:vAlign w:val="center"/>
            <w:hideMark/>
          </w:tcPr>
          <w:p w14:paraId="7E8F67BE" w14:textId="77777777" w:rsidR="00766243" w:rsidRPr="00766243" w:rsidRDefault="00766243" w:rsidP="00766243">
            <w:pPr>
              <w:jc w:val="right"/>
              <w:rPr>
                <w:rFonts w:cs="Arial"/>
                <w:b/>
                <w:bCs/>
                <w:color w:val="000000"/>
                <w:sz w:val="18"/>
                <w:szCs w:val="18"/>
                <w:lang w:eastAsia="en-GB"/>
              </w:rPr>
            </w:pPr>
            <w:r w:rsidRPr="00766243">
              <w:rPr>
                <w:rFonts w:cs="Arial"/>
                <w:b/>
                <w:bCs/>
                <w:color w:val="000000"/>
                <w:sz w:val="18"/>
                <w:szCs w:val="18"/>
                <w:lang w:eastAsia="en-GB"/>
              </w:rPr>
              <w:t>0</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8BF323" w14:textId="77777777" w:rsidR="00766243" w:rsidRPr="00766243" w:rsidRDefault="00766243" w:rsidP="00766243">
            <w:pPr>
              <w:jc w:val="right"/>
              <w:rPr>
                <w:rFonts w:cs="Arial"/>
                <w:b/>
                <w:bCs/>
                <w:color w:val="000000"/>
                <w:sz w:val="18"/>
                <w:szCs w:val="18"/>
                <w:lang w:eastAsia="en-GB"/>
              </w:rPr>
            </w:pPr>
            <w:r w:rsidRPr="00766243">
              <w:rPr>
                <w:rFonts w:cs="Arial"/>
                <w:b/>
                <w:bCs/>
                <w:color w:val="000000"/>
                <w:sz w:val="18"/>
                <w:szCs w:val="18"/>
                <w:lang w:eastAsia="en-GB"/>
              </w:rPr>
              <w:t>0</w:t>
            </w:r>
          </w:p>
        </w:tc>
      </w:tr>
    </w:tbl>
    <w:p w14:paraId="486A7FD1" w14:textId="77777777" w:rsidR="00B04750" w:rsidRDefault="00B04750" w:rsidP="007055C3"/>
    <w:p w14:paraId="272162B4" w14:textId="11F000EF" w:rsidR="00766243" w:rsidRPr="0025666B" w:rsidRDefault="00766243" w:rsidP="00766243">
      <w:pPr>
        <w:rPr>
          <w:iCs/>
          <w:szCs w:val="20"/>
        </w:rPr>
      </w:pPr>
      <w:r w:rsidRPr="0025666B">
        <w:lastRenderedPageBreak/>
        <w:t xml:space="preserve">The Authority translates the total resources available into an annual budget, managed by service areas, across </w:t>
      </w:r>
      <w:r w:rsidRPr="00B04750">
        <w:t>which 188 FTE</w:t>
      </w:r>
      <w:r w:rsidRPr="00BC63DA">
        <w:t xml:space="preserve"> staff are employed.</w:t>
      </w:r>
      <w:r w:rsidRPr="0025666B">
        <w:t xml:space="preserve"> The table</w:t>
      </w:r>
      <w:r>
        <w:t xml:space="preserve"> above</w:t>
      </w:r>
      <w:r w:rsidRPr="0025666B">
        <w:t xml:space="preserve"> shows how these resources were spent during 202</w:t>
      </w:r>
      <w:r>
        <w:t>3</w:t>
      </w:r>
      <w:r w:rsidRPr="0025666B">
        <w:t>/2</w:t>
      </w:r>
      <w:r>
        <w:t>4</w:t>
      </w:r>
      <w:r w:rsidRPr="0025666B">
        <w:t xml:space="preserve"> compared to their respective budgets.</w:t>
      </w:r>
    </w:p>
    <w:p w14:paraId="46BBD292" w14:textId="77777777" w:rsidR="00B04750" w:rsidRPr="0025666B" w:rsidRDefault="00B04750" w:rsidP="007055C3"/>
    <w:p w14:paraId="12AAB1CB" w14:textId="77777777" w:rsidR="00B04750" w:rsidRDefault="0025666B" w:rsidP="007055C3">
      <w:pPr>
        <w:rPr>
          <w:iCs/>
          <w:szCs w:val="20"/>
        </w:rPr>
      </w:pPr>
      <w:r w:rsidRPr="0025666B">
        <w:rPr>
          <w:iCs/>
          <w:szCs w:val="20"/>
        </w:rPr>
        <w:t>Budget monitoring</w:t>
      </w:r>
      <w:r w:rsidR="004F3100" w:rsidRPr="0025666B">
        <w:rPr>
          <w:iCs/>
          <w:szCs w:val="20"/>
        </w:rPr>
        <w:t xml:space="preserve"> information was reviewed by the Executive Board on a monthly basis</w:t>
      </w:r>
      <w:r w:rsidRPr="0025666B">
        <w:rPr>
          <w:iCs/>
          <w:szCs w:val="20"/>
        </w:rPr>
        <w:t>, including IAS19 adjustments</w:t>
      </w:r>
      <w:r w:rsidR="00516F4C">
        <w:rPr>
          <w:iCs/>
          <w:szCs w:val="20"/>
        </w:rPr>
        <w:t xml:space="preserve"> (pensions)</w:t>
      </w:r>
      <w:r w:rsidRPr="0025666B">
        <w:rPr>
          <w:iCs/>
          <w:szCs w:val="20"/>
        </w:rPr>
        <w:t>, capital charges and Movement In Reserves (MIRS) items</w:t>
      </w:r>
      <w:r w:rsidR="004F3100" w:rsidRPr="0025666B">
        <w:rPr>
          <w:iCs/>
          <w:szCs w:val="20"/>
        </w:rPr>
        <w:t xml:space="preserve">. </w:t>
      </w:r>
    </w:p>
    <w:p w14:paraId="1B568087" w14:textId="77777777" w:rsidR="00B04750" w:rsidRDefault="00B04750" w:rsidP="007055C3">
      <w:pPr>
        <w:rPr>
          <w:iCs/>
          <w:szCs w:val="20"/>
        </w:rPr>
      </w:pPr>
    </w:p>
    <w:p w14:paraId="00DEEC98" w14:textId="4099A35C" w:rsidR="004F3100" w:rsidRDefault="00B04750" w:rsidP="007055C3">
      <w:pPr>
        <w:rPr>
          <w:rStyle w:val="normaltextrun"/>
          <w:color w:val="000000"/>
          <w:shd w:val="clear" w:color="auto" w:fill="FFFFFF"/>
        </w:rPr>
      </w:pPr>
      <w:r>
        <w:rPr>
          <w:rStyle w:val="normaltextrun"/>
          <w:color w:val="000000"/>
          <w:shd w:val="clear" w:color="auto" w:fill="FFFFFF"/>
        </w:rPr>
        <w:t>The single largest variance relates to Visitor Service. This mainly relates to a £521k windfall from a backdated VAT refund relating to certain sports and leisure activities. The underlying performance, as reported during the year, effectively emptied the reserve, using up the full £500k balance over 2022/23 and 2023/24. There has been a slight (£16k) favourable variance against the Q3 reforecast budget which is also proposed to go into the trading reserve. This leaves the reserve slightly above the £500k target.</w:t>
      </w:r>
    </w:p>
    <w:p w14:paraId="2830AD92" w14:textId="77777777" w:rsidR="00B04750" w:rsidRDefault="00B04750" w:rsidP="007055C3">
      <w:pPr>
        <w:rPr>
          <w:rStyle w:val="normaltextrun"/>
          <w:color w:val="000000"/>
          <w:shd w:val="clear" w:color="auto" w:fill="FFFFFF"/>
        </w:rPr>
      </w:pPr>
    </w:p>
    <w:p w14:paraId="413BEB21" w14:textId="21312D26" w:rsidR="00B04750" w:rsidRDefault="00B04750" w:rsidP="007055C3">
      <w:pPr>
        <w:rPr>
          <w:rStyle w:val="normaltextrun"/>
          <w:color w:val="000000"/>
          <w:shd w:val="clear" w:color="auto" w:fill="FFFFFF"/>
        </w:rPr>
      </w:pPr>
      <w:r>
        <w:rPr>
          <w:rStyle w:val="normaltextrun"/>
          <w:color w:val="000000"/>
          <w:shd w:val="clear" w:color="auto" w:fill="FFFFFF"/>
        </w:rPr>
        <w:t>The other significant variances relates to</w:t>
      </w:r>
      <w:r w:rsidR="00535CFE">
        <w:rPr>
          <w:rStyle w:val="normaltextrun"/>
          <w:color w:val="000000"/>
          <w:shd w:val="clear" w:color="auto" w:fill="FFFFFF"/>
        </w:rPr>
        <w:t>:</w:t>
      </w:r>
    </w:p>
    <w:p w14:paraId="21034F01" w14:textId="77777777" w:rsidR="00535CFE" w:rsidRDefault="00535CFE" w:rsidP="007055C3">
      <w:pPr>
        <w:rPr>
          <w:rStyle w:val="normaltextrun"/>
          <w:color w:val="000000"/>
          <w:shd w:val="clear" w:color="auto" w:fill="FFFFFF"/>
        </w:rPr>
      </w:pPr>
    </w:p>
    <w:p w14:paraId="2ABE656F" w14:textId="096F228C" w:rsidR="00B04750" w:rsidRPr="00535CFE" w:rsidRDefault="00B04750" w:rsidP="00535CFE">
      <w:pPr>
        <w:pStyle w:val="ListParagraph"/>
        <w:numPr>
          <w:ilvl w:val="0"/>
          <w:numId w:val="52"/>
        </w:numPr>
        <w:rPr>
          <w:rStyle w:val="normaltextrun"/>
          <w:color w:val="000000"/>
          <w:u w:val="none"/>
          <w:shd w:val="clear" w:color="auto" w:fill="FFFFFF"/>
        </w:rPr>
      </w:pPr>
      <w:r w:rsidRPr="00535CFE">
        <w:rPr>
          <w:rStyle w:val="normaltextrun"/>
          <w:color w:val="000000"/>
          <w:u w:val="none"/>
          <w:shd w:val="clear" w:color="auto" w:fill="FFFFFF"/>
        </w:rPr>
        <w:t xml:space="preserve">investment interest which was £117k higher than budget in the year. This was largely as a result of </w:t>
      </w:r>
      <w:r w:rsidR="00693228">
        <w:rPr>
          <w:rStyle w:val="normaltextrun"/>
          <w:color w:val="000000"/>
          <w:u w:val="none"/>
          <w:shd w:val="clear" w:color="auto" w:fill="FFFFFF"/>
        </w:rPr>
        <w:t xml:space="preserve">the </w:t>
      </w:r>
      <w:r w:rsidRPr="00535CFE">
        <w:rPr>
          <w:rStyle w:val="normaltextrun"/>
          <w:color w:val="000000"/>
          <w:u w:val="none"/>
          <w:shd w:val="clear" w:color="auto" w:fill="FFFFFF"/>
        </w:rPr>
        <w:t>underlying bank rate being significantly higher than the budget assumption. This is reflected in the financing and investment line.</w:t>
      </w:r>
    </w:p>
    <w:p w14:paraId="1E7FF604" w14:textId="21A42DB7" w:rsidR="00B04750" w:rsidRPr="00535CFE" w:rsidRDefault="00B04750" w:rsidP="00535CFE">
      <w:pPr>
        <w:pStyle w:val="ListParagraph"/>
        <w:numPr>
          <w:ilvl w:val="0"/>
          <w:numId w:val="52"/>
        </w:numPr>
        <w:rPr>
          <w:rStyle w:val="normaltextrun"/>
          <w:iCs/>
          <w:u w:val="none"/>
        </w:rPr>
      </w:pPr>
      <w:r w:rsidRPr="00535CFE">
        <w:rPr>
          <w:rStyle w:val="normaltextrun"/>
          <w:color w:val="000000"/>
          <w:u w:val="none"/>
          <w:shd w:val="clear" w:color="auto" w:fill="FFFFFF"/>
        </w:rPr>
        <w:t>Savings relating to salaries</w:t>
      </w:r>
      <w:r w:rsidR="00535CFE" w:rsidRPr="00535CFE">
        <w:rPr>
          <w:rStyle w:val="normaltextrun"/>
          <w:color w:val="000000"/>
          <w:u w:val="none"/>
          <w:shd w:val="clear" w:color="auto" w:fill="FFFFFF"/>
        </w:rPr>
        <w:t xml:space="preserve"> (vacancy management) were £192k higher than budget; this related to a mixture of vacant posts and time spent on grant funded schemes.</w:t>
      </w:r>
      <w:r w:rsidR="00535CFE">
        <w:rPr>
          <w:rStyle w:val="normaltextrun"/>
          <w:color w:val="000000"/>
          <w:u w:val="none"/>
          <w:shd w:val="clear" w:color="auto" w:fill="FFFFFF"/>
        </w:rPr>
        <w:t xml:space="preserve"> This is reflected within the Executive Board and Legal line.</w:t>
      </w:r>
      <w:r w:rsidR="00535CFE" w:rsidRPr="00535CFE">
        <w:rPr>
          <w:rStyle w:val="normaltextrun"/>
          <w:color w:val="000000"/>
          <w:u w:val="none"/>
          <w:shd w:val="clear" w:color="auto" w:fill="FFFFFF"/>
        </w:rPr>
        <w:t xml:space="preserve"> This may have a knock-on impact to service plan delivery so a significant element of these savings have been set aside in a reserve to support pressures which may arise during 2024/25</w:t>
      </w:r>
    </w:p>
    <w:p w14:paraId="296C3291" w14:textId="22F5C071" w:rsidR="00535CFE" w:rsidRPr="00535CFE" w:rsidRDefault="00535CFE" w:rsidP="00535CFE">
      <w:pPr>
        <w:pStyle w:val="ListParagraph"/>
        <w:numPr>
          <w:ilvl w:val="0"/>
          <w:numId w:val="52"/>
        </w:numPr>
        <w:rPr>
          <w:iCs/>
          <w:u w:val="none"/>
        </w:rPr>
      </w:pPr>
      <w:r>
        <w:rPr>
          <w:rStyle w:val="normaltextrun"/>
          <w:color w:val="000000"/>
          <w:u w:val="none"/>
          <w:shd w:val="clear" w:color="auto" w:fill="FFFFFF"/>
        </w:rPr>
        <w:t>There were a number of other smaller under and overspends, the details of which will be reported within the full out-turn report to Authority and available via the website.</w:t>
      </w:r>
    </w:p>
    <w:p w14:paraId="24ACFF07" w14:textId="77777777" w:rsidR="0025666B" w:rsidRPr="0025666B" w:rsidRDefault="0025666B" w:rsidP="007055C3">
      <w:pPr>
        <w:rPr>
          <w:iCs/>
          <w:szCs w:val="20"/>
        </w:rPr>
      </w:pPr>
    </w:p>
    <w:p w14:paraId="52A077C5" w14:textId="77777777" w:rsidR="00535CFE" w:rsidRDefault="0025666B" w:rsidP="007055C3">
      <w:pPr>
        <w:rPr>
          <w:iCs/>
          <w:szCs w:val="20"/>
        </w:rPr>
      </w:pPr>
      <w:r w:rsidRPr="0025666B">
        <w:rPr>
          <w:iCs/>
          <w:szCs w:val="20"/>
        </w:rPr>
        <w:t>The General Fund balance closed at £1.</w:t>
      </w:r>
      <w:r w:rsidR="00B04750">
        <w:rPr>
          <w:iCs/>
          <w:szCs w:val="20"/>
        </w:rPr>
        <w:t>39</w:t>
      </w:r>
      <w:r w:rsidRPr="0025666B">
        <w:rPr>
          <w:iCs/>
          <w:szCs w:val="20"/>
        </w:rPr>
        <w:t xml:space="preserve">m which is </w:t>
      </w:r>
      <w:r w:rsidR="00535CFE">
        <w:rPr>
          <w:iCs/>
          <w:szCs w:val="20"/>
        </w:rPr>
        <w:t>c£50k</w:t>
      </w:r>
      <w:r w:rsidRPr="0025666B">
        <w:rPr>
          <w:iCs/>
          <w:szCs w:val="20"/>
        </w:rPr>
        <w:t xml:space="preserve"> above the target</w:t>
      </w:r>
      <w:r w:rsidR="00B04750">
        <w:rPr>
          <w:iCs/>
          <w:szCs w:val="20"/>
        </w:rPr>
        <w:t xml:space="preserve"> per the MTFS approved in March 2024</w:t>
      </w:r>
      <w:r w:rsidRPr="0025666B">
        <w:rPr>
          <w:iCs/>
          <w:szCs w:val="20"/>
        </w:rPr>
        <w:t>.</w:t>
      </w:r>
      <w:r w:rsidR="00535CFE">
        <w:rPr>
          <w:iCs/>
          <w:szCs w:val="20"/>
        </w:rPr>
        <w:t xml:space="preserve"> As noted, the Trading Reserve has been fully replenished and so is £537k higher than anticipated in the MTFS.</w:t>
      </w:r>
      <w:r w:rsidRPr="0025666B">
        <w:rPr>
          <w:iCs/>
          <w:szCs w:val="20"/>
        </w:rPr>
        <w:t xml:space="preserve"> </w:t>
      </w:r>
    </w:p>
    <w:p w14:paraId="663C64E3" w14:textId="77777777" w:rsidR="00535CFE" w:rsidRDefault="00535CFE" w:rsidP="007055C3">
      <w:pPr>
        <w:rPr>
          <w:iCs/>
          <w:szCs w:val="20"/>
        </w:rPr>
      </w:pPr>
    </w:p>
    <w:p w14:paraId="444C474F" w14:textId="3950187F" w:rsidR="0025666B" w:rsidRDefault="00535CFE" w:rsidP="007055C3">
      <w:pPr>
        <w:rPr>
          <w:rStyle w:val="eop"/>
          <w:rFonts w:cs="Arial"/>
          <w:color w:val="000000"/>
          <w:shd w:val="clear" w:color="auto" w:fill="FFFFFF"/>
        </w:rPr>
      </w:pPr>
      <w:r>
        <w:rPr>
          <w:rStyle w:val="normaltextrun"/>
          <w:color w:val="000000"/>
          <w:shd w:val="clear" w:color="auto" w:fill="FFFFFF"/>
        </w:rPr>
        <w:t xml:space="preserve">The improved reserves position has a knock on impact for the 2024/25 budget. Within the budget was a £125k contribution into the trading reserve which is now not required. Therefore, this will fall back into the General Fund. This </w:t>
      </w:r>
      <w:r w:rsidR="001878F3">
        <w:rPr>
          <w:rStyle w:val="normaltextrun"/>
          <w:color w:val="000000"/>
          <w:shd w:val="clear" w:color="auto" w:fill="FFFFFF"/>
        </w:rPr>
        <w:t>should</w:t>
      </w:r>
      <w:r>
        <w:rPr>
          <w:rStyle w:val="normaltextrun"/>
          <w:color w:val="000000"/>
          <w:shd w:val="clear" w:color="auto" w:fill="FFFFFF"/>
        </w:rPr>
        <w:t xml:space="preserve"> be the same for the subsequent 3 years</w:t>
      </w:r>
      <w:r w:rsidR="001878F3">
        <w:rPr>
          <w:rStyle w:val="normaltextrun"/>
          <w:color w:val="000000"/>
          <w:shd w:val="clear" w:color="auto" w:fill="FFFFFF"/>
        </w:rPr>
        <w:t xml:space="preserve"> which </w:t>
      </w:r>
      <w:r>
        <w:rPr>
          <w:rStyle w:val="normaltextrun"/>
          <w:color w:val="000000"/>
          <w:shd w:val="clear" w:color="auto" w:fill="FFFFFF"/>
        </w:rPr>
        <w:t>will be adjusted as part of the next iteration of the MTFS.</w:t>
      </w:r>
      <w:r>
        <w:rPr>
          <w:rStyle w:val="eop"/>
          <w:rFonts w:cs="Arial"/>
          <w:color w:val="000000"/>
          <w:shd w:val="clear" w:color="auto" w:fill="FFFFFF"/>
        </w:rPr>
        <w:t> </w:t>
      </w:r>
      <w:r w:rsidR="001878F3">
        <w:rPr>
          <w:rStyle w:val="eop"/>
          <w:rFonts w:cs="Arial"/>
          <w:color w:val="000000"/>
          <w:shd w:val="clear" w:color="auto" w:fill="FFFFFF"/>
        </w:rPr>
        <w:t xml:space="preserve">Overall, this significantly improves the financial position of the Authority </w:t>
      </w:r>
      <w:r w:rsidR="00EE40B2">
        <w:rPr>
          <w:rStyle w:val="eop"/>
          <w:rFonts w:cs="Arial"/>
          <w:color w:val="000000"/>
          <w:shd w:val="clear" w:color="auto" w:fill="FFFFFF"/>
        </w:rPr>
        <w:t>and</w:t>
      </w:r>
      <w:r w:rsidR="001878F3">
        <w:rPr>
          <w:rStyle w:val="eop"/>
          <w:rFonts w:cs="Arial"/>
          <w:color w:val="000000"/>
          <w:shd w:val="clear" w:color="auto" w:fill="FFFFFF"/>
        </w:rPr>
        <w:t xml:space="preserve"> will relieve revenue budget pressures in future years.</w:t>
      </w:r>
    </w:p>
    <w:p w14:paraId="2E0B4094" w14:textId="77777777" w:rsidR="00766243" w:rsidRDefault="00766243" w:rsidP="007055C3">
      <w:pPr>
        <w:rPr>
          <w:rStyle w:val="eop"/>
          <w:rFonts w:cs="Arial"/>
          <w:color w:val="000000"/>
          <w:shd w:val="clear" w:color="auto" w:fill="FFFFFF"/>
        </w:rPr>
      </w:pPr>
    </w:p>
    <w:p w14:paraId="10AC9063" w14:textId="77777777" w:rsidR="004F3100" w:rsidRDefault="004F3100" w:rsidP="007055C3">
      <w:pPr>
        <w:rPr>
          <w:iCs/>
          <w:szCs w:val="20"/>
          <w:highlight w:val="yellow"/>
        </w:rPr>
      </w:pPr>
    </w:p>
    <w:p w14:paraId="38FBF22F" w14:textId="77777777" w:rsidR="00EE40B2" w:rsidRDefault="00EE40B2" w:rsidP="007055C3">
      <w:pPr>
        <w:rPr>
          <w:iCs/>
          <w:szCs w:val="20"/>
          <w:highlight w:val="yellow"/>
        </w:rPr>
      </w:pPr>
    </w:p>
    <w:p w14:paraId="14EBBA4E" w14:textId="77777777" w:rsidR="00757709" w:rsidRDefault="00757709" w:rsidP="007055C3">
      <w:pPr>
        <w:rPr>
          <w:iCs/>
          <w:szCs w:val="20"/>
          <w:highlight w:val="yellow"/>
        </w:rPr>
      </w:pPr>
    </w:p>
    <w:p w14:paraId="4FCFFF53" w14:textId="77777777" w:rsidR="00757709" w:rsidRDefault="00757709" w:rsidP="007055C3">
      <w:pPr>
        <w:rPr>
          <w:iCs/>
          <w:szCs w:val="20"/>
          <w:highlight w:val="yellow"/>
        </w:rPr>
      </w:pPr>
    </w:p>
    <w:p w14:paraId="30996920" w14:textId="77777777" w:rsidR="00757709" w:rsidRDefault="00757709" w:rsidP="007055C3">
      <w:pPr>
        <w:rPr>
          <w:iCs/>
          <w:szCs w:val="20"/>
          <w:highlight w:val="yellow"/>
        </w:rPr>
      </w:pPr>
    </w:p>
    <w:p w14:paraId="4F3D9D14" w14:textId="77777777" w:rsidR="00757709" w:rsidRDefault="00757709" w:rsidP="007055C3">
      <w:pPr>
        <w:rPr>
          <w:iCs/>
          <w:szCs w:val="20"/>
          <w:highlight w:val="yellow"/>
        </w:rPr>
      </w:pPr>
    </w:p>
    <w:p w14:paraId="1FDC484C" w14:textId="77777777" w:rsidR="00757709" w:rsidRDefault="00757709" w:rsidP="007055C3">
      <w:pPr>
        <w:rPr>
          <w:iCs/>
          <w:szCs w:val="20"/>
          <w:highlight w:val="yellow"/>
        </w:rPr>
      </w:pPr>
    </w:p>
    <w:p w14:paraId="631203C4" w14:textId="77777777" w:rsidR="00757709" w:rsidRDefault="00757709" w:rsidP="007055C3">
      <w:pPr>
        <w:rPr>
          <w:iCs/>
          <w:szCs w:val="20"/>
          <w:highlight w:val="yellow"/>
        </w:rPr>
      </w:pPr>
    </w:p>
    <w:p w14:paraId="1378222B" w14:textId="77777777" w:rsidR="00757709" w:rsidRDefault="00757709" w:rsidP="007055C3">
      <w:pPr>
        <w:rPr>
          <w:iCs/>
          <w:szCs w:val="20"/>
          <w:highlight w:val="yellow"/>
        </w:rPr>
      </w:pPr>
    </w:p>
    <w:p w14:paraId="1FFE3E9F" w14:textId="77777777" w:rsidR="00757709" w:rsidRDefault="00757709" w:rsidP="007055C3">
      <w:pPr>
        <w:rPr>
          <w:iCs/>
          <w:szCs w:val="20"/>
          <w:highlight w:val="yellow"/>
        </w:rPr>
      </w:pPr>
    </w:p>
    <w:p w14:paraId="77DB050E" w14:textId="77777777" w:rsidR="00757709" w:rsidRDefault="00757709" w:rsidP="007055C3">
      <w:pPr>
        <w:rPr>
          <w:iCs/>
          <w:szCs w:val="20"/>
          <w:highlight w:val="yellow"/>
        </w:rPr>
      </w:pPr>
    </w:p>
    <w:p w14:paraId="3692E363" w14:textId="77777777" w:rsidR="00757709" w:rsidRPr="004D5CA8" w:rsidRDefault="00757709" w:rsidP="007055C3">
      <w:pPr>
        <w:rPr>
          <w:iCs/>
          <w:szCs w:val="20"/>
          <w:highlight w:val="yellow"/>
        </w:rPr>
      </w:pPr>
    </w:p>
    <w:p w14:paraId="13CF8834" w14:textId="77777777" w:rsidR="003662C5" w:rsidRDefault="003662C5" w:rsidP="007055C3">
      <w:pPr>
        <w:rPr>
          <w:b/>
          <w:sz w:val="24"/>
          <w:szCs w:val="24"/>
        </w:rPr>
      </w:pPr>
    </w:p>
    <w:p w14:paraId="485A42F6" w14:textId="1BA8F0B6" w:rsidR="006B57E8" w:rsidRPr="00B43A8B" w:rsidRDefault="006B57E8" w:rsidP="000644FA">
      <w:pPr>
        <w:pStyle w:val="Heading3"/>
      </w:pPr>
      <w:bookmarkStart w:id="20" w:name="_Toc156816123"/>
      <w:bookmarkStart w:id="21" w:name="_Toc156820516"/>
      <w:bookmarkStart w:id="22" w:name="_Toc165295258"/>
      <w:bookmarkStart w:id="23" w:name="_Toc167965759"/>
      <w:r w:rsidRPr="00B43A8B">
        <w:lastRenderedPageBreak/>
        <w:t>Sources of Revenue Funds</w:t>
      </w:r>
      <w:bookmarkEnd w:id="20"/>
      <w:bookmarkEnd w:id="21"/>
      <w:bookmarkEnd w:id="22"/>
      <w:bookmarkEnd w:id="23"/>
      <w:r w:rsidR="00CC06ED" w:rsidRPr="00B43A8B">
        <w:t xml:space="preserve"> </w:t>
      </w:r>
    </w:p>
    <w:p w14:paraId="485A42F7" w14:textId="77777777" w:rsidR="006B57E8" w:rsidRPr="00B43A8B" w:rsidRDefault="006B57E8" w:rsidP="007055C3"/>
    <w:p w14:paraId="485A4308" w14:textId="69370577" w:rsidR="009710E6" w:rsidRPr="00B43A8B" w:rsidRDefault="00B43A8B" w:rsidP="007055C3">
      <w:r w:rsidRPr="00B43A8B">
        <w:t>In addition to core grant from DEFRA, the Authority also receives income from a range of other sources, and these are summarised below:</w:t>
      </w:r>
    </w:p>
    <w:p w14:paraId="2BCC5CC8" w14:textId="77777777" w:rsidR="00B43A8B" w:rsidRPr="004D5CA8" w:rsidRDefault="00B43A8B" w:rsidP="007055C3">
      <w:pPr>
        <w:rPr>
          <w:highlight w:val="yellow"/>
        </w:rPr>
      </w:pPr>
    </w:p>
    <w:p w14:paraId="485A4309" w14:textId="458210E6" w:rsidR="00561160" w:rsidRDefault="006B57E8" w:rsidP="007055C3">
      <w:pPr>
        <w:rPr>
          <w:b/>
        </w:rPr>
      </w:pPr>
      <w:r w:rsidRPr="000C6EAA">
        <w:rPr>
          <w:b/>
        </w:rPr>
        <w:t>Source</w:t>
      </w:r>
      <w:r w:rsidR="002B5A15" w:rsidRPr="000C6EAA">
        <w:rPr>
          <w:b/>
        </w:rPr>
        <w:t>s</w:t>
      </w:r>
      <w:r w:rsidRPr="000C6EAA">
        <w:rPr>
          <w:b/>
        </w:rPr>
        <w:t xml:space="preserve"> of Revenue Funds </w:t>
      </w:r>
      <w:r w:rsidR="000C6EAA" w:rsidRPr="000C6EAA">
        <w:rPr>
          <w:b/>
        </w:rPr>
        <w:t>202</w:t>
      </w:r>
      <w:r w:rsidR="00E4247B">
        <w:rPr>
          <w:b/>
        </w:rPr>
        <w:t>3</w:t>
      </w:r>
      <w:r w:rsidR="000C6EAA" w:rsidRPr="000C6EAA">
        <w:rPr>
          <w:b/>
        </w:rPr>
        <w:t>/2</w:t>
      </w:r>
      <w:r w:rsidR="00E4247B">
        <w:rPr>
          <w:b/>
        </w:rPr>
        <w:t>4</w:t>
      </w:r>
      <w:r w:rsidR="00A1546A" w:rsidRPr="000C6EAA">
        <w:rPr>
          <w:b/>
        </w:rPr>
        <w:t xml:space="preserve">  </w:t>
      </w:r>
    </w:p>
    <w:p w14:paraId="4C9C72F7" w14:textId="77777777" w:rsidR="001F58FA" w:rsidRDefault="001F58FA" w:rsidP="007055C3">
      <w:pPr>
        <w:rPr>
          <w:b/>
        </w:rPr>
      </w:pPr>
    </w:p>
    <w:p w14:paraId="19F90799" w14:textId="3DFCCA7A" w:rsidR="001F58FA" w:rsidRDefault="001F58FA" w:rsidP="001F58FA">
      <w:pPr>
        <w:jc w:val="center"/>
        <w:rPr>
          <w:b/>
        </w:rPr>
      </w:pPr>
      <w:r>
        <w:rPr>
          <w:b/>
          <w:noProof/>
        </w:rPr>
        <w:drawing>
          <wp:inline distT="0" distB="0" distL="0" distR="0" wp14:anchorId="710BD344" wp14:editId="08F46D2F">
            <wp:extent cx="4772203" cy="3279379"/>
            <wp:effectExtent l="0" t="0" r="0" b="0"/>
            <wp:docPr id="1414710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6475" cy="3289187"/>
                    </a:xfrm>
                    <a:prstGeom prst="rect">
                      <a:avLst/>
                    </a:prstGeom>
                    <a:noFill/>
                  </pic:spPr>
                </pic:pic>
              </a:graphicData>
            </a:graphic>
          </wp:inline>
        </w:drawing>
      </w:r>
    </w:p>
    <w:p w14:paraId="37769FC6" w14:textId="49DE22D3" w:rsidR="00B549F2" w:rsidRDefault="00B549F2" w:rsidP="001F58FA">
      <w:pPr>
        <w:rPr>
          <w:b/>
        </w:rPr>
      </w:pPr>
    </w:p>
    <w:p w14:paraId="44F443E9" w14:textId="77777777" w:rsidR="00BC05FC" w:rsidRDefault="00BC05FC" w:rsidP="007055C3">
      <w:pPr>
        <w:rPr>
          <w:b/>
        </w:rPr>
      </w:pPr>
    </w:p>
    <w:p w14:paraId="580A6CDF" w14:textId="60BC94C5" w:rsidR="00D17518" w:rsidRDefault="0065206C" w:rsidP="007055C3">
      <w:pPr>
        <w:rPr>
          <w:bCs/>
        </w:rPr>
      </w:pPr>
      <w:r>
        <w:rPr>
          <w:bCs/>
        </w:rPr>
        <w:t>Other corporate income mostly relates to rental income (£384k). A further detailed split of grant income can be found in the notes to the accounts (note 15); as already noted, the Authority has had some large scheme specific grants in year relating to FiPL and the Coast to Coast National Trail. Other fees and charges largely relates to income from Visitor activities, including</w:t>
      </w:r>
      <w:r w:rsidR="00D17518">
        <w:rPr>
          <w:bCs/>
        </w:rPr>
        <w:t>:</w:t>
      </w:r>
      <w:r>
        <w:rPr>
          <w:bCs/>
        </w:rPr>
        <w:t xml:space="preserve"> </w:t>
      </w:r>
    </w:p>
    <w:p w14:paraId="32BFCFD2" w14:textId="77777777" w:rsidR="00182942" w:rsidRDefault="00182942" w:rsidP="007055C3">
      <w:pPr>
        <w:rPr>
          <w:bCs/>
        </w:rPr>
      </w:pPr>
    </w:p>
    <w:p w14:paraId="432C4CC2" w14:textId="2D577822" w:rsidR="00D17518" w:rsidRPr="00182942" w:rsidRDefault="0065206C" w:rsidP="00182942">
      <w:pPr>
        <w:pStyle w:val="ListParagraph"/>
        <w:numPr>
          <w:ilvl w:val="0"/>
          <w:numId w:val="54"/>
        </w:numPr>
        <w:rPr>
          <w:bCs/>
          <w:u w:val="none"/>
        </w:rPr>
      </w:pPr>
      <w:r w:rsidRPr="00182942">
        <w:rPr>
          <w:bCs/>
          <w:u w:val="none"/>
        </w:rPr>
        <w:t>car parking</w:t>
      </w:r>
      <w:r w:rsidR="00D17518" w:rsidRPr="00182942">
        <w:rPr>
          <w:bCs/>
          <w:u w:val="none"/>
        </w:rPr>
        <w:t xml:space="preserve"> £2.48m</w:t>
      </w:r>
      <w:r w:rsidRPr="00182942">
        <w:rPr>
          <w:bCs/>
          <w:u w:val="none"/>
        </w:rPr>
        <w:t xml:space="preserve"> </w:t>
      </w:r>
    </w:p>
    <w:p w14:paraId="58679B49" w14:textId="0FA872AB" w:rsidR="00D17518" w:rsidRPr="00182942" w:rsidRDefault="0065206C" w:rsidP="00182942">
      <w:pPr>
        <w:pStyle w:val="ListParagraph"/>
        <w:numPr>
          <w:ilvl w:val="0"/>
          <w:numId w:val="54"/>
        </w:numPr>
        <w:rPr>
          <w:bCs/>
          <w:u w:val="none"/>
        </w:rPr>
      </w:pPr>
      <w:r w:rsidRPr="00182942">
        <w:rPr>
          <w:bCs/>
          <w:u w:val="none"/>
        </w:rPr>
        <w:t>catering</w:t>
      </w:r>
      <w:r w:rsidR="00D17518" w:rsidRPr="00182942">
        <w:rPr>
          <w:bCs/>
          <w:u w:val="none"/>
        </w:rPr>
        <w:t xml:space="preserve"> £931k</w:t>
      </w:r>
      <w:r w:rsidRPr="00182942">
        <w:rPr>
          <w:bCs/>
          <w:u w:val="none"/>
        </w:rPr>
        <w:t xml:space="preserve"> </w:t>
      </w:r>
    </w:p>
    <w:p w14:paraId="094B9006" w14:textId="4C43B415" w:rsidR="00D17518" w:rsidRPr="00182942" w:rsidRDefault="0065206C" w:rsidP="00182942">
      <w:pPr>
        <w:pStyle w:val="ListParagraph"/>
        <w:numPr>
          <w:ilvl w:val="0"/>
          <w:numId w:val="54"/>
        </w:numPr>
        <w:rPr>
          <w:bCs/>
          <w:u w:val="none"/>
        </w:rPr>
      </w:pPr>
      <w:r w:rsidRPr="00182942">
        <w:rPr>
          <w:bCs/>
          <w:u w:val="none"/>
        </w:rPr>
        <w:t>boat hire</w:t>
      </w:r>
      <w:r w:rsidR="00D17518" w:rsidRPr="00182942">
        <w:rPr>
          <w:bCs/>
          <w:u w:val="none"/>
        </w:rPr>
        <w:t xml:space="preserve"> and activities £783k</w:t>
      </w:r>
      <w:r w:rsidRPr="00182942">
        <w:rPr>
          <w:bCs/>
          <w:u w:val="none"/>
        </w:rPr>
        <w:t xml:space="preserve"> </w:t>
      </w:r>
    </w:p>
    <w:p w14:paraId="7B704CAE" w14:textId="7736D6E3" w:rsidR="00D17518" w:rsidRPr="00182942" w:rsidRDefault="0065206C" w:rsidP="00182942">
      <w:pPr>
        <w:pStyle w:val="ListParagraph"/>
        <w:numPr>
          <w:ilvl w:val="0"/>
          <w:numId w:val="54"/>
        </w:numPr>
        <w:rPr>
          <w:bCs/>
          <w:u w:val="none"/>
        </w:rPr>
      </w:pPr>
      <w:r w:rsidRPr="00182942">
        <w:rPr>
          <w:bCs/>
          <w:u w:val="none"/>
        </w:rPr>
        <w:t>Tourist Information Centres</w:t>
      </w:r>
      <w:r w:rsidR="00D17518" w:rsidRPr="00182942">
        <w:rPr>
          <w:bCs/>
          <w:u w:val="none"/>
        </w:rPr>
        <w:t xml:space="preserve"> £763k</w:t>
      </w:r>
    </w:p>
    <w:p w14:paraId="4BA4D00C" w14:textId="77777777" w:rsidR="00D17518" w:rsidRDefault="00D17518" w:rsidP="007055C3">
      <w:pPr>
        <w:rPr>
          <w:bCs/>
        </w:rPr>
      </w:pPr>
    </w:p>
    <w:p w14:paraId="1BF2508C" w14:textId="1E3AAA52" w:rsidR="000C6EAA" w:rsidRPr="006B1CE1" w:rsidRDefault="006B1CE1" w:rsidP="007055C3">
      <w:pPr>
        <w:rPr>
          <w:bCs/>
        </w:rPr>
      </w:pPr>
      <w:r w:rsidRPr="006B1CE1">
        <w:rPr>
          <w:bCs/>
        </w:rPr>
        <w:t>This provides an indication of the relative split of activities within the Authority</w:t>
      </w:r>
      <w:r>
        <w:rPr>
          <w:bCs/>
        </w:rPr>
        <w:t>,</w:t>
      </w:r>
      <w:r w:rsidRPr="006B1CE1">
        <w:rPr>
          <w:bCs/>
        </w:rPr>
        <w:t xml:space="preserve"> with a mixture of core activities, scheme specific external funding and fees generated from service users.</w:t>
      </w:r>
      <w:r w:rsidR="0065206C">
        <w:rPr>
          <w:bCs/>
        </w:rPr>
        <w:t xml:space="preserve"> </w:t>
      </w:r>
    </w:p>
    <w:p w14:paraId="7AEA531D" w14:textId="77777777" w:rsidR="003662C5" w:rsidRDefault="003662C5" w:rsidP="007055C3">
      <w:pPr>
        <w:rPr>
          <w:rFonts w:cs="Arial"/>
          <w:b/>
          <w:bCs/>
          <w:sz w:val="24"/>
          <w:szCs w:val="24"/>
          <w:highlight w:val="yellow"/>
        </w:rPr>
      </w:pPr>
    </w:p>
    <w:p w14:paraId="3902944B" w14:textId="77777777" w:rsidR="00757709" w:rsidRDefault="00757709" w:rsidP="007055C3">
      <w:pPr>
        <w:rPr>
          <w:rFonts w:cs="Arial"/>
          <w:b/>
          <w:bCs/>
          <w:sz w:val="24"/>
          <w:szCs w:val="24"/>
          <w:highlight w:val="yellow"/>
        </w:rPr>
      </w:pPr>
    </w:p>
    <w:p w14:paraId="19A7ADA5" w14:textId="77777777" w:rsidR="00757709" w:rsidRDefault="00757709" w:rsidP="007055C3">
      <w:pPr>
        <w:rPr>
          <w:rFonts w:cs="Arial"/>
          <w:b/>
          <w:bCs/>
          <w:sz w:val="24"/>
          <w:szCs w:val="24"/>
          <w:highlight w:val="yellow"/>
        </w:rPr>
      </w:pPr>
    </w:p>
    <w:p w14:paraId="0A73CF54" w14:textId="77777777" w:rsidR="00757709" w:rsidRDefault="00757709" w:rsidP="007055C3">
      <w:pPr>
        <w:rPr>
          <w:rFonts w:cs="Arial"/>
          <w:b/>
          <w:bCs/>
          <w:sz w:val="24"/>
          <w:szCs w:val="24"/>
          <w:highlight w:val="yellow"/>
        </w:rPr>
      </w:pPr>
    </w:p>
    <w:p w14:paraId="5A354B3A" w14:textId="77777777" w:rsidR="00757709" w:rsidRDefault="00757709" w:rsidP="007055C3">
      <w:pPr>
        <w:rPr>
          <w:rFonts w:cs="Arial"/>
          <w:b/>
          <w:bCs/>
          <w:sz w:val="24"/>
          <w:szCs w:val="24"/>
          <w:highlight w:val="yellow"/>
        </w:rPr>
      </w:pPr>
    </w:p>
    <w:p w14:paraId="49EBB0D2" w14:textId="77777777" w:rsidR="00757709" w:rsidRDefault="00757709" w:rsidP="007055C3">
      <w:pPr>
        <w:rPr>
          <w:rFonts w:cs="Arial"/>
          <w:b/>
          <w:bCs/>
          <w:sz w:val="24"/>
          <w:szCs w:val="24"/>
          <w:highlight w:val="yellow"/>
        </w:rPr>
      </w:pPr>
    </w:p>
    <w:p w14:paraId="67A2B130" w14:textId="77777777" w:rsidR="00757709" w:rsidRDefault="00757709" w:rsidP="007055C3">
      <w:pPr>
        <w:rPr>
          <w:rFonts w:cs="Arial"/>
          <w:b/>
          <w:bCs/>
          <w:sz w:val="24"/>
          <w:szCs w:val="24"/>
          <w:highlight w:val="yellow"/>
        </w:rPr>
      </w:pPr>
    </w:p>
    <w:p w14:paraId="76A1DF7F" w14:textId="77777777" w:rsidR="00757709" w:rsidRDefault="00757709" w:rsidP="007055C3">
      <w:pPr>
        <w:rPr>
          <w:rFonts w:cs="Arial"/>
          <w:b/>
          <w:bCs/>
          <w:sz w:val="24"/>
          <w:szCs w:val="24"/>
          <w:highlight w:val="yellow"/>
        </w:rPr>
      </w:pPr>
    </w:p>
    <w:p w14:paraId="3B2142F6" w14:textId="77777777" w:rsidR="00757709" w:rsidRDefault="00757709" w:rsidP="007055C3">
      <w:pPr>
        <w:rPr>
          <w:rFonts w:cs="Arial"/>
          <w:b/>
          <w:bCs/>
          <w:sz w:val="24"/>
          <w:szCs w:val="24"/>
          <w:highlight w:val="yellow"/>
        </w:rPr>
      </w:pPr>
    </w:p>
    <w:p w14:paraId="15927686" w14:textId="77777777" w:rsidR="00757709" w:rsidRDefault="00757709" w:rsidP="007055C3">
      <w:pPr>
        <w:rPr>
          <w:rFonts w:cs="Arial"/>
          <w:b/>
          <w:bCs/>
          <w:sz w:val="24"/>
          <w:szCs w:val="24"/>
          <w:highlight w:val="yellow"/>
        </w:rPr>
      </w:pPr>
    </w:p>
    <w:p w14:paraId="71771F4B" w14:textId="77777777" w:rsidR="00757709" w:rsidRDefault="00757709" w:rsidP="007055C3">
      <w:pPr>
        <w:rPr>
          <w:rFonts w:cs="Arial"/>
          <w:b/>
          <w:bCs/>
          <w:sz w:val="24"/>
          <w:szCs w:val="24"/>
          <w:highlight w:val="yellow"/>
        </w:rPr>
      </w:pPr>
    </w:p>
    <w:p w14:paraId="4B32B11B" w14:textId="77777777" w:rsidR="006B1CE1" w:rsidRPr="004D5CA8" w:rsidRDefault="006B1CE1" w:rsidP="007055C3">
      <w:pPr>
        <w:rPr>
          <w:rFonts w:cs="Arial"/>
          <w:b/>
          <w:bCs/>
          <w:sz w:val="24"/>
          <w:szCs w:val="24"/>
          <w:highlight w:val="yellow"/>
        </w:rPr>
      </w:pPr>
    </w:p>
    <w:p w14:paraId="3D1CA326" w14:textId="0AD139D4" w:rsidR="00A01E56" w:rsidRPr="00757709" w:rsidRDefault="00A01E56" w:rsidP="000644FA">
      <w:pPr>
        <w:pStyle w:val="Heading3"/>
        <w:rPr>
          <w:sz w:val="28"/>
          <w:szCs w:val="28"/>
        </w:rPr>
      </w:pPr>
      <w:bookmarkStart w:id="24" w:name="_Toc156820517"/>
      <w:bookmarkStart w:id="25" w:name="_Toc165295259"/>
      <w:bookmarkStart w:id="26" w:name="_Toc167965760"/>
      <w:r w:rsidRPr="00757709">
        <w:rPr>
          <w:sz w:val="28"/>
          <w:szCs w:val="28"/>
        </w:rPr>
        <w:lastRenderedPageBreak/>
        <w:t>Capital Investment in 202</w:t>
      </w:r>
      <w:r w:rsidR="004D3339" w:rsidRPr="00757709">
        <w:rPr>
          <w:sz w:val="28"/>
          <w:szCs w:val="28"/>
        </w:rPr>
        <w:t>3</w:t>
      </w:r>
      <w:r w:rsidRPr="00757709">
        <w:rPr>
          <w:sz w:val="28"/>
          <w:szCs w:val="28"/>
        </w:rPr>
        <w:t>/2</w:t>
      </w:r>
      <w:bookmarkEnd w:id="24"/>
      <w:bookmarkEnd w:id="25"/>
      <w:r w:rsidR="004D3339" w:rsidRPr="00757709">
        <w:rPr>
          <w:sz w:val="28"/>
          <w:szCs w:val="28"/>
        </w:rPr>
        <w:t>4</w:t>
      </w:r>
      <w:bookmarkEnd w:id="26"/>
    </w:p>
    <w:p w14:paraId="0EABABF2" w14:textId="77777777" w:rsidR="00A01E56" w:rsidRPr="00B00892" w:rsidRDefault="00A01E56" w:rsidP="007055C3">
      <w:pPr>
        <w:rPr>
          <w:rFonts w:cs="Arial"/>
          <w:b/>
          <w:bCs/>
          <w:sz w:val="24"/>
          <w:szCs w:val="24"/>
        </w:rPr>
      </w:pPr>
    </w:p>
    <w:p w14:paraId="6AF00CCC" w14:textId="77777777" w:rsidR="00A01E56" w:rsidRPr="00B00892" w:rsidRDefault="00A01E56" w:rsidP="007055C3">
      <w:pPr>
        <w:rPr>
          <w:rFonts w:cs="Arial"/>
          <w:bCs/>
          <w:sz w:val="24"/>
          <w:szCs w:val="24"/>
        </w:rPr>
      </w:pPr>
      <w:r w:rsidRPr="00B00892">
        <w:rPr>
          <w:rFonts w:cs="Arial"/>
          <w:bCs/>
          <w:sz w:val="24"/>
          <w:szCs w:val="24"/>
        </w:rPr>
        <w:t>The Authority’s capital investment can be analysed as follows:</w:t>
      </w:r>
    </w:p>
    <w:p w14:paraId="1627DC8E" w14:textId="77777777" w:rsidR="00A01E56" w:rsidRPr="004D5CA8" w:rsidRDefault="00A01E56" w:rsidP="007055C3">
      <w:pPr>
        <w:rPr>
          <w:rFonts w:cs="Arial"/>
          <w:bCs/>
          <w:sz w:val="24"/>
          <w:szCs w:val="24"/>
          <w:highlight w:val="yellow"/>
        </w:rPr>
      </w:pPr>
    </w:p>
    <w:tbl>
      <w:tblPr>
        <w:tblW w:w="78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7"/>
        <w:gridCol w:w="993"/>
        <w:gridCol w:w="1134"/>
        <w:gridCol w:w="991"/>
        <w:gridCol w:w="1034"/>
      </w:tblGrid>
      <w:tr w:rsidR="007403D2" w:rsidRPr="007403D2" w14:paraId="2E553DE2" w14:textId="77777777" w:rsidTr="007403D2">
        <w:trPr>
          <w:trHeight w:val="780"/>
          <w:jc w:val="center"/>
        </w:trPr>
        <w:tc>
          <w:tcPr>
            <w:tcW w:w="3694"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088BC764"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b/>
                <w:bCs/>
                <w:color w:val="000000"/>
                <w:sz w:val="22"/>
                <w:szCs w:val="22"/>
                <w:lang w:eastAsia="en-GB"/>
              </w:rPr>
              <w:t>Name</w:t>
            </w:r>
            <w:r w:rsidRPr="007403D2">
              <w:rPr>
                <w:rFonts w:ascii="Calibri" w:hAnsi="Calibri" w:cs="Calibri"/>
                <w:color w:val="000000"/>
                <w:sz w:val="22"/>
                <w:szCs w:val="22"/>
                <w:lang w:eastAsia="en-GB"/>
              </w:rPr>
              <w:t> </w:t>
            </w:r>
          </w:p>
        </w:tc>
        <w:tc>
          <w:tcPr>
            <w:tcW w:w="993" w:type="dxa"/>
            <w:tcBorders>
              <w:top w:val="single" w:sz="4" w:space="0" w:color="auto"/>
              <w:left w:val="nil"/>
              <w:bottom w:val="single" w:sz="6" w:space="0" w:color="auto"/>
              <w:right w:val="single" w:sz="6" w:space="0" w:color="auto"/>
            </w:tcBorders>
            <w:shd w:val="clear" w:color="auto" w:fill="auto"/>
            <w:vAlign w:val="center"/>
            <w:hideMark/>
          </w:tcPr>
          <w:p w14:paraId="756CF94D" w14:textId="77777777" w:rsidR="007403D2" w:rsidRPr="007403D2" w:rsidRDefault="007403D2" w:rsidP="007403D2">
            <w:pPr>
              <w:jc w:val="center"/>
              <w:textAlignment w:val="baseline"/>
              <w:rPr>
                <w:rFonts w:ascii="Segoe UI" w:hAnsi="Segoe UI" w:cs="Segoe UI"/>
                <w:sz w:val="18"/>
                <w:szCs w:val="18"/>
                <w:lang w:eastAsia="en-GB"/>
              </w:rPr>
            </w:pPr>
            <w:r w:rsidRPr="007403D2">
              <w:rPr>
                <w:rFonts w:ascii="Calibri" w:hAnsi="Calibri" w:cs="Calibri"/>
                <w:b/>
                <w:bCs/>
                <w:color w:val="000000"/>
                <w:sz w:val="22"/>
                <w:szCs w:val="22"/>
                <w:lang w:eastAsia="en-GB"/>
              </w:rPr>
              <w:t>Original Full Year Budget</w:t>
            </w:r>
            <w:r w:rsidRPr="007403D2">
              <w:rPr>
                <w:rFonts w:ascii="Calibri" w:hAnsi="Calibri" w:cs="Calibri"/>
                <w:color w:val="000000"/>
                <w:sz w:val="22"/>
                <w:szCs w:val="22"/>
                <w:lang w:eastAsia="en-GB"/>
              </w:rPr>
              <w:t> </w:t>
            </w:r>
            <w:r w:rsidRPr="007403D2">
              <w:rPr>
                <w:rFonts w:ascii="Calibri" w:hAnsi="Calibri" w:cs="Calibri"/>
                <w:color w:val="000000"/>
                <w:sz w:val="22"/>
                <w:szCs w:val="22"/>
                <w:lang w:eastAsia="en-GB"/>
              </w:rPr>
              <w:br/>
            </w:r>
            <w:r w:rsidRPr="007403D2">
              <w:rPr>
                <w:rFonts w:ascii="Calibri" w:hAnsi="Calibri" w:cs="Calibri"/>
                <w:b/>
                <w:bCs/>
                <w:color w:val="000000"/>
                <w:sz w:val="22"/>
                <w:szCs w:val="22"/>
                <w:lang w:eastAsia="en-GB"/>
              </w:rPr>
              <w:t>£</w:t>
            </w:r>
            <w:r w:rsidRPr="007403D2">
              <w:rPr>
                <w:rFonts w:ascii="Calibri" w:hAnsi="Calibri" w:cs="Calibri"/>
                <w:color w:val="000000"/>
                <w:sz w:val="22"/>
                <w:szCs w:val="22"/>
                <w:lang w:eastAsia="en-GB"/>
              </w:rPr>
              <w:t> </w:t>
            </w:r>
          </w:p>
        </w:tc>
        <w:tc>
          <w:tcPr>
            <w:tcW w:w="1134" w:type="dxa"/>
            <w:tcBorders>
              <w:top w:val="single" w:sz="4" w:space="0" w:color="auto"/>
              <w:left w:val="nil"/>
              <w:bottom w:val="single" w:sz="6" w:space="0" w:color="auto"/>
              <w:right w:val="single" w:sz="6" w:space="0" w:color="auto"/>
            </w:tcBorders>
            <w:shd w:val="clear" w:color="auto" w:fill="auto"/>
            <w:vAlign w:val="center"/>
            <w:hideMark/>
          </w:tcPr>
          <w:p w14:paraId="70A50517" w14:textId="77777777" w:rsidR="007403D2" w:rsidRPr="007403D2" w:rsidRDefault="007403D2" w:rsidP="007403D2">
            <w:pPr>
              <w:jc w:val="center"/>
              <w:textAlignment w:val="baseline"/>
              <w:rPr>
                <w:rFonts w:ascii="Segoe UI" w:hAnsi="Segoe UI" w:cs="Segoe UI"/>
                <w:sz w:val="18"/>
                <w:szCs w:val="18"/>
                <w:lang w:eastAsia="en-GB"/>
              </w:rPr>
            </w:pPr>
            <w:r w:rsidRPr="007403D2">
              <w:rPr>
                <w:rFonts w:ascii="Calibri" w:hAnsi="Calibri" w:cs="Calibri"/>
                <w:b/>
                <w:bCs/>
                <w:color w:val="000000"/>
                <w:sz w:val="22"/>
                <w:szCs w:val="22"/>
                <w:lang w:eastAsia="en-GB"/>
              </w:rPr>
              <w:t>Working Full Year Budget</w:t>
            </w:r>
            <w:r w:rsidRPr="007403D2">
              <w:rPr>
                <w:rFonts w:ascii="Calibri" w:hAnsi="Calibri" w:cs="Calibri"/>
                <w:color w:val="000000"/>
                <w:sz w:val="22"/>
                <w:szCs w:val="22"/>
                <w:lang w:eastAsia="en-GB"/>
              </w:rPr>
              <w:t> </w:t>
            </w:r>
            <w:r w:rsidRPr="007403D2">
              <w:rPr>
                <w:rFonts w:ascii="Calibri" w:hAnsi="Calibri" w:cs="Calibri"/>
                <w:color w:val="000000"/>
                <w:sz w:val="22"/>
                <w:szCs w:val="22"/>
                <w:lang w:eastAsia="en-GB"/>
              </w:rPr>
              <w:br/>
            </w:r>
            <w:r w:rsidRPr="007403D2">
              <w:rPr>
                <w:rFonts w:ascii="Calibri" w:hAnsi="Calibri" w:cs="Calibri"/>
                <w:b/>
                <w:bCs/>
                <w:color w:val="000000"/>
                <w:sz w:val="22"/>
                <w:szCs w:val="22"/>
                <w:lang w:eastAsia="en-GB"/>
              </w:rPr>
              <w:t>£</w:t>
            </w:r>
            <w:r w:rsidRPr="007403D2">
              <w:rPr>
                <w:rFonts w:ascii="Calibri" w:hAnsi="Calibri" w:cs="Calibri"/>
                <w:color w:val="000000"/>
                <w:sz w:val="22"/>
                <w:szCs w:val="22"/>
                <w:lang w:eastAsia="en-GB"/>
              </w:rPr>
              <w:t> </w:t>
            </w:r>
          </w:p>
        </w:tc>
        <w:tc>
          <w:tcPr>
            <w:tcW w:w="992" w:type="dxa"/>
            <w:tcBorders>
              <w:top w:val="single" w:sz="4" w:space="0" w:color="auto"/>
              <w:left w:val="nil"/>
              <w:bottom w:val="single" w:sz="6" w:space="0" w:color="auto"/>
              <w:right w:val="single" w:sz="6" w:space="0" w:color="auto"/>
            </w:tcBorders>
            <w:shd w:val="clear" w:color="auto" w:fill="auto"/>
            <w:vAlign w:val="center"/>
            <w:hideMark/>
          </w:tcPr>
          <w:p w14:paraId="05C148F5" w14:textId="77777777" w:rsidR="007403D2" w:rsidRPr="007403D2" w:rsidRDefault="007403D2" w:rsidP="007403D2">
            <w:pPr>
              <w:jc w:val="center"/>
              <w:textAlignment w:val="baseline"/>
              <w:rPr>
                <w:rFonts w:ascii="Segoe UI" w:hAnsi="Segoe UI" w:cs="Segoe UI"/>
                <w:sz w:val="18"/>
                <w:szCs w:val="18"/>
                <w:lang w:eastAsia="en-GB"/>
              </w:rPr>
            </w:pPr>
            <w:r w:rsidRPr="007403D2">
              <w:rPr>
                <w:rFonts w:ascii="Calibri" w:hAnsi="Calibri" w:cs="Calibri"/>
                <w:b/>
                <w:bCs/>
                <w:color w:val="000000"/>
                <w:sz w:val="22"/>
                <w:szCs w:val="22"/>
                <w:lang w:eastAsia="en-GB"/>
              </w:rPr>
              <w:t>Actual Year To Date</w:t>
            </w:r>
            <w:r w:rsidRPr="007403D2">
              <w:rPr>
                <w:rFonts w:ascii="Calibri" w:hAnsi="Calibri" w:cs="Calibri"/>
                <w:color w:val="000000"/>
                <w:sz w:val="22"/>
                <w:szCs w:val="22"/>
                <w:lang w:eastAsia="en-GB"/>
              </w:rPr>
              <w:t> </w:t>
            </w:r>
            <w:r w:rsidRPr="007403D2">
              <w:rPr>
                <w:rFonts w:ascii="Calibri" w:hAnsi="Calibri" w:cs="Calibri"/>
                <w:color w:val="000000"/>
                <w:sz w:val="22"/>
                <w:szCs w:val="22"/>
                <w:lang w:eastAsia="en-GB"/>
              </w:rPr>
              <w:br/>
            </w:r>
            <w:r w:rsidRPr="007403D2">
              <w:rPr>
                <w:rFonts w:ascii="Calibri" w:hAnsi="Calibri" w:cs="Calibri"/>
                <w:b/>
                <w:bCs/>
                <w:color w:val="000000"/>
                <w:sz w:val="22"/>
                <w:szCs w:val="22"/>
                <w:lang w:eastAsia="en-GB"/>
              </w:rPr>
              <w:t>£</w:t>
            </w:r>
            <w:r w:rsidRPr="007403D2">
              <w:rPr>
                <w:rFonts w:ascii="Calibri" w:hAnsi="Calibri" w:cs="Calibri"/>
                <w:color w:val="000000"/>
                <w:sz w:val="22"/>
                <w:szCs w:val="22"/>
                <w:lang w:eastAsia="en-GB"/>
              </w:rPr>
              <w:t> </w:t>
            </w:r>
          </w:p>
        </w:tc>
        <w:tc>
          <w:tcPr>
            <w:tcW w:w="1026" w:type="dxa"/>
            <w:tcBorders>
              <w:top w:val="single" w:sz="4" w:space="0" w:color="auto"/>
              <w:left w:val="nil"/>
              <w:bottom w:val="single" w:sz="6" w:space="0" w:color="auto"/>
              <w:right w:val="single" w:sz="4" w:space="0" w:color="auto"/>
            </w:tcBorders>
            <w:shd w:val="clear" w:color="auto" w:fill="auto"/>
            <w:vAlign w:val="center"/>
            <w:hideMark/>
          </w:tcPr>
          <w:p w14:paraId="63188D62" w14:textId="77777777" w:rsidR="007403D2" w:rsidRPr="007403D2" w:rsidRDefault="007403D2" w:rsidP="007403D2">
            <w:pPr>
              <w:jc w:val="center"/>
              <w:textAlignment w:val="baseline"/>
              <w:rPr>
                <w:rFonts w:ascii="Segoe UI" w:hAnsi="Segoe UI" w:cs="Segoe UI"/>
                <w:sz w:val="18"/>
                <w:szCs w:val="18"/>
                <w:lang w:eastAsia="en-GB"/>
              </w:rPr>
            </w:pPr>
            <w:r w:rsidRPr="007403D2">
              <w:rPr>
                <w:rFonts w:ascii="Calibri" w:hAnsi="Calibri" w:cs="Calibri"/>
                <w:b/>
                <w:bCs/>
                <w:color w:val="000000"/>
                <w:sz w:val="22"/>
                <w:szCs w:val="22"/>
                <w:lang w:eastAsia="en-GB"/>
              </w:rPr>
              <w:t>Budget Remaining</w:t>
            </w:r>
            <w:r w:rsidRPr="007403D2">
              <w:rPr>
                <w:rFonts w:ascii="Calibri" w:hAnsi="Calibri" w:cs="Calibri"/>
                <w:color w:val="000000"/>
                <w:sz w:val="22"/>
                <w:szCs w:val="22"/>
                <w:lang w:eastAsia="en-GB"/>
              </w:rPr>
              <w:t> </w:t>
            </w:r>
            <w:r w:rsidRPr="007403D2">
              <w:rPr>
                <w:rFonts w:ascii="Calibri" w:hAnsi="Calibri" w:cs="Calibri"/>
                <w:color w:val="000000"/>
                <w:sz w:val="22"/>
                <w:szCs w:val="22"/>
                <w:lang w:eastAsia="en-GB"/>
              </w:rPr>
              <w:br/>
            </w:r>
            <w:r w:rsidRPr="007403D2">
              <w:rPr>
                <w:rFonts w:ascii="Calibri" w:hAnsi="Calibri" w:cs="Calibri"/>
                <w:b/>
                <w:bCs/>
                <w:color w:val="000000"/>
                <w:sz w:val="22"/>
                <w:szCs w:val="22"/>
                <w:lang w:eastAsia="en-GB"/>
              </w:rPr>
              <w:t>£</w:t>
            </w:r>
            <w:r w:rsidRPr="007403D2">
              <w:rPr>
                <w:rFonts w:ascii="Calibri" w:hAnsi="Calibri" w:cs="Calibri"/>
                <w:color w:val="000000"/>
                <w:sz w:val="22"/>
                <w:szCs w:val="22"/>
                <w:lang w:eastAsia="en-GB"/>
              </w:rPr>
              <w:t> </w:t>
            </w:r>
          </w:p>
        </w:tc>
      </w:tr>
      <w:tr w:rsidR="007403D2" w:rsidRPr="007403D2" w14:paraId="2C3D9268" w14:textId="77777777" w:rsidTr="007403D2">
        <w:trPr>
          <w:trHeight w:val="284"/>
          <w:jc w:val="center"/>
        </w:trPr>
        <w:tc>
          <w:tcPr>
            <w:tcW w:w="3694" w:type="dxa"/>
            <w:tcBorders>
              <w:top w:val="nil"/>
              <w:left w:val="single" w:sz="4" w:space="0" w:color="auto"/>
              <w:bottom w:val="nil"/>
              <w:right w:val="single" w:sz="6" w:space="0" w:color="auto"/>
            </w:tcBorders>
            <w:shd w:val="clear" w:color="auto" w:fill="auto"/>
            <w:vAlign w:val="center"/>
            <w:hideMark/>
          </w:tcPr>
          <w:p w14:paraId="1733E238"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color w:val="000000"/>
                <w:sz w:val="22"/>
                <w:szCs w:val="22"/>
                <w:lang w:eastAsia="en-GB"/>
              </w:rPr>
              <w:t>Vehicle replacement </w:t>
            </w:r>
          </w:p>
        </w:tc>
        <w:tc>
          <w:tcPr>
            <w:tcW w:w="993" w:type="dxa"/>
            <w:tcBorders>
              <w:top w:val="nil"/>
              <w:left w:val="nil"/>
              <w:bottom w:val="nil"/>
              <w:right w:val="single" w:sz="6" w:space="0" w:color="auto"/>
            </w:tcBorders>
            <w:shd w:val="clear" w:color="auto" w:fill="auto"/>
            <w:vAlign w:val="center"/>
            <w:hideMark/>
          </w:tcPr>
          <w:p w14:paraId="3C7A2D06"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0 </w:t>
            </w:r>
          </w:p>
        </w:tc>
        <w:tc>
          <w:tcPr>
            <w:tcW w:w="1134" w:type="dxa"/>
            <w:tcBorders>
              <w:top w:val="nil"/>
              <w:left w:val="nil"/>
              <w:bottom w:val="nil"/>
              <w:right w:val="single" w:sz="6" w:space="0" w:color="auto"/>
            </w:tcBorders>
            <w:shd w:val="clear" w:color="auto" w:fill="auto"/>
            <w:vAlign w:val="center"/>
            <w:hideMark/>
          </w:tcPr>
          <w:p w14:paraId="361E1F3D"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38,600 </w:t>
            </w:r>
          </w:p>
        </w:tc>
        <w:tc>
          <w:tcPr>
            <w:tcW w:w="992" w:type="dxa"/>
            <w:tcBorders>
              <w:top w:val="nil"/>
              <w:left w:val="nil"/>
              <w:bottom w:val="nil"/>
              <w:right w:val="single" w:sz="6" w:space="0" w:color="auto"/>
            </w:tcBorders>
            <w:shd w:val="clear" w:color="auto" w:fill="auto"/>
            <w:vAlign w:val="center"/>
            <w:hideMark/>
          </w:tcPr>
          <w:p w14:paraId="3CA13BC1"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38,600 </w:t>
            </w:r>
          </w:p>
        </w:tc>
        <w:tc>
          <w:tcPr>
            <w:tcW w:w="1026" w:type="dxa"/>
            <w:tcBorders>
              <w:top w:val="nil"/>
              <w:left w:val="nil"/>
              <w:bottom w:val="nil"/>
              <w:right w:val="single" w:sz="4" w:space="0" w:color="auto"/>
            </w:tcBorders>
            <w:shd w:val="clear" w:color="auto" w:fill="auto"/>
            <w:vAlign w:val="center"/>
            <w:hideMark/>
          </w:tcPr>
          <w:p w14:paraId="107E37BA"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0 </w:t>
            </w:r>
          </w:p>
        </w:tc>
      </w:tr>
      <w:tr w:rsidR="007403D2" w:rsidRPr="007403D2" w14:paraId="2B6F9D68" w14:textId="77777777" w:rsidTr="007403D2">
        <w:trPr>
          <w:trHeight w:val="284"/>
          <w:jc w:val="center"/>
        </w:trPr>
        <w:tc>
          <w:tcPr>
            <w:tcW w:w="3694" w:type="dxa"/>
            <w:tcBorders>
              <w:top w:val="nil"/>
              <w:left w:val="single" w:sz="4" w:space="0" w:color="auto"/>
              <w:bottom w:val="nil"/>
              <w:right w:val="single" w:sz="6" w:space="0" w:color="auto"/>
            </w:tcBorders>
            <w:shd w:val="clear" w:color="auto" w:fill="auto"/>
            <w:vAlign w:val="center"/>
            <w:hideMark/>
          </w:tcPr>
          <w:p w14:paraId="51267BDE"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color w:val="000000"/>
                <w:sz w:val="22"/>
                <w:szCs w:val="22"/>
                <w:lang w:eastAsia="en-GB"/>
              </w:rPr>
              <w:t>PM Plant &amp; machinery </w:t>
            </w:r>
          </w:p>
        </w:tc>
        <w:tc>
          <w:tcPr>
            <w:tcW w:w="993" w:type="dxa"/>
            <w:tcBorders>
              <w:top w:val="nil"/>
              <w:left w:val="nil"/>
              <w:bottom w:val="nil"/>
              <w:right w:val="single" w:sz="6" w:space="0" w:color="auto"/>
            </w:tcBorders>
            <w:shd w:val="clear" w:color="auto" w:fill="auto"/>
            <w:vAlign w:val="center"/>
            <w:hideMark/>
          </w:tcPr>
          <w:p w14:paraId="4C6AD68E"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45,000 </w:t>
            </w:r>
          </w:p>
        </w:tc>
        <w:tc>
          <w:tcPr>
            <w:tcW w:w="1134" w:type="dxa"/>
            <w:tcBorders>
              <w:top w:val="nil"/>
              <w:left w:val="nil"/>
              <w:bottom w:val="nil"/>
              <w:right w:val="single" w:sz="6" w:space="0" w:color="auto"/>
            </w:tcBorders>
            <w:shd w:val="clear" w:color="auto" w:fill="auto"/>
            <w:vAlign w:val="center"/>
            <w:hideMark/>
          </w:tcPr>
          <w:p w14:paraId="39B5D66F"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70,800 </w:t>
            </w:r>
          </w:p>
        </w:tc>
        <w:tc>
          <w:tcPr>
            <w:tcW w:w="992" w:type="dxa"/>
            <w:tcBorders>
              <w:top w:val="nil"/>
              <w:left w:val="nil"/>
              <w:bottom w:val="nil"/>
              <w:right w:val="single" w:sz="6" w:space="0" w:color="auto"/>
            </w:tcBorders>
            <w:shd w:val="clear" w:color="auto" w:fill="auto"/>
            <w:vAlign w:val="center"/>
            <w:hideMark/>
          </w:tcPr>
          <w:p w14:paraId="0FF039CB"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26,840 </w:t>
            </w:r>
          </w:p>
        </w:tc>
        <w:tc>
          <w:tcPr>
            <w:tcW w:w="1026" w:type="dxa"/>
            <w:tcBorders>
              <w:top w:val="nil"/>
              <w:left w:val="nil"/>
              <w:bottom w:val="nil"/>
              <w:right w:val="single" w:sz="4" w:space="0" w:color="auto"/>
            </w:tcBorders>
            <w:shd w:val="clear" w:color="auto" w:fill="auto"/>
            <w:vAlign w:val="center"/>
            <w:hideMark/>
          </w:tcPr>
          <w:p w14:paraId="0DE5CF94"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43,960 </w:t>
            </w:r>
          </w:p>
        </w:tc>
      </w:tr>
      <w:tr w:rsidR="007403D2" w:rsidRPr="007403D2" w14:paraId="3EF11E67" w14:textId="77777777" w:rsidTr="007403D2">
        <w:trPr>
          <w:trHeight w:val="284"/>
          <w:jc w:val="center"/>
        </w:trPr>
        <w:tc>
          <w:tcPr>
            <w:tcW w:w="3694" w:type="dxa"/>
            <w:tcBorders>
              <w:top w:val="nil"/>
              <w:left w:val="single" w:sz="4" w:space="0" w:color="auto"/>
              <w:bottom w:val="nil"/>
              <w:right w:val="single" w:sz="6" w:space="0" w:color="auto"/>
            </w:tcBorders>
            <w:shd w:val="clear" w:color="auto" w:fill="auto"/>
            <w:vAlign w:val="center"/>
            <w:hideMark/>
          </w:tcPr>
          <w:p w14:paraId="73F67C24"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color w:val="000000"/>
                <w:sz w:val="22"/>
                <w:szCs w:val="22"/>
                <w:lang w:eastAsia="en-GB"/>
              </w:rPr>
              <w:t>Car Park Re-surfacing and machines </w:t>
            </w:r>
          </w:p>
        </w:tc>
        <w:tc>
          <w:tcPr>
            <w:tcW w:w="993" w:type="dxa"/>
            <w:tcBorders>
              <w:top w:val="nil"/>
              <w:left w:val="nil"/>
              <w:bottom w:val="nil"/>
              <w:right w:val="single" w:sz="6" w:space="0" w:color="auto"/>
            </w:tcBorders>
            <w:shd w:val="clear" w:color="auto" w:fill="auto"/>
            <w:vAlign w:val="center"/>
            <w:hideMark/>
          </w:tcPr>
          <w:p w14:paraId="5205575B"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0 </w:t>
            </w:r>
          </w:p>
        </w:tc>
        <w:tc>
          <w:tcPr>
            <w:tcW w:w="1134" w:type="dxa"/>
            <w:tcBorders>
              <w:top w:val="nil"/>
              <w:left w:val="nil"/>
              <w:bottom w:val="nil"/>
              <w:right w:val="single" w:sz="6" w:space="0" w:color="auto"/>
            </w:tcBorders>
            <w:shd w:val="clear" w:color="auto" w:fill="auto"/>
            <w:vAlign w:val="center"/>
            <w:hideMark/>
          </w:tcPr>
          <w:p w14:paraId="31F515A7"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29,700 </w:t>
            </w:r>
          </w:p>
        </w:tc>
        <w:tc>
          <w:tcPr>
            <w:tcW w:w="992" w:type="dxa"/>
            <w:tcBorders>
              <w:top w:val="nil"/>
              <w:left w:val="nil"/>
              <w:bottom w:val="nil"/>
              <w:right w:val="single" w:sz="6" w:space="0" w:color="auto"/>
            </w:tcBorders>
            <w:shd w:val="clear" w:color="auto" w:fill="auto"/>
            <w:vAlign w:val="center"/>
            <w:hideMark/>
          </w:tcPr>
          <w:p w14:paraId="224C681C"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26,740 </w:t>
            </w:r>
          </w:p>
        </w:tc>
        <w:tc>
          <w:tcPr>
            <w:tcW w:w="1026" w:type="dxa"/>
            <w:tcBorders>
              <w:top w:val="nil"/>
              <w:left w:val="nil"/>
              <w:bottom w:val="nil"/>
              <w:right w:val="single" w:sz="4" w:space="0" w:color="auto"/>
            </w:tcBorders>
            <w:shd w:val="clear" w:color="auto" w:fill="auto"/>
            <w:vAlign w:val="center"/>
            <w:hideMark/>
          </w:tcPr>
          <w:p w14:paraId="6842B5BD"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2,960 </w:t>
            </w:r>
          </w:p>
        </w:tc>
      </w:tr>
      <w:tr w:rsidR="007403D2" w:rsidRPr="007403D2" w14:paraId="7DC25238" w14:textId="77777777" w:rsidTr="007403D2">
        <w:trPr>
          <w:trHeight w:val="284"/>
          <w:jc w:val="center"/>
        </w:trPr>
        <w:tc>
          <w:tcPr>
            <w:tcW w:w="3694" w:type="dxa"/>
            <w:tcBorders>
              <w:top w:val="nil"/>
              <w:left w:val="single" w:sz="4" w:space="0" w:color="auto"/>
              <w:bottom w:val="nil"/>
              <w:right w:val="single" w:sz="6" w:space="0" w:color="auto"/>
            </w:tcBorders>
            <w:shd w:val="clear" w:color="auto" w:fill="auto"/>
            <w:vAlign w:val="center"/>
            <w:hideMark/>
          </w:tcPr>
          <w:p w14:paraId="432825BE"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color w:val="000000"/>
                <w:sz w:val="22"/>
                <w:szCs w:val="22"/>
                <w:lang w:eastAsia="en-GB"/>
              </w:rPr>
              <w:t>IT Rolling Replacement Programme </w:t>
            </w:r>
          </w:p>
        </w:tc>
        <w:tc>
          <w:tcPr>
            <w:tcW w:w="993" w:type="dxa"/>
            <w:tcBorders>
              <w:top w:val="nil"/>
              <w:left w:val="nil"/>
              <w:bottom w:val="nil"/>
              <w:right w:val="single" w:sz="6" w:space="0" w:color="auto"/>
            </w:tcBorders>
            <w:shd w:val="clear" w:color="auto" w:fill="auto"/>
            <w:vAlign w:val="center"/>
            <w:hideMark/>
          </w:tcPr>
          <w:p w14:paraId="763CB912"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42,000 </w:t>
            </w:r>
          </w:p>
        </w:tc>
        <w:tc>
          <w:tcPr>
            <w:tcW w:w="1134" w:type="dxa"/>
            <w:tcBorders>
              <w:top w:val="nil"/>
              <w:left w:val="nil"/>
              <w:bottom w:val="nil"/>
              <w:right w:val="single" w:sz="6" w:space="0" w:color="auto"/>
            </w:tcBorders>
            <w:shd w:val="clear" w:color="auto" w:fill="auto"/>
            <w:vAlign w:val="center"/>
            <w:hideMark/>
          </w:tcPr>
          <w:p w14:paraId="1294D995"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107,000 </w:t>
            </w:r>
          </w:p>
        </w:tc>
        <w:tc>
          <w:tcPr>
            <w:tcW w:w="992" w:type="dxa"/>
            <w:tcBorders>
              <w:top w:val="nil"/>
              <w:left w:val="nil"/>
              <w:bottom w:val="nil"/>
              <w:right w:val="single" w:sz="6" w:space="0" w:color="auto"/>
            </w:tcBorders>
            <w:shd w:val="clear" w:color="auto" w:fill="auto"/>
            <w:vAlign w:val="center"/>
            <w:hideMark/>
          </w:tcPr>
          <w:p w14:paraId="736BEE49" w14:textId="5A70BE3C" w:rsidR="007403D2" w:rsidRPr="007403D2" w:rsidRDefault="00A1482A" w:rsidP="007403D2">
            <w:pPr>
              <w:jc w:val="right"/>
              <w:textAlignment w:val="baseline"/>
              <w:rPr>
                <w:rFonts w:ascii="Segoe UI" w:hAnsi="Segoe UI" w:cs="Segoe UI"/>
                <w:sz w:val="18"/>
                <w:szCs w:val="18"/>
                <w:lang w:eastAsia="en-GB"/>
              </w:rPr>
            </w:pPr>
            <w:r>
              <w:rPr>
                <w:rFonts w:ascii="Calibri" w:hAnsi="Calibri" w:cs="Calibri"/>
                <w:color w:val="000000"/>
                <w:sz w:val="22"/>
                <w:szCs w:val="22"/>
                <w:lang w:eastAsia="en-GB"/>
              </w:rPr>
              <w:t>6</w:t>
            </w:r>
            <w:r w:rsidR="007403D2" w:rsidRPr="007403D2">
              <w:rPr>
                <w:rFonts w:ascii="Calibri" w:hAnsi="Calibri" w:cs="Calibri"/>
                <w:color w:val="000000"/>
                <w:sz w:val="22"/>
                <w:szCs w:val="22"/>
                <w:lang w:eastAsia="en-GB"/>
              </w:rPr>
              <w:t>7,187 </w:t>
            </w:r>
          </w:p>
        </w:tc>
        <w:tc>
          <w:tcPr>
            <w:tcW w:w="1026" w:type="dxa"/>
            <w:tcBorders>
              <w:top w:val="nil"/>
              <w:left w:val="nil"/>
              <w:bottom w:val="nil"/>
              <w:right w:val="single" w:sz="4" w:space="0" w:color="auto"/>
            </w:tcBorders>
            <w:shd w:val="clear" w:color="auto" w:fill="auto"/>
            <w:vAlign w:val="center"/>
            <w:hideMark/>
          </w:tcPr>
          <w:p w14:paraId="0EA15976"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19,813 </w:t>
            </w:r>
          </w:p>
        </w:tc>
      </w:tr>
      <w:tr w:rsidR="007403D2" w:rsidRPr="007403D2" w14:paraId="7BCBC32D" w14:textId="77777777" w:rsidTr="007403D2">
        <w:trPr>
          <w:trHeight w:val="284"/>
          <w:jc w:val="center"/>
        </w:trPr>
        <w:tc>
          <w:tcPr>
            <w:tcW w:w="3694" w:type="dxa"/>
            <w:tcBorders>
              <w:top w:val="nil"/>
              <w:left w:val="single" w:sz="4" w:space="0" w:color="auto"/>
              <w:bottom w:val="nil"/>
              <w:right w:val="single" w:sz="6" w:space="0" w:color="auto"/>
            </w:tcBorders>
            <w:shd w:val="clear" w:color="auto" w:fill="auto"/>
            <w:vAlign w:val="center"/>
            <w:hideMark/>
          </w:tcPr>
          <w:p w14:paraId="22D9251B"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color w:val="000000"/>
                <w:sz w:val="22"/>
                <w:szCs w:val="22"/>
                <w:lang w:eastAsia="en-GB"/>
              </w:rPr>
              <w:t>CBC Jetty </w:t>
            </w:r>
          </w:p>
        </w:tc>
        <w:tc>
          <w:tcPr>
            <w:tcW w:w="993" w:type="dxa"/>
            <w:tcBorders>
              <w:top w:val="nil"/>
              <w:left w:val="nil"/>
              <w:bottom w:val="nil"/>
              <w:right w:val="single" w:sz="6" w:space="0" w:color="auto"/>
            </w:tcBorders>
            <w:shd w:val="clear" w:color="auto" w:fill="auto"/>
            <w:vAlign w:val="center"/>
            <w:hideMark/>
          </w:tcPr>
          <w:p w14:paraId="7F7152E6"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0 </w:t>
            </w:r>
          </w:p>
        </w:tc>
        <w:tc>
          <w:tcPr>
            <w:tcW w:w="1134" w:type="dxa"/>
            <w:tcBorders>
              <w:top w:val="nil"/>
              <w:left w:val="nil"/>
              <w:bottom w:val="nil"/>
              <w:right w:val="single" w:sz="6" w:space="0" w:color="auto"/>
            </w:tcBorders>
            <w:shd w:val="clear" w:color="auto" w:fill="auto"/>
            <w:vAlign w:val="center"/>
            <w:hideMark/>
          </w:tcPr>
          <w:p w14:paraId="39863672"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38,000 </w:t>
            </w:r>
          </w:p>
        </w:tc>
        <w:tc>
          <w:tcPr>
            <w:tcW w:w="992" w:type="dxa"/>
            <w:tcBorders>
              <w:top w:val="nil"/>
              <w:left w:val="nil"/>
              <w:bottom w:val="nil"/>
              <w:right w:val="single" w:sz="6" w:space="0" w:color="auto"/>
            </w:tcBorders>
            <w:shd w:val="clear" w:color="auto" w:fill="auto"/>
            <w:vAlign w:val="center"/>
            <w:hideMark/>
          </w:tcPr>
          <w:p w14:paraId="6CE374AD"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0 </w:t>
            </w:r>
          </w:p>
        </w:tc>
        <w:tc>
          <w:tcPr>
            <w:tcW w:w="1026" w:type="dxa"/>
            <w:tcBorders>
              <w:top w:val="nil"/>
              <w:left w:val="nil"/>
              <w:bottom w:val="nil"/>
              <w:right w:val="single" w:sz="4" w:space="0" w:color="auto"/>
            </w:tcBorders>
            <w:shd w:val="clear" w:color="auto" w:fill="auto"/>
            <w:vAlign w:val="center"/>
            <w:hideMark/>
          </w:tcPr>
          <w:p w14:paraId="6CFFF2B4"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38,000 </w:t>
            </w:r>
          </w:p>
        </w:tc>
      </w:tr>
      <w:tr w:rsidR="007403D2" w:rsidRPr="007403D2" w14:paraId="3409824C" w14:textId="77777777" w:rsidTr="007403D2">
        <w:trPr>
          <w:trHeight w:val="284"/>
          <w:jc w:val="center"/>
        </w:trPr>
        <w:tc>
          <w:tcPr>
            <w:tcW w:w="3694" w:type="dxa"/>
            <w:tcBorders>
              <w:top w:val="nil"/>
              <w:left w:val="single" w:sz="4" w:space="0" w:color="auto"/>
              <w:bottom w:val="nil"/>
              <w:right w:val="single" w:sz="6" w:space="0" w:color="auto"/>
            </w:tcBorders>
            <w:shd w:val="clear" w:color="auto" w:fill="auto"/>
            <w:vAlign w:val="center"/>
            <w:hideMark/>
          </w:tcPr>
          <w:p w14:paraId="530B8A63"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color w:val="000000"/>
                <w:sz w:val="22"/>
                <w:szCs w:val="22"/>
                <w:lang w:eastAsia="en-GB"/>
              </w:rPr>
              <w:t>Condition Survey Work - Property Team </w:t>
            </w:r>
          </w:p>
        </w:tc>
        <w:tc>
          <w:tcPr>
            <w:tcW w:w="993" w:type="dxa"/>
            <w:tcBorders>
              <w:top w:val="nil"/>
              <w:left w:val="nil"/>
              <w:bottom w:val="nil"/>
              <w:right w:val="single" w:sz="6" w:space="0" w:color="auto"/>
            </w:tcBorders>
            <w:shd w:val="clear" w:color="auto" w:fill="auto"/>
            <w:vAlign w:val="center"/>
            <w:hideMark/>
          </w:tcPr>
          <w:p w14:paraId="7CC8C74F"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0 </w:t>
            </w:r>
          </w:p>
        </w:tc>
        <w:tc>
          <w:tcPr>
            <w:tcW w:w="1134" w:type="dxa"/>
            <w:tcBorders>
              <w:top w:val="nil"/>
              <w:left w:val="nil"/>
              <w:bottom w:val="nil"/>
              <w:right w:val="single" w:sz="6" w:space="0" w:color="auto"/>
            </w:tcBorders>
            <w:shd w:val="clear" w:color="auto" w:fill="auto"/>
            <w:vAlign w:val="center"/>
            <w:hideMark/>
          </w:tcPr>
          <w:p w14:paraId="3D932F9D"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28,400 </w:t>
            </w:r>
          </w:p>
        </w:tc>
        <w:tc>
          <w:tcPr>
            <w:tcW w:w="992" w:type="dxa"/>
            <w:tcBorders>
              <w:top w:val="nil"/>
              <w:left w:val="nil"/>
              <w:bottom w:val="nil"/>
              <w:right w:val="single" w:sz="6" w:space="0" w:color="auto"/>
            </w:tcBorders>
            <w:shd w:val="clear" w:color="auto" w:fill="auto"/>
            <w:vAlign w:val="center"/>
            <w:hideMark/>
          </w:tcPr>
          <w:p w14:paraId="52967512"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27,635 </w:t>
            </w:r>
          </w:p>
        </w:tc>
        <w:tc>
          <w:tcPr>
            <w:tcW w:w="1026" w:type="dxa"/>
            <w:tcBorders>
              <w:top w:val="nil"/>
              <w:left w:val="nil"/>
              <w:bottom w:val="nil"/>
              <w:right w:val="single" w:sz="4" w:space="0" w:color="auto"/>
            </w:tcBorders>
            <w:shd w:val="clear" w:color="auto" w:fill="auto"/>
            <w:vAlign w:val="center"/>
            <w:hideMark/>
          </w:tcPr>
          <w:p w14:paraId="711627FA"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765 </w:t>
            </w:r>
          </w:p>
        </w:tc>
      </w:tr>
      <w:tr w:rsidR="007403D2" w:rsidRPr="007403D2" w14:paraId="32B06EE3" w14:textId="77777777" w:rsidTr="007403D2">
        <w:trPr>
          <w:trHeight w:val="284"/>
          <w:jc w:val="center"/>
        </w:trPr>
        <w:tc>
          <w:tcPr>
            <w:tcW w:w="3694" w:type="dxa"/>
            <w:tcBorders>
              <w:top w:val="nil"/>
              <w:left w:val="single" w:sz="4" w:space="0" w:color="auto"/>
              <w:bottom w:val="nil"/>
              <w:right w:val="single" w:sz="6" w:space="0" w:color="auto"/>
            </w:tcBorders>
            <w:shd w:val="clear" w:color="auto" w:fill="auto"/>
            <w:vAlign w:val="center"/>
            <w:hideMark/>
          </w:tcPr>
          <w:p w14:paraId="6BD85E6C"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color w:val="000000"/>
                <w:sz w:val="22"/>
                <w:szCs w:val="22"/>
                <w:lang w:eastAsia="en-GB"/>
              </w:rPr>
              <w:t>LDF Brockhole Lodge Office </w:t>
            </w:r>
          </w:p>
        </w:tc>
        <w:tc>
          <w:tcPr>
            <w:tcW w:w="993" w:type="dxa"/>
            <w:tcBorders>
              <w:top w:val="nil"/>
              <w:left w:val="nil"/>
              <w:bottom w:val="nil"/>
              <w:right w:val="single" w:sz="6" w:space="0" w:color="auto"/>
            </w:tcBorders>
            <w:shd w:val="clear" w:color="auto" w:fill="auto"/>
            <w:vAlign w:val="center"/>
            <w:hideMark/>
          </w:tcPr>
          <w:p w14:paraId="66AB33A4"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41,200 </w:t>
            </w:r>
          </w:p>
        </w:tc>
        <w:tc>
          <w:tcPr>
            <w:tcW w:w="1134" w:type="dxa"/>
            <w:tcBorders>
              <w:top w:val="nil"/>
              <w:left w:val="nil"/>
              <w:bottom w:val="nil"/>
              <w:right w:val="single" w:sz="6" w:space="0" w:color="auto"/>
            </w:tcBorders>
            <w:shd w:val="clear" w:color="auto" w:fill="auto"/>
            <w:vAlign w:val="center"/>
            <w:hideMark/>
          </w:tcPr>
          <w:p w14:paraId="50E915AF"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27,600 </w:t>
            </w:r>
          </w:p>
        </w:tc>
        <w:tc>
          <w:tcPr>
            <w:tcW w:w="992" w:type="dxa"/>
            <w:tcBorders>
              <w:top w:val="nil"/>
              <w:left w:val="nil"/>
              <w:bottom w:val="nil"/>
              <w:right w:val="single" w:sz="6" w:space="0" w:color="auto"/>
            </w:tcBorders>
            <w:shd w:val="clear" w:color="auto" w:fill="auto"/>
            <w:vAlign w:val="center"/>
            <w:hideMark/>
          </w:tcPr>
          <w:p w14:paraId="18F1C520"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27,276 </w:t>
            </w:r>
          </w:p>
        </w:tc>
        <w:tc>
          <w:tcPr>
            <w:tcW w:w="1026" w:type="dxa"/>
            <w:tcBorders>
              <w:top w:val="nil"/>
              <w:left w:val="nil"/>
              <w:bottom w:val="nil"/>
              <w:right w:val="single" w:sz="4" w:space="0" w:color="auto"/>
            </w:tcBorders>
            <w:shd w:val="clear" w:color="auto" w:fill="auto"/>
            <w:vAlign w:val="center"/>
            <w:hideMark/>
          </w:tcPr>
          <w:p w14:paraId="0E241B58"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324 </w:t>
            </w:r>
          </w:p>
        </w:tc>
      </w:tr>
      <w:tr w:rsidR="007403D2" w:rsidRPr="007403D2" w14:paraId="10B170B0" w14:textId="77777777" w:rsidTr="007403D2">
        <w:trPr>
          <w:trHeight w:val="284"/>
          <w:jc w:val="center"/>
        </w:trPr>
        <w:tc>
          <w:tcPr>
            <w:tcW w:w="3694" w:type="dxa"/>
            <w:tcBorders>
              <w:top w:val="nil"/>
              <w:left w:val="single" w:sz="4" w:space="0" w:color="auto"/>
              <w:bottom w:val="nil"/>
              <w:right w:val="single" w:sz="6" w:space="0" w:color="auto"/>
            </w:tcBorders>
            <w:shd w:val="clear" w:color="auto" w:fill="auto"/>
            <w:vAlign w:val="center"/>
            <w:hideMark/>
          </w:tcPr>
          <w:p w14:paraId="359ADA86"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color w:val="000000"/>
                <w:sz w:val="22"/>
                <w:szCs w:val="22"/>
                <w:lang w:eastAsia="en-GB"/>
              </w:rPr>
              <w:t>Ravenglass toilets </w:t>
            </w:r>
          </w:p>
        </w:tc>
        <w:tc>
          <w:tcPr>
            <w:tcW w:w="993" w:type="dxa"/>
            <w:tcBorders>
              <w:top w:val="nil"/>
              <w:left w:val="nil"/>
              <w:bottom w:val="nil"/>
              <w:right w:val="single" w:sz="6" w:space="0" w:color="auto"/>
            </w:tcBorders>
            <w:shd w:val="clear" w:color="auto" w:fill="auto"/>
            <w:vAlign w:val="center"/>
            <w:hideMark/>
          </w:tcPr>
          <w:p w14:paraId="10BE1B47"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20,000 </w:t>
            </w:r>
          </w:p>
        </w:tc>
        <w:tc>
          <w:tcPr>
            <w:tcW w:w="1134" w:type="dxa"/>
            <w:tcBorders>
              <w:top w:val="nil"/>
              <w:left w:val="nil"/>
              <w:bottom w:val="nil"/>
              <w:right w:val="single" w:sz="6" w:space="0" w:color="auto"/>
            </w:tcBorders>
            <w:shd w:val="clear" w:color="auto" w:fill="auto"/>
            <w:vAlign w:val="center"/>
            <w:hideMark/>
          </w:tcPr>
          <w:p w14:paraId="6829290A"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22,900 </w:t>
            </w:r>
          </w:p>
        </w:tc>
        <w:tc>
          <w:tcPr>
            <w:tcW w:w="992" w:type="dxa"/>
            <w:tcBorders>
              <w:top w:val="nil"/>
              <w:left w:val="nil"/>
              <w:bottom w:val="nil"/>
              <w:right w:val="single" w:sz="6" w:space="0" w:color="auto"/>
            </w:tcBorders>
            <w:shd w:val="clear" w:color="auto" w:fill="auto"/>
            <w:vAlign w:val="center"/>
            <w:hideMark/>
          </w:tcPr>
          <w:p w14:paraId="0E1851F5"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0 </w:t>
            </w:r>
          </w:p>
        </w:tc>
        <w:tc>
          <w:tcPr>
            <w:tcW w:w="1026" w:type="dxa"/>
            <w:tcBorders>
              <w:top w:val="nil"/>
              <w:left w:val="nil"/>
              <w:bottom w:val="nil"/>
              <w:right w:val="single" w:sz="4" w:space="0" w:color="auto"/>
            </w:tcBorders>
            <w:shd w:val="clear" w:color="auto" w:fill="auto"/>
            <w:vAlign w:val="center"/>
            <w:hideMark/>
          </w:tcPr>
          <w:p w14:paraId="560CD801"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22,900 </w:t>
            </w:r>
          </w:p>
        </w:tc>
      </w:tr>
      <w:tr w:rsidR="007403D2" w:rsidRPr="007403D2" w14:paraId="03645951" w14:textId="77777777" w:rsidTr="007403D2">
        <w:trPr>
          <w:trHeight w:val="284"/>
          <w:jc w:val="center"/>
        </w:trPr>
        <w:tc>
          <w:tcPr>
            <w:tcW w:w="3694" w:type="dxa"/>
            <w:tcBorders>
              <w:top w:val="nil"/>
              <w:left w:val="single" w:sz="4" w:space="0" w:color="auto"/>
              <w:bottom w:val="nil"/>
              <w:right w:val="single" w:sz="6" w:space="0" w:color="auto"/>
            </w:tcBorders>
            <w:shd w:val="clear" w:color="auto" w:fill="auto"/>
            <w:vAlign w:val="center"/>
            <w:hideMark/>
          </w:tcPr>
          <w:p w14:paraId="023CBA6D"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color w:val="000000"/>
                <w:sz w:val="22"/>
                <w:szCs w:val="22"/>
                <w:lang w:eastAsia="en-GB"/>
              </w:rPr>
              <w:t>Southern Office fit out </w:t>
            </w:r>
          </w:p>
        </w:tc>
        <w:tc>
          <w:tcPr>
            <w:tcW w:w="993" w:type="dxa"/>
            <w:tcBorders>
              <w:top w:val="nil"/>
              <w:left w:val="nil"/>
              <w:bottom w:val="nil"/>
              <w:right w:val="single" w:sz="6" w:space="0" w:color="auto"/>
            </w:tcBorders>
            <w:shd w:val="clear" w:color="auto" w:fill="auto"/>
            <w:vAlign w:val="center"/>
            <w:hideMark/>
          </w:tcPr>
          <w:p w14:paraId="6EC89AB2"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50,000 </w:t>
            </w:r>
          </w:p>
        </w:tc>
        <w:tc>
          <w:tcPr>
            <w:tcW w:w="1134" w:type="dxa"/>
            <w:tcBorders>
              <w:top w:val="nil"/>
              <w:left w:val="nil"/>
              <w:bottom w:val="nil"/>
              <w:right w:val="single" w:sz="6" w:space="0" w:color="auto"/>
            </w:tcBorders>
            <w:shd w:val="clear" w:color="auto" w:fill="auto"/>
            <w:vAlign w:val="center"/>
            <w:hideMark/>
          </w:tcPr>
          <w:p w14:paraId="20E39A3A"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50,000 </w:t>
            </w:r>
          </w:p>
        </w:tc>
        <w:tc>
          <w:tcPr>
            <w:tcW w:w="992" w:type="dxa"/>
            <w:tcBorders>
              <w:top w:val="nil"/>
              <w:left w:val="nil"/>
              <w:bottom w:val="nil"/>
              <w:right w:val="single" w:sz="6" w:space="0" w:color="auto"/>
            </w:tcBorders>
            <w:shd w:val="clear" w:color="auto" w:fill="auto"/>
            <w:vAlign w:val="center"/>
            <w:hideMark/>
          </w:tcPr>
          <w:p w14:paraId="56A05B57"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1,254 </w:t>
            </w:r>
          </w:p>
        </w:tc>
        <w:tc>
          <w:tcPr>
            <w:tcW w:w="1026" w:type="dxa"/>
            <w:tcBorders>
              <w:top w:val="nil"/>
              <w:left w:val="nil"/>
              <w:bottom w:val="nil"/>
              <w:right w:val="single" w:sz="4" w:space="0" w:color="auto"/>
            </w:tcBorders>
            <w:shd w:val="clear" w:color="auto" w:fill="auto"/>
            <w:vAlign w:val="center"/>
            <w:hideMark/>
          </w:tcPr>
          <w:p w14:paraId="60DD0241"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48,746 </w:t>
            </w:r>
          </w:p>
        </w:tc>
      </w:tr>
      <w:tr w:rsidR="007403D2" w:rsidRPr="007403D2" w14:paraId="5A83EEA6" w14:textId="77777777" w:rsidTr="007403D2">
        <w:trPr>
          <w:trHeight w:val="284"/>
          <w:jc w:val="center"/>
        </w:trPr>
        <w:tc>
          <w:tcPr>
            <w:tcW w:w="3694" w:type="dxa"/>
            <w:tcBorders>
              <w:top w:val="nil"/>
              <w:left w:val="single" w:sz="4" w:space="0" w:color="auto"/>
              <w:bottom w:val="nil"/>
              <w:right w:val="single" w:sz="6" w:space="0" w:color="auto"/>
            </w:tcBorders>
            <w:shd w:val="clear" w:color="auto" w:fill="auto"/>
            <w:vAlign w:val="center"/>
            <w:hideMark/>
          </w:tcPr>
          <w:p w14:paraId="3BC3229C"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color w:val="000000"/>
                <w:sz w:val="22"/>
                <w:szCs w:val="22"/>
                <w:lang w:eastAsia="en-GB"/>
              </w:rPr>
              <w:t>Waterhead drainage </w:t>
            </w:r>
          </w:p>
        </w:tc>
        <w:tc>
          <w:tcPr>
            <w:tcW w:w="993" w:type="dxa"/>
            <w:tcBorders>
              <w:top w:val="nil"/>
              <w:left w:val="nil"/>
              <w:bottom w:val="nil"/>
              <w:right w:val="single" w:sz="6" w:space="0" w:color="auto"/>
            </w:tcBorders>
            <w:shd w:val="clear" w:color="auto" w:fill="auto"/>
            <w:vAlign w:val="center"/>
            <w:hideMark/>
          </w:tcPr>
          <w:p w14:paraId="48139EA0"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38,000 </w:t>
            </w:r>
          </w:p>
        </w:tc>
        <w:tc>
          <w:tcPr>
            <w:tcW w:w="1134" w:type="dxa"/>
            <w:tcBorders>
              <w:top w:val="nil"/>
              <w:left w:val="nil"/>
              <w:bottom w:val="nil"/>
              <w:right w:val="single" w:sz="6" w:space="0" w:color="auto"/>
            </w:tcBorders>
            <w:shd w:val="clear" w:color="auto" w:fill="auto"/>
            <w:vAlign w:val="center"/>
            <w:hideMark/>
          </w:tcPr>
          <w:p w14:paraId="33B945CE"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48,300 </w:t>
            </w:r>
          </w:p>
        </w:tc>
        <w:tc>
          <w:tcPr>
            <w:tcW w:w="992" w:type="dxa"/>
            <w:tcBorders>
              <w:top w:val="nil"/>
              <w:left w:val="nil"/>
              <w:bottom w:val="nil"/>
              <w:right w:val="single" w:sz="6" w:space="0" w:color="auto"/>
            </w:tcBorders>
            <w:shd w:val="clear" w:color="auto" w:fill="auto"/>
            <w:vAlign w:val="center"/>
            <w:hideMark/>
          </w:tcPr>
          <w:p w14:paraId="65B7B5F8"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47,650 </w:t>
            </w:r>
          </w:p>
        </w:tc>
        <w:tc>
          <w:tcPr>
            <w:tcW w:w="1026" w:type="dxa"/>
            <w:tcBorders>
              <w:top w:val="nil"/>
              <w:left w:val="nil"/>
              <w:bottom w:val="nil"/>
              <w:right w:val="single" w:sz="4" w:space="0" w:color="auto"/>
            </w:tcBorders>
            <w:shd w:val="clear" w:color="auto" w:fill="auto"/>
            <w:vAlign w:val="center"/>
            <w:hideMark/>
          </w:tcPr>
          <w:p w14:paraId="53CCC588"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650 </w:t>
            </w:r>
          </w:p>
        </w:tc>
      </w:tr>
      <w:tr w:rsidR="007403D2" w:rsidRPr="007403D2" w14:paraId="28808956" w14:textId="77777777" w:rsidTr="007403D2">
        <w:trPr>
          <w:trHeight w:val="284"/>
          <w:jc w:val="center"/>
        </w:trPr>
        <w:tc>
          <w:tcPr>
            <w:tcW w:w="3694" w:type="dxa"/>
            <w:tcBorders>
              <w:top w:val="nil"/>
              <w:left w:val="single" w:sz="4" w:space="0" w:color="auto"/>
              <w:bottom w:val="nil"/>
              <w:right w:val="single" w:sz="6" w:space="0" w:color="auto"/>
            </w:tcBorders>
            <w:shd w:val="clear" w:color="auto" w:fill="auto"/>
            <w:vAlign w:val="center"/>
            <w:hideMark/>
          </w:tcPr>
          <w:p w14:paraId="12674DF8"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color w:val="000000"/>
                <w:sz w:val="22"/>
                <w:szCs w:val="22"/>
                <w:lang w:eastAsia="en-GB"/>
              </w:rPr>
              <w:t>Northern Office Security </w:t>
            </w:r>
          </w:p>
        </w:tc>
        <w:tc>
          <w:tcPr>
            <w:tcW w:w="993" w:type="dxa"/>
            <w:tcBorders>
              <w:top w:val="nil"/>
              <w:left w:val="nil"/>
              <w:bottom w:val="nil"/>
              <w:right w:val="single" w:sz="6" w:space="0" w:color="auto"/>
            </w:tcBorders>
            <w:shd w:val="clear" w:color="auto" w:fill="auto"/>
            <w:vAlign w:val="center"/>
            <w:hideMark/>
          </w:tcPr>
          <w:p w14:paraId="2026D9A5"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23,000 </w:t>
            </w:r>
          </w:p>
        </w:tc>
        <w:tc>
          <w:tcPr>
            <w:tcW w:w="1134" w:type="dxa"/>
            <w:tcBorders>
              <w:top w:val="nil"/>
              <w:left w:val="nil"/>
              <w:bottom w:val="nil"/>
              <w:right w:val="single" w:sz="6" w:space="0" w:color="auto"/>
            </w:tcBorders>
            <w:shd w:val="clear" w:color="auto" w:fill="auto"/>
            <w:vAlign w:val="center"/>
            <w:hideMark/>
          </w:tcPr>
          <w:p w14:paraId="0D784B69"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23,000 </w:t>
            </w:r>
          </w:p>
        </w:tc>
        <w:tc>
          <w:tcPr>
            <w:tcW w:w="992" w:type="dxa"/>
            <w:tcBorders>
              <w:top w:val="nil"/>
              <w:left w:val="nil"/>
              <w:bottom w:val="nil"/>
              <w:right w:val="single" w:sz="6" w:space="0" w:color="auto"/>
            </w:tcBorders>
            <w:shd w:val="clear" w:color="auto" w:fill="auto"/>
            <w:vAlign w:val="center"/>
            <w:hideMark/>
          </w:tcPr>
          <w:p w14:paraId="5AF1C506"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21,898 </w:t>
            </w:r>
          </w:p>
        </w:tc>
        <w:tc>
          <w:tcPr>
            <w:tcW w:w="1026" w:type="dxa"/>
            <w:tcBorders>
              <w:top w:val="nil"/>
              <w:left w:val="nil"/>
              <w:bottom w:val="nil"/>
              <w:right w:val="single" w:sz="4" w:space="0" w:color="auto"/>
            </w:tcBorders>
            <w:shd w:val="clear" w:color="auto" w:fill="auto"/>
            <w:vAlign w:val="center"/>
            <w:hideMark/>
          </w:tcPr>
          <w:p w14:paraId="082054C5"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1,102 </w:t>
            </w:r>
          </w:p>
        </w:tc>
      </w:tr>
      <w:tr w:rsidR="007403D2" w:rsidRPr="007403D2" w14:paraId="32E5CBF7" w14:textId="77777777" w:rsidTr="007403D2">
        <w:trPr>
          <w:trHeight w:val="284"/>
          <w:jc w:val="center"/>
        </w:trPr>
        <w:tc>
          <w:tcPr>
            <w:tcW w:w="3694" w:type="dxa"/>
            <w:tcBorders>
              <w:top w:val="nil"/>
              <w:left w:val="single" w:sz="4" w:space="0" w:color="auto"/>
              <w:bottom w:val="nil"/>
              <w:right w:val="single" w:sz="6" w:space="0" w:color="auto"/>
            </w:tcBorders>
            <w:shd w:val="clear" w:color="auto" w:fill="auto"/>
            <w:vAlign w:val="center"/>
            <w:hideMark/>
          </w:tcPr>
          <w:p w14:paraId="662162D6"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color w:val="000000"/>
                <w:sz w:val="22"/>
                <w:szCs w:val="22"/>
                <w:lang w:eastAsia="en-GB"/>
              </w:rPr>
              <w:t>Hawkshead TIC </w:t>
            </w:r>
          </w:p>
        </w:tc>
        <w:tc>
          <w:tcPr>
            <w:tcW w:w="993" w:type="dxa"/>
            <w:tcBorders>
              <w:top w:val="nil"/>
              <w:left w:val="nil"/>
              <w:bottom w:val="nil"/>
              <w:right w:val="single" w:sz="6" w:space="0" w:color="auto"/>
            </w:tcBorders>
            <w:shd w:val="clear" w:color="auto" w:fill="auto"/>
            <w:vAlign w:val="center"/>
            <w:hideMark/>
          </w:tcPr>
          <w:p w14:paraId="29D9873B"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216,700 </w:t>
            </w:r>
          </w:p>
        </w:tc>
        <w:tc>
          <w:tcPr>
            <w:tcW w:w="1134" w:type="dxa"/>
            <w:tcBorders>
              <w:top w:val="nil"/>
              <w:left w:val="nil"/>
              <w:bottom w:val="nil"/>
              <w:right w:val="single" w:sz="6" w:space="0" w:color="auto"/>
            </w:tcBorders>
            <w:shd w:val="clear" w:color="auto" w:fill="auto"/>
            <w:vAlign w:val="center"/>
            <w:hideMark/>
          </w:tcPr>
          <w:p w14:paraId="1925B3F5"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160,100 </w:t>
            </w:r>
          </w:p>
        </w:tc>
        <w:tc>
          <w:tcPr>
            <w:tcW w:w="992" w:type="dxa"/>
            <w:tcBorders>
              <w:top w:val="nil"/>
              <w:left w:val="nil"/>
              <w:bottom w:val="nil"/>
              <w:right w:val="single" w:sz="6" w:space="0" w:color="auto"/>
            </w:tcBorders>
            <w:shd w:val="clear" w:color="auto" w:fill="auto"/>
            <w:vAlign w:val="center"/>
            <w:hideMark/>
          </w:tcPr>
          <w:p w14:paraId="56758975"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148,393 </w:t>
            </w:r>
          </w:p>
        </w:tc>
        <w:tc>
          <w:tcPr>
            <w:tcW w:w="1026" w:type="dxa"/>
            <w:tcBorders>
              <w:top w:val="nil"/>
              <w:left w:val="nil"/>
              <w:bottom w:val="nil"/>
              <w:right w:val="single" w:sz="4" w:space="0" w:color="auto"/>
            </w:tcBorders>
            <w:shd w:val="clear" w:color="auto" w:fill="auto"/>
            <w:vAlign w:val="center"/>
            <w:hideMark/>
          </w:tcPr>
          <w:p w14:paraId="762723F8"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11,707 </w:t>
            </w:r>
          </w:p>
        </w:tc>
      </w:tr>
      <w:tr w:rsidR="007403D2" w:rsidRPr="007403D2" w14:paraId="6D6BE665" w14:textId="77777777" w:rsidTr="007403D2">
        <w:trPr>
          <w:trHeight w:val="284"/>
          <w:jc w:val="center"/>
        </w:trPr>
        <w:tc>
          <w:tcPr>
            <w:tcW w:w="3694" w:type="dxa"/>
            <w:tcBorders>
              <w:top w:val="nil"/>
              <w:left w:val="single" w:sz="4" w:space="0" w:color="auto"/>
              <w:bottom w:val="nil"/>
              <w:right w:val="single" w:sz="6" w:space="0" w:color="auto"/>
            </w:tcBorders>
            <w:shd w:val="clear" w:color="auto" w:fill="auto"/>
            <w:vAlign w:val="center"/>
            <w:hideMark/>
          </w:tcPr>
          <w:p w14:paraId="34CE8711"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color w:val="000000"/>
                <w:sz w:val="22"/>
                <w:szCs w:val="22"/>
                <w:lang w:eastAsia="en-GB"/>
              </w:rPr>
              <w:t>Southern Windermere trail </w:t>
            </w:r>
          </w:p>
        </w:tc>
        <w:tc>
          <w:tcPr>
            <w:tcW w:w="993" w:type="dxa"/>
            <w:tcBorders>
              <w:top w:val="nil"/>
              <w:left w:val="nil"/>
              <w:bottom w:val="nil"/>
              <w:right w:val="single" w:sz="6" w:space="0" w:color="auto"/>
            </w:tcBorders>
            <w:shd w:val="clear" w:color="auto" w:fill="auto"/>
            <w:vAlign w:val="center"/>
            <w:hideMark/>
          </w:tcPr>
          <w:p w14:paraId="722063D3"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175,000 </w:t>
            </w:r>
          </w:p>
        </w:tc>
        <w:tc>
          <w:tcPr>
            <w:tcW w:w="1134" w:type="dxa"/>
            <w:tcBorders>
              <w:top w:val="nil"/>
              <w:left w:val="nil"/>
              <w:bottom w:val="nil"/>
              <w:right w:val="single" w:sz="6" w:space="0" w:color="auto"/>
            </w:tcBorders>
            <w:shd w:val="clear" w:color="auto" w:fill="auto"/>
            <w:vAlign w:val="center"/>
            <w:hideMark/>
          </w:tcPr>
          <w:p w14:paraId="5FA28EE2"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297,500 </w:t>
            </w:r>
          </w:p>
        </w:tc>
        <w:tc>
          <w:tcPr>
            <w:tcW w:w="992" w:type="dxa"/>
            <w:tcBorders>
              <w:top w:val="nil"/>
              <w:left w:val="nil"/>
              <w:bottom w:val="nil"/>
              <w:right w:val="single" w:sz="6" w:space="0" w:color="auto"/>
            </w:tcBorders>
            <w:shd w:val="clear" w:color="auto" w:fill="auto"/>
            <w:vAlign w:val="center"/>
            <w:hideMark/>
          </w:tcPr>
          <w:p w14:paraId="7A507068" w14:textId="729D671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3</w:t>
            </w:r>
            <w:r w:rsidR="00EE40B2">
              <w:rPr>
                <w:rFonts w:ascii="Calibri" w:hAnsi="Calibri" w:cs="Calibri"/>
                <w:color w:val="000000"/>
                <w:sz w:val="22"/>
                <w:szCs w:val="22"/>
                <w:lang w:eastAsia="en-GB"/>
              </w:rPr>
              <w:t>14,134</w:t>
            </w:r>
            <w:r w:rsidRPr="007403D2">
              <w:rPr>
                <w:rFonts w:ascii="Calibri" w:hAnsi="Calibri" w:cs="Calibri"/>
                <w:color w:val="000000"/>
                <w:sz w:val="22"/>
                <w:szCs w:val="22"/>
                <w:lang w:eastAsia="en-GB"/>
              </w:rPr>
              <w:t> </w:t>
            </w:r>
          </w:p>
        </w:tc>
        <w:tc>
          <w:tcPr>
            <w:tcW w:w="1026" w:type="dxa"/>
            <w:tcBorders>
              <w:top w:val="nil"/>
              <w:left w:val="nil"/>
              <w:bottom w:val="nil"/>
              <w:right w:val="single" w:sz="4" w:space="0" w:color="auto"/>
            </w:tcBorders>
            <w:shd w:val="clear" w:color="auto" w:fill="auto"/>
            <w:vAlign w:val="center"/>
            <w:hideMark/>
          </w:tcPr>
          <w:p w14:paraId="7AF52CBB" w14:textId="3C07494F"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w:t>
            </w:r>
            <w:r w:rsidR="00EE40B2">
              <w:rPr>
                <w:rFonts w:ascii="Calibri" w:hAnsi="Calibri" w:cs="Calibri"/>
                <w:color w:val="000000"/>
                <w:sz w:val="22"/>
                <w:szCs w:val="22"/>
                <w:lang w:eastAsia="en-GB"/>
              </w:rPr>
              <w:t>16,634</w:t>
            </w:r>
            <w:r w:rsidRPr="007403D2">
              <w:rPr>
                <w:rFonts w:ascii="Calibri" w:hAnsi="Calibri" w:cs="Calibri"/>
                <w:color w:val="000000"/>
                <w:sz w:val="22"/>
                <w:szCs w:val="22"/>
                <w:lang w:eastAsia="en-GB"/>
              </w:rPr>
              <w:t> </w:t>
            </w:r>
          </w:p>
        </w:tc>
      </w:tr>
      <w:tr w:rsidR="007403D2" w:rsidRPr="007403D2" w14:paraId="4C80F2EA" w14:textId="77777777" w:rsidTr="007403D2">
        <w:trPr>
          <w:trHeight w:val="284"/>
          <w:jc w:val="center"/>
        </w:trPr>
        <w:tc>
          <w:tcPr>
            <w:tcW w:w="3694" w:type="dxa"/>
            <w:tcBorders>
              <w:top w:val="nil"/>
              <w:left w:val="single" w:sz="4" w:space="0" w:color="auto"/>
              <w:bottom w:val="nil"/>
              <w:right w:val="single" w:sz="6" w:space="0" w:color="auto"/>
            </w:tcBorders>
            <w:shd w:val="clear" w:color="auto" w:fill="auto"/>
            <w:vAlign w:val="center"/>
            <w:hideMark/>
          </w:tcPr>
          <w:p w14:paraId="5F7298D7"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color w:val="000000"/>
                <w:sz w:val="22"/>
                <w:szCs w:val="22"/>
                <w:lang w:eastAsia="en-GB"/>
              </w:rPr>
              <w:t>Lakeshore Cafe and Watersports Centre </w:t>
            </w:r>
          </w:p>
        </w:tc>
        <w:tc>
          <w:tcPr>
            <w:tcW w:w="993" w:type="dxa"/>
            <w:tcBorders>
              <w:top w:val="nil"/>
              <w:left w:val="nil"/>
              <w:bottom w:val="nil"/>
              <w:right w:val="single" w:sz="6" w:space="0" w:color="auto"/>
            </w:tcBorders>
            <w:shd w:val="clear" w:color="auto" w:fill="auto"/>
            <w:vAlign w:val="center"/>
            <w:hideMark/>
          </w:tcPr>
          <w:p w14:paraId="4A5E5C87"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0 </w:t>
            </w:r>
          </w:p>
        </w:tc>
        <w:tc>
          <w:tcPr>
            <w:tcW w:w="1134" w:type="dxa"/>
            <w:tcBorders>
              <w:top w:val="nil"/>
              <w:left w:val="nil"/>
              <w:bottom w:val="nil"/>
              <w:right w:val="single" w:sz="6" w:space="0" w:color="auto"/>
            </w:tcBorders>
            <w:shd w:val="clear" w:color="auto" w:fill="auto"/>
            <w:vAlign w:val="center"/>
            <w:hideMark/>
          </w:tcPr>
          <w:p w14:paraId="21107A84"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46,300 </w:t>
            </w:r>
          </w:p>
        </w:tc>
        <w:tc>
          <w:tcPr>
            <w:tcW w:w="992" w:type="dxa"/>
            <w:tcBorders>
              <w:top w:val="nil"/>
              <w:left w:val="nil"/>
              <w:bottom w:val="nil"/>
              <w:right w:val="single" w:sz="6" w:space="0" w:color="auto"/>
            </w:tcBorders>
            <w:shd w:val="clear" w:color="auto" w:fill="auto"/>
            <w:vAlign w:val="center"/>
            <w:hideMark/>
          </w:tcPr>
          <w:p w14:paraId="1038DAC5"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47,669 </w:t>
            </w:r>
          </w:p>
        </w:tc>
        <w:tc>
          <w:tcPr>
            <w:tcW w:w="1026" w:type="dxa"/>
            <w:tcBorders>
              <w:top w:val="nil"/>
              <w:left w:val="nil"/>
              <w:bottom w:val="nil"/>
              <w:right w:val="single" w:sz="4" w:space="0" w:color="auto"/>
            </w:tcBorders>
            <w:shd w:val="clear" w:color="auto" w:fill="auto"/>
            <w:vAlign w:val="center"/>
            <w:hideMark/>
          </w:tcPr>
          <w:p w14:paraId="702D6F9C"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-1,369 </w:t>
            </w:r>
          </w:p>
        </w:tc>
      </w:tr>
      <w:tr w:rsidR="007403D2" w:rsidRPr="007403D2" w14:paraId="170286F9" w14:textId="77777777" w:rsidTr="007403D2">
        <w:trPr>
          <w:trHeight w:val="284"/>
          <w:jc w:val="center"/>
        </w:trPr>
        <w:tc>
          <w:tcPr>
            <w:tcW w:w="3694" w:type="dxa"/>
            <w:tcBorders>
              <w:top w:val="nil"/>
              <w:left w:val="single" w:sz="4" w:space="0" w:color="auto"/>
              <w:bottom w:val="nil"/>
              <w:right w:val="single" w:sz="6" w:space="0" w:color="auto"/>
            </w:tcBorders>
            <w:shd w:val="clear" w:color="auto" w:fill="auto"/>
            <w:vAlign w:val="center"/>
            <w:hideMark/>
          </w:tcPr>
          <w:p w14:paraId="09F3E70F"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color w:val="000000"/>
                <w:sz w:val="22"/>
                <w:szCs w:val="22"/>
                <w:lang w:eastAsia="en-GB"/>
              </w:rPr>
              <w:t>Brockhole Lakeshore (Phase 2) </w:t>
            </w:r>
          </w:p>
        </w:tc>
        <w:tc>
          <w:tcPr>
            <w:tcW w:w="993" w:type="dxa"/>
            <w:tcBorders>
              <w:top w:val="nil"/>
              <w:left w:val="nil"/>
              <w:bottom w:val="nil"/>
              <w:right w:val="single" w:sz="6" w:space="0" w:color="auto"/>
            </w:tcBorders>
            <w:shd w:val="clear" w:color="auto" w:fill="auto"/>
            <w:vAlign w:val="center"/>
            <w:hideMark/>
          </w:tcPr>
          <w:p w14:paraId="6CF3DB13"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650,000 </w:t>
            </w:r>
          </w:p>
        </w:tc>
        <w:tc>
          <w:tcPr>
            <w:tcW w:w="1134" w:type="dxa"/>
            <w:tcBorders>
              <w:top w:val="nil"/>
              <w:left w:val="nil"/>
              <w:bottom w:val="nil"/>
              <w:right w:val="single" w:sz="6" w:space="0" w:color="auto"/>
            </w:tcBorders>
            <w:shd w:val="clear" w:color="auto" w:fill="auto"/>
            <w:vAlign w:val="center"/>
            <w:hideMark/>
          </w:tcPr>
          <w:p w14:paraId="622863AF"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164,700 </w:t>
            </w:r>
          </w:p>
        </w:tc>
        <w:tc>
          <w:tcPr>
            <w:tcW w:w="992" w:type="dxa"/>
            <w:tcBorders>
              <w:top w:val="nil"/>
              <w:left w:val="nil"/>
              <w:bottom w:val="nil"/>
              <w:right w:val="single" w:sz="6" w:space="0" w:color="auto"/>
            </w:tcBorders>
            <w:shd w:val="clear" w:color="auto" w:fill="auto"/>
            <w:vAlign w:val="center"/>
            <w:hideMark/>
          </w:tcPr>
          <w:p w14:paraId="42850D1C"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31,111 </w:t>
            </w:r>
          </w:p>
        </w:tc>
        <w:tc>
          <w:tcPr>
            <w:tcW w:w="1026" w:type="dxa"/>
            <w:tcBorders>
              <w:top w:val="nil"/>
              <w:left w:val="nil"/>
              <w:bottom w:val="nil"/>
              <w:right w:val="single" w:sz="4" w:space="0" w:color="auto"/>
            </w:tcBorders>
            <w:shd w:val="clear" w:color="auto" w:fill="auto"/>
            <w:vAlign w:val="center"/>
            <w:hideMark/>
          </w:tcPr>
          <w:p w14:paraId="0554D187"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133,589 </w:t>
            </w:r>
          </w:p>
        </w:tc>
      </w:tr>
      <w:tr w:rsidR="007403D2" w:rsidRPr="007403D2" w14:paraId="663FB288" w14:textId="77777777" w:rsidTr="007403D2">
        <w:trPr>
          <w:trHeight w:val="284"/>
          <w:jc w:val="center"/>
        </w:trPr>
        <w:tc>
          <w:tcPr>
            <w:tcW w:w="3694" w:type="dxa"/>
            <w:tcBorders>
              <w:top w:val="nil"/>
              <w:left w:val="single" w:sz="4" w:space="0" w:color="auto"/>
              <w:bottom w:val="nil"/>
              <w:right w:val="single" w:sz="6" w:space="0" w:color="auto"/>
            </w:tcBorders>
            <w:shd w:val="clear" w:color="auto" w:fill="auto"/>
            <w:vAlign w:val="center"/>
            <w:hideMark/>
          </w:tcPr>
          <w:p w14:paraId="5700BE85"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color w:val="000000"/>
                <w:sz w:val="22"/>
                <w:szCs w:val="22"/>
                <w:lang w:eastAsia="en-GB"/>
              </w:rPr>
              <w:t>Brockhole Heating </w:t>
            </w:r>
          </w:p>
        </w:tc>
        <w:tc>
          <w:tcPr>
            <w:tcW w:w="993" w:type="dxa"/>
            <w:tcBorders>
              <w:top w:val="nil"/>
              <w:left w:val="nil"/>
              <w:bottom w:val="nil"/>
              <w:right w:val="single" w:sz="6" w:space="0" w:color="auto"/>
            </w:tcBorders>
            <w:shd w:val="clear" w:color="auto" w:fill="auto"/>
            <w:vAlign w:val="center"/>
            <w:hideMark/>
          </w:tcPr>
          <w:p w14:paraId="5299D9C5"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0 </w:t>
            </w:r>
          </w:p>
        </w:tc>
        <w:tc>
          <w:tcPr>
            <w:tcW w:w="1134" w:type="dxa"/>
            <w:tcBorders>
              <w:top w:val="nil"/>
              <w:left w:val="nil"/>
              <w:bottom w:val="nil"/>
              <w:right w:val="single" w:sz="6" w:space="0" w:color="auto"/>
            </w:tcBorders>
            <w:shd w:val="clear" w:color="auto" w:fill="auto"/>
            <w:vAlign w:val="center"/>
            <w:hideMark/>
          </w:tcPr>
          <w:p w14:paraId="73443228"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15,000 </w:t>
            </w:r>
          </w:p>
        </w:tc>
        <w:tc>
          <w:tcPr>
            <w:tcW w:w="992" w:type="dxa"/>
            <w:tcBorders>
              <w:top w:val="nil"/>
              <w:left w:val="nil"/>
              <w:bottom w:val="nil"/>
              <w:right w:val="single" w:sz="6" w:space="0" w:color="auto"/>
            </w:tcBorders>
            <w:shd w:val="clear" w:color="auto" w:fill="auto"/>
            <w:vAlign w:val="center"/>
            <w:hideMark/>
          </w:tcPr>
          <w:p w14:paraId="1A450F56"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17,288 </w:t>
            </w:r>
          </w:p>
        </w:tc>
        <w:tc>
          <w:tcPr>
            <w:tcW w:w="1026" w:type="dxa"/>
            <w:tcBorders>
              <w:top w:val="nil"/>
              <w:left w:val="nil"/>
              <w:bottom w:val="nil"/>
              <w:right w:val="single" w:sz="4" w:space="0" w:color="auto"/>
            </w:tcBorders>
            <w:shd w:val="clear" w:color="auto" w:fill="auto"/>
            <w:vAlign w:val="center"/>
            <w:hideMark/>
          </w:tcPr>
          <w:p w14:paraId="666A11CF"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color w:val="000000"/>
                <w:sz w:val="22"/>
                <w:szCs w:val="22"/>
                <w:lang w:eastAsia="en-GB"/>
              </w:rPr>
              <w:t>-2,288 </w:t>
            </w:r>
          </w:p>
        </w:tc>
      </w:tr>
      <w:tr w:rsidR="007403D2" w:rsidRPr="007403D2" w14:paraId="6195E0B3" w14:textId="77777777" w:rsidTr="007403D2">
        <w:trPr>
          <w:trHeight w:val="284"/>
          <w:jc w:val="center"/>
        </w:trPr>
        <w:tc>
          <w:tcPr>
            <w:tcW w:w="3694" w:type="dxa"/>
            <w:tcBorders>
              <w:top w:val="single" w:sz="6" w:space="0" w:color="auto"/>
              <w:left w:val="single" w:sz="4" w:space="0" w:color="auto"/>
              <w:bottom w:val="single" w:sz="4" w:space="0" w:color="auto"/>
              <w:right w:val="single" w:sz="6" w:space="0" w:color="auto"/>
            </w:tcBorders>
            <w:shd w:val="clear" w:color="auto" w:fill="auto"/>
            <w:vAlign w:val="center"/>
            <w:hideMark/>
          </w:tcPr>
          <w:p w14:paraId="34B10218" w14:textId="77777777" w:rsidR="007403D2" w:rsidRPr="007403D2" w:rsidRDefault="007403D2" w:rsidP="007403D2">
            <w:pPr>
              <w:textAlignment w:val="baseline"/>
              <w:rPr>
                <w:rFonts w:ascii="Segoe UI" w:hAnsi="Segoe UI" w:cs="Segoe UI"/>
                <w:sz w:val="18"/>
                <w:szCs w:val="18"/>
                <w:lang w:eastAsia="en-GB"/>
              </w:rPr>
            </w:pPr>
            <w:r w:rsidRPr="007403D2">
              <w:rPr>
                <w:rFonts w:ascii="Calibri" w:hAnsi="Calibri" w:cs="Calibri"/>
                <w:b/>
                <w:bCs/>
                <w:color w:val="000000"/>
                <w:sz w:val="22"/>
                <w:szCs w:val="22"/>
                <w:lang w:eastAsia="en-GB"/>
              </w:rPr>
              <w:t>Total</w:t>
            </w:r>
            <w:r w:rsidRPr="007403D2">
              <w:rPr>
                <w:rFonts w:ascii="Calibri" w:hAnsi="Calibri" w:cs="Calibri"/>
                <w:color w:val="000000"/>
                <w:sz w:val="22"/>
                <w:szCs w:val="22"/>
                <w:lang w:eastAsia="en-GB"/>
              </w:rPr>
              <w:t> </w:t>
            </w:r>
          </w:p>
        </w:tc>
        <w:tc>
          <w:tcPr>
            <w:tcW w:w="993" w:type="dxa"/>
            <w:tcBorders>
              <w:top w:val="single" w:sz="6" w:space="0" w:color="auto"/>
              <w:left w:val="nil"/>
              <w:bottom w:val="single" w:sz="4" w:space="0" w:color="auto"/>
              <w:right w:val="single" w:sz="6" w:space="0" w:color="auto"/>
            </w:tcBorders>
            <w:shd w:val="clear" w:color="auto" w:fill="auto"/>
            <w:vAlign w:val="center"/>
            <w:hideMark/>
          </w:tcPr>
          <w:p w14:paraId="05AA21C6"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b/>
                <w:bCs/>
                <w:color w:val="000000"/>
                <w:sz w:val="22"/>
                <w:szCs w:val="22"/>
                <w:lang w:eastAsia="en-GB"/>
              </w:rPr>
              <w:t>1,405,200</w:t>
            </w:r>
            <w:r w:rsidRPr="007403D2">
              <w:rPr>
                <w:rFonts w:ascii="Calibri" w:hAnsi="Calibri" w:cs="Calibri"/>
                <w:color w:val="000000"/>
                <w:sz w:val="22"/>
                <w:szCs w:val="22"/>
                <w:lang w:eastAsia="en-GB"/>
              </w:rPr>
              <w:t> </w:t>
            </w:r>
          </w:p>
        </w:tc>
        <w:tc>
          <w:tcPr>
            <w:tcW w:w="1134" w:type="dxa"/>
            <w:tcBorders>
              <w:top w:val="single" w:sz="6" w:space="0" w:color="auto"/>
              <w:left w:val="nil"/>
              <w:bottom w:val="single" w:sz="4" w:space="0" w:color="auto"/>
              <w:right w:val="single" w:sz="6" w:space="0" w:color="auto"/>
            </w:tcBorders>
            <w:shd w:val="clear" w:color="auto" w:fill="auto"/>
            <w:vAlign w:val="center"/>
            <w:hideMark/>
          </w:tcPr>
          <w:p w14:paraId="6ADE4E3E" w14:textId="77777777"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b/>
                <w:bCs/>
                <w:color w:val="000000"/>
                <w:sz w:val="22"/>
                <w:szCs w:val="22"/>
                <w:lang w:eastAsia="en-GB"/>
              </w:rPr>
              <w:t>1,167,900</w:t>
            </w:r>
            <w:r w:rsidRPr="007403D2">
              <w:rPr>
                <w:rFonts w:ascii="Calibri" w:hAnsi="Calibri" w:cs="Calibri"/>
                <w:color w:val="000000"/>
                <w:sz w:val="22"/>
                <w:szCs w:val="22"/>
                <w:lang w:eastAsia="en-GB"/>
              </w:rPr>
              <w:t> </w:t>
            </w:r>
          </w:p>
        </w:tc>
        <w:tc>
          <w:tcPr>
            <w:tcW w:w="992" w:type="dxa"/>
            <w:tcBorders>
              <w:top w:val="single" w:sz="6" w:space="0" w:color="auto"/>
              <w:left w:val="nil"/>
              <w:bottom w:val="single" w:sz="4" w:space="0" w:color="auto"/>
              <w:right w:val="single" w:sz="6" w:space="0" w:color="auto"/>
            </w:tcBorders>
            <w:shd w:val="clear" w:color="auto" w:fill="auto"/>
            <w:vAlign w:val="center"/>
            <w:hideMark/>
          </w:tcPr>
          <w:p w14:paraId="6D6C8BE5" w14:textId="7CC6DC73"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b/>
                <w:bCs/>
                <w:color w:val="000000"/>
                <w:sz w:val="22"/>
                <w:szCs w:val="22"/>
                <w:lang w:eastAsia="en-GB"/>
              </w:rPr>
              <w:t>8</w:t>
            </w:r>
            <w:r w:rsidR="00EE40B2">
              <w:rPr>
                <w:rFonts w:ascii="Calibri" w:hAnsi="Calibri" w:cs="Calibri"/>
                <w:b/>
                <w:bCs/>
                <w:color w:val="000000"/>
                <w:sz w:val="22"/>
                <w:szCs w:val="22"/>
                <w:lang w:eastAsia="en-GB"/>
              </w:rPr>
              <w:t>43,674</w:t>
            </w:r>
            <w:r w:rsidRPr="007403D2">
              <w:rPr>
                <w:rFonts w:ascii="Calibri" w:hAnsi="Calibri" w:cs="Calibri"/>
                <w:color w:val="000000"/>
                <w:sz w:val="22"/>
                <w:szCs w:val="22"/>
                <w:lang w:eastAsia="en-GB"/>
              </w:rPr>
              <w:t> </w:t>
            </w:r>
          </w:p>
        </w:tc>
        <w:tc>
          <w:tcPr>
            <w:tcW w:w="1026" w:type="dxa"/>
            <w:tcBorders>
              <w:top w:val="single" w:sz="6" w:space="0" w:color="auto"/>
              <w:left w:val="nil"/>
              <w:bottom w:val="single" w:sz="4" w:space="0" w:color="auto"/>
              <w:right w:val="single" w:sz="4" w:space="0" w:color="auto"/>
            </w:tcBorders>
            <w:shd w:val="clear" w:color="auto" w:fill="auto"/>
            <w:vAlign w:val="center"/>
            <w:hideMark/>
          </w:tcPr>
          <w:p w14:paraId="783FB544" w14:textId="6C309913" w:rsidR="007403D2" w:rsidRPr="007403D2" w:rsidRDefault="007403D2" w:rsidP="007403D2">
            <w:pPr>
              <w:jc w:val="right"/>
              <w:textAlignment w:val="baseline"/>
              <w:rPr>
                <w:rFonts w:ascii="Segoe UI" w:hAnsi="Segoe UI" w:cs="Segoe UI"/>
                <w:sz w:val="18"/>
                <w:szCs w:val="18"/>
                <w:lang w:eastAsia="en-GB"/>
              </w:rPr>
            </w:pPr>
            <w:r w:rsidRPr="007403D2">
              <w:rPr>
                <w:rFonts w:ascii="Calibri" w:hAnsi="Calibri" w:cs="Calibri"/>
                <w:b/>
                <w:bCs/>
                <w:color w:val="000000"/>
                <w:sz w:val="22"/>
                <w:szCs w:val="22"/>
                <w:lang w:eastAsia="en-GB"/>
              </w:rPr>
              <w:t>2</w:t>
            </w:r>
            <w:r w:rsidR="00EE40B2">
              <w:rPr>
                <w:rFonts w:ascii="Calibri" w:hAnsi="Calibri" w:cs="Calibri"/>
                <w:b/>
                <w:bCs/>
                <w:color w:val="000000"/>
                <w:sz w:val="22"/>
                <w:szCs w:val="22"/>
                <w:lang w:eastAsia="en-GB"/>
              </w:rPr>
              <w:t>59,250</w:t>
            </w:r>
            <w:r w:rsidRPr="007403D2">
              <w:rPr>
                <w:rFonts w:ascii="Calibri" w:hAnsi="Calibri" w:cs="Calibri"/>
                <w:color w:val="000000"/>
                <w:sz w:val="22"/>
                <w:szCs w:val="22"/>
                <w:lang w:eastAsia="en-GB"/>
              </w:rPr>
              <w:t> </w:t>
            </w:r>
          </w:p>
        </w:tc>
      </w:tr>
    </w:tbl>
    <w:p w14:paraId="1245038A" w14:textId="23388CCF" w:rsidR="00A01E56" w:rsidRPr="004D5CA8" w:rsidRDefault="00A01E56" w:rsidP="007055C3">
      <w:pPr>
        <w:rPr>
          <w:rFonts w:cs="Arial"/>
          <w:bCs/>
          <w:sz w:val="24"/>
          <w:szCs w:val="24"/>
          <w:highlight w:val="yellow"/>
        </w:rPr>
      </w:pPr>
    </w:p>
    <w:p w14:paraId="7CA57156" w14:textId="77777777" w:rsidR="00A01E56" w:rsidRPr="004D5CA8" w:rsidRDefault="00A01E56" w:rsidP="007055C3">
      <w:pPr>
        <w:rPr>
          <w:rFonts w:cs="Arial"/>
          <w:bCs/>
          <w:sz w:val="24"/>
          <w:szCs w:val="24"/>
          <w:highlight w:val="yellow"/>
        </w:rPr>
      </w:pPr>
    </w:p>
    <w:p w14:paraId="4206EBE5" w14:textId="6FCDB503" w:rsidR="00B00892" w:rsidRDefault="00B00892" w:rsidP="007055C3">
      <w:pPr>
        <w:rPr>
          <w:rStyle w:val="eop"/>
          <w:rFonts w:cs="Arial"/>
        </w:rPr>
      </w:pPr>
      <w:r w:rsidRPr="00B00892">
        <w:rPr>
          <w:rStyle w:val="normaltextrun"/>
          <w:rFonts w:cs="Arial"/>
        </w:rPr>
        <w:t>A significant element of the budget was spent in year, with total expenditure of £</w:t>
      </w:r>
      <w:r w:rsidR="007403D2">
        <w:rPr>
          <w:rStyle w:val="normaltextrun"/>
          <w:rFonts w:cs="Arial"/>
        </w:rPr>
        <w:t>8</w:t>
      </w:r>
      <w:r w:rsidR="00EE40B2">
        <w:rPr>
          <w:rStyle w:val="normaltextrun"/>
          <w:rFonts w:cs="Arial"/>
        </w:rPr>
        <w:t>44</w:t>
      </w:r>
      <w:r w:rsidR="007403D2">
        <w:rPr>
          <w:rStyle w:val="normaltextrun"/>
          <w:rFonts w:cs="Arial"/>
        </w:rPr>
        <w:t>k</w:t>
      </w:r>
      <w:r w:rsidRPr="00B00892">
        <w:rPr>
          <w:rStyle w:val="normaltextrun"/>
          <w:rFonts w:cs="Arial"/>
        </w:rPr>
        <w:t>.</w:t>
      </w:r>
      <w:r w:rsidR="00B11C5C">
        <w:rPr>
          <w:rStyle w:val="normaltextrun"/>
          <w:rFonts w:cs="Arial"/>
        </w:rPr>
        <w:t xml:space="preserve"> the majority unspent budgets relate to ongoing schemes where the budget will be added to the capital programme for 2024/25. There are no significant underlying savings within the programme or operational issues resulting from spend being later than anticipated.</w:t>
      </w:r>
      <w:r w:rsidRPr="00B00892">
        <w:rPr>
          <w:rStyle w:val="normaltextrun"/>
          <w:rFonts w:cs="Arial"/>
        </w:rPr>
        <w:t> </w:t>
      </w:r>
      <w:r w:rsidRPr="00B00892">
        <w:rPr>
          <w:rStyle w:val="eop"/>
          <w:rFonts w:cs="Arial"/>
        </w:rPr>
        <w:t> </w:t>
      </w:r>
    </w:p>
    <w:p w14:paraId="6B02E99A" w14:textId="77777777" w:rsidR="00B00892" w:rsidRDefault="00B00892" w:rsidP="007055C3">
      <w:pPr>
        <w:rPr>
          <w:rStyle w:val="eop"/>
          <w:rFonts w:cs="Arial"/>
        </w:rPr>
      </w:pPr>
    </w:p>
    <w:p w14:paraId="548D9750" w14:textId="43403849" w:rsidR="00B00892" w:rsidRPr="00B00892" w:rsidRDefault="00B00892" w:rsidP="007055C3">
      <w:pPr>
        <w:rPr>
          <w:rFonts w:cs="Arial"/>
        </w:rPr>
      </w:pPr>
      <w:r>
        <w:rPr>
          <w:rStyle w:val="eop"/>
          <w:rFonts w:cs="Arial"/>
        </w:rPr>
        <w:t>A small number of schemes showed overspends</w:t>
      </w:r>
      <w:r w:rsidR="00B11C5C">
        <w:rPr>
          <w:rStyle w:val="eop"/>
          <w:rFonts w:cs="Arial"/>
        </w:rPr>
        <w:t xml:space="preserve">. </w:t>
      </w:r>
      <w:r>
        <w:rPr>
          <w:rStyle w:val="eop"/>
          <w:rFonts w:cs="Arial"/>
        </w:rPr>
        <w:t xml:space="preserve">The </w:t>
      </w:r>
      <w:r w:rsidR="00B11C5C">
        <w:rPr>
          <w:rStyle w:val="eop"/>
          <w:rFonts w:cs="Arial"/>
        </w:rPr>
        <w:t xml:space="preserve">single largest related to </w:t>
      </w:r>
      <w:r>
        <w:rPr>
          <w:rStyle w:val="eop"/>
          <w:rFonts w:cs="Arial"/>
        </w:rPr>
        <w:t xml:space="preserve">overspend relating to </w:t>
      </w:r>
      <w:r w:rsidR="007403D2">
        <w:rPr>
          <w:rStyle w:val="eop"/>
          <w:rFonts w:cs="Arial"/>
        </w:rPr>
        <w:t>Southern Windermere Trail</w:t>
      </w:r>
      <w:r w:rsidR="00B11C5C">
        <w:rPr>
          <w:rStyle w:val="eop"/>
          <w:rFonts w:cs="Arial"/>
        </w:rPr>
        <w:t>; this</w:t>
      </w:r>
      <w:r w:rsidR="007403D2">
        <w:rPr>
          <w:rStyle w:val="eop"/>
          <w:rFonts w:cs="Arial"/>
        </w:rPr>
        <w:t xml:space="preserve"> </w:t>
      </w:r>
      <w:r w:rsidR="00B11C5C">
        <w:rPr>
          <w:rStyle w:val="eop"/>
          <w:rFonts w:cs="Arial"/>
        </w:rPr>
        <w:t>has been</w:t>
      </w:r>
      <w:r w:rsidR="007403D2">
        <w:rPr>
          <w:rStyle w:val="eop"/>
          <w:rFonts w:cs="Arial"/>
        </w:rPr>
        <w:t xml:space="preserve"> funded by resources set aside in reserves while the Low Carbon Lake District 2 programme was in progress</w:t>
      </w:r>
      <w:r>
        <w:rPr>
          <w:rStyle w:val="eop"/>
          <w:rFonts w:cs="Arial"/>
        </w:rPr>
        <w:t xml:space="preserve">. </w:t>
      </w:r>
    </w:p>
    <w:p w14:paraId="1E949400" w14:textId="77777777" w:rsidR="00B00892" w:rsidRPr="00B00892" w:rsidRDefault="00B00892" w:rsidP="007055C3">
      <w:pPr>
        <w:rPr>
          <w:rFonts w:cs="Arial"/>
        </w:rPr>
      </w:pPr>
      <w:r w:rsidRPr="00B00892">
        <w:rPr>
          <w:rStyle w:val="eop"/>
          <w:rFonts w:cs="Arial"/>
        </w:rPr>
        <w:t> </w:t>
      </w:r>
    </w:p>
    <w:p w14:paraId="71F9F6E3" w14:textId="0E2B91DA" w:rsidR="00A01E56" w:rsidRPr="00460FAE" w:rsidRDefault="00A01E56" w:rsidP="007055C3">
      <w:pPr>
        <w:rPr>
          <w:rFonts w:cs="Arial"/>
          <w:bCs/>
          <w:sz w:val="24"/>
          <w:szCs w:val="24"/>
        </w:rPr>
      </w:pPr>
      <w:r w:rsidRPr="00460FAE">
        <w:rPr>
          <w:rFonts w:cs="Arial"/>
          <w:bCs/>
          <w:sz w:val="24"/>
          <w:szCs w:val="24"/>
        </w:rPr>
        <w:t>The Authority used the following capital resources to finance its 202</w:t>
      </w:r>
      <w:r w:rsidR="00A1482A">
        <w:rPr>
          <w:rFonts w:cs="Arial"/>
          <w:bCs/>
          <w:sz w:val="24"/>
          <w:szCs w:val="24"/>
        </w:rPr>
        <w:t>3</w:t>
      </w:r>
      <w:r w:rsidRPr="00460FAE">
        <w:rPr>
          <w:rFonts w:cs="Arial"/>
          <w:bCs/>
          <w:sz w:val="24"/>
          <w:szCs w:val="24"/>
        </w:rPr>
        <w:t>/2</w:t>
      </w:r>
      <w:r w:rsidR="00A1482A">
        <w:rPr>
          <w:rFonts w:cs="Arial"/>
          <w:bCs/>
          <w:sz w:val="24"/>
          <w:szCs w:val="24"/>
        </w:rPr>
        <w:t>4</w:t>
      </w:r>
      <w:r w:rsidRPr="00460FAE">
        <w:rPr>
          <w:rFonts w:cs="Arial"/>
          <w:bCs/>
          <w:sz w:val="24"/>
          <w:szCs w:val="24"/>
        </w:rPr>
        <w:t xml:space="preserve"> capital spend</w:t>
      </w:r>
      <w:r w:rsidR="001B6124">
        <w:rPr>
          <w:rFonts w:cs="Arial"/>
          <w:bCs/>
          <w:sz w:val="24"/>
          <w:szCs w:val="24"/>
        </w:rPr>
        <w:t>:</w:t>
      </w:r>
    </w:p>
    <w:p w14:paraId="1D814C0B" w14:textId="77777777" w:rsidR="00A01E56" w:rsidRPr="004D5CA8" w:rsidRDefault="00A01E56" w:rsidP="007055C3">
      <w:pPr>
        <w:rPr>
          <w:rFonts w:cs="Arial"/>
          <w:bCs/>
          <w:sz w:val="24"/>
          <w:szCs w:val="24"/>
          <w:highlight w:val="yellow"/>
        </w:rPr>
      </w:pPr>
    </w:p>
    <w:tbl>
      <w:tblPr>
        <w:tblW w:w="7366" w:type="dxa"/>
        <w:jc w:val="center"/>
        <w:tblLook w:val="04A0" w:firstRow="1" w:lastRow="0" w:firstColumn="1" w:lastColumn="0" w:noHBand="0" w:noVBand="1"/>
      </w:tblPr>
      <w:tblGrid>
        <w:gridCol w:w="6374"/>
        <w:gridCol w:w="992"/>
      </w:tblGrid>
      <w:tr w:rsidR="00460FAE" w:rsidRPr="00460FAE" w14:paraId="1D60E7F1" w14:textId="77777777" w:rsidTr="00EC73AF">
        <w:trPr>
          <w:trHeight w:val="290"/>
          <w:jc w:val="center"/>
        </w:trPr>
        <w:tc>
          <w:tcPr>
            <w:tcW w:w="6374" w:type="dxa"/>
            <w:tcBorders>
              <w:top w:val="single" w:sz="4" w:space="0" w:color="auto"/>
              <w:left w:val="single" w:sz="4" w:space="0" w:color="auto"/>
              <w:right w:val="single" w:sz="4" w:space="0" w:color="auto"/>
            </w:tcBorders>
            <w:shd w:val="clear" w:color="auto" w:fill="auto"/>
            <w:noWrap/>
            <w:vAlign w:val="bottom"/>
            <w:hideMark/>
          </w:tcPr>
          <w:p w14:paraId="42BE3981" w14:textId="77777777" w:rsidR="00460FAE" w:rsidRPr="00460FAE" w:rsidRDefault="00460FAE" w:rsidP="007055C3">
            <w:pPr>
              <w:rPr>
                <w:rFonts w:cs="Arial"/>
                <w:color w:val="000000"/>
                <w:sz w:val="22"/>
                <w:szCs w:val="22"/>
                <w:lang w:eastAsia="en-GB"/>
              </w:rPr>
            </w:pPr>
            <w:r w:rsidRPr="00460FAE">
              <w:rPr>
                <w:rFonts w:cs="Arial"/>
                <w:color w:val="000000"/>
                <w:sz w:val="22"/>
                <w:szCs w:val="22"/>
                <w:lang w:eastAsia="en-GB"/>
              </w:rPr>
              <w:t> </w:t>
            </w:r>
          </w:p>
        </w:tc>
        <w:tc>
          <w:tcPr>
            <w:tcW w:w="992" w:type="dxa"/>
            <w:tcBorders>
              <w:top w:val="single" w:sz="4" w:space="0" w:color="auto"/>
              <w:left w:val="single" w:sz="4" w:space="0" w:color="auto"/>
              <w:right w:val="single" w:sz="4" w:space="0" w:color="auto"/>
            </w:tcBorders>
            <w:shd w:val="clear" w:color="auto" w:fill="auto"/>
            <w:noWrap/>
            <w:vAlign w:val="bottom"/>
            <w:hideMark/>
          </w:tcPr>
          <w:p w14:paraId="16B0F2D7" w14:textId="77777777" w:rsidR="00460FAE" w:rsidRPr="00460FAE" w:rsidRDefault="00460FAE" w:rsidP="007055C3">
            <w:pPr>
              <w:rPr>
                <w:rFonts w:cs="Arial"/>
                <w:b/>
                <w:bCs/>
                <w:color w:val="000000"/>
                <w:sz w:val="22"/>
                <w:szCs w:val="22"/>
                <w:lang w:eastAsia="en-GB"/>
              </w:rPr>
            </w:pPr>
            <w:r w:rsidRPr="00460FAE">
              <w:rPr>
                <w:rFonts w:cs="Arial"/>
                <w:b/>
                <w:bCs/>
                <w:color w:val="000000"/>
                <w:sz w:val="22"/>
                <w:szCs w:val="22"/>
                <w:lang w:eastAsia="en-GB"/>
              </w:rPr>
              <w:t>£000</w:t>
            </w:r>
          </w:p>
        </w:tc>
      </w:tr>
      <w:tr w:rsidR="00460FAE" w:rsidRPr="00460FAE" w14:paraId="3DC59130" w14:textId="77777777" w:rsidTr="00EC73AF">
        <w:trPr>
          <w:trHeight w:val="290"/>
          <w:jc w:val="center"/>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29AEC71E" w14:textId="77777777" w:rsidR="00460FAE" w:rsidRPr="00A87029" w:rsidRDefault="00460FAE" w:rsidP="007055C3">
            <w:pPr>
              <w:rPr>
                <w:rFonts w:cs="Arial"/>
                <w:b/>
                <w:bCs/>
                <w:color w:val="000000"/>
                <w:sz w:val="22"/>
                <w:szCs w:val="22"/>
                <w:lang w:eastAsia="en-GB"/>
              </w:rPr>
            </w:pPr>
            <w:r w:rsidRPr="00A87029">
              <w:rPr>
                <w:rFonts w:cs="Arial"/>
                <w:b/>
                <w:bCs/>
                <w:color w:val="000000"/>
                <w:sz w:val="22"/>
                <w:szCs w:val="22"/>
                <w:lang w:eastAsia="en-GB"/>
              </w:rPr>
              <w:t>Expenditure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1199713" w14:textId="75241C76" w:rsidR="00460FAE" w:rsidRPr="00A87029" w:rsidRDefault="00EC73AF" w:rsidP="00EC73AF">
            <w:pPr>
              <w:jc w:val="right"/>
              <w:rPr>
                <w:rFonts w:cs="Arial"/>
                <w:b/>
                <w:bCs/>
                <w:color w:val="000000"/>
                <w:sz w:val="22"/>
                <w:szCs w:val="22"/>
                <w:lang w:eastAsia="en-GB"/>
              </w:rPr>
            </w:pPr>
            <w:r>
              <w:rPr>
                <w:rFonts w:cs="Arial"/>
                <w:b/>
                <w:bCs/>
                <w:color w:val="000000"/>
                <w:sz w:val="22"/>
                <w:szCs w:val="22"/>
                <w:lang w:eastAsia="en-GB"/>
              </w:rPr>
              <w:t>8</w:t>
            </w:r>
            <w:r w:rsidR="00B77C6D">
              <w:rPr>
                <w:rFonts w:cs="Arial"/>
                <w:b/>
                <w:bCs/>
                <w:color w:val="000000"/>
                <w:sz w:val="22"/>
                <w:szCs w:val="22"/>
                <w:lang w:eastAsia="en-GB"/>
              </w:rPr>
              <w:t>44</w:t>
            </w:r>
          </w:p>
        </w:tc>
      </w:tr>
      <w:tr w:rsidR="00460FAE" w:rsidRPr="00460FAE" w14:paraId="3515D9A4" w14:textId="77777777" w:rsidTr="00EC73AF">
        <w:trPr>
          <w:trHeight w:val="290"/>
          <w:jc w:val="center"/>
        </w:trPr>
        <w:tc>
          <w:tcPr>
            <w:tcW w:w="6374" w:type="dxa"/>
            <w:tcBorders>
              <w:top w:val="single" w:sz="4" w:space="0" w:color="auto"/>
              <w:left w:val="single" w:sz="4" w:space="0" w:color="auto"/>
              <w:bottom w:val="nil"/>
              <w:right w:val="single" w:sz="4" w:space="0" w:color="auto"/>
            </w:tcBorders>
            <w:shd w:val="clear" w:color="auto" w:fill="auto"/>
            <w:noWrap/>
            <w:vAlign w:val="bottom"/>
            <w:hideMark/>
          </w:tcPr>
          <w:p w14:paraId="5F5FBDBF" w14:textId="77777777" w:rsidR="00460FAE" w:rsidRPr="00460FAE" w:rsidRDefault="00460FAE" w:rsidP="007055C3">
            <w:pPr>
              <w:rPr>
                <w:rFonts w:cs="Arial"/>
                <w:color w:val="000000"/>
                <w:sz w:val="22"/>
                <w:szCs w:val="22"/>
                <w:lang w:eastAsia="en-GB"/>
              </w:rPr>
            </w:pPr>
            <w:r w:rsidRPr="00460FAE">
              <w:rPr>
                <w:rFonts w:cs="Arial"/>
                <w:color w:val="000000"/>
                <w:sz w:val="22"/>
                <w:szCs w:val="22"/>
                <w:lang w:eastAsia="en-GB"/>
              </w:rPr>
              <w:t> </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14:paraId="76FF2405" w14:textId="77777777" w:rsidR="00460FAE" w:rsidRPr="00460FAE" w:rsidRDefault="00460FAE" w:rsidP="00EC73AF">
            <w:pPr>
              <w:jc w:val="right"/>
              <w:rPr>
                <w:rFonts w:cs="Arial"/>
                <w:color w:val="000000"/>
                <w:sz w:val="22"/>
                <w:szCs w:val="22"/>
                <w:lang w:eastAsia="en-GB"/>
              </w:rPr>
            </w:pPr>
            <w:r w:rsidRPr="00460FAE">
              <w:rPr>
                <w:rFonts w:cs="Arial"/>
                <w:color w:val="000000"/>
                <w:sz w:val="22"/>
                <w:szCs w:val="22"/>
                <w:lang w:eastAsia="en-GB"/>
              </w:rPr>
              <w:t> </w:t>
            </w:r>
          </w:p>
        </w:tc>
      </w:tr>
      <w:tr w:rsidR="00460FAE" w:rsidRPr="00460FAE" w14:paraId="3D459AB0" w14:textId="77777777" w:rsidTr="00EC73AF">
        <w:trPr>
          <w:trHeight w:val="290"/>
          <w:jc w:val="center"/>
        </w:trPr>
        <w:tc>
          <w:tcPr>
            <w:tcW w:w="6374" w:type="dxa"/>
            <w:tcBorders>
              <w:top w:val="nil"/>
              <w:left w:val="single" w:sz="4" w:space="0" w:color="auto"/>
              <w:bottom w:val="nil"/>
              <w:right w:val="single" w:sz="4" w:space="0" w:color="auto"/>
            </w:tcBorders>
            <w:shd w:val="clear" w:color="auto" w:fill="auto"/>
            <w:noWrap/>
            <w:vAlign w:val="bottom"/>
            <w:hideMark/>
          </w:tcPr>
          <w:p w14:paraId="224B2BF1" w14:textId="77777777" w:rsidR="00460FAE" w:rsidRPr="00460FAE" w:rsidRDefault="00460FAE" w:rsidP="007055C3">
            <w:pPr>
              <w:rPr>
                <w:rFonts w:cs="Arial"/>
                <w:b/>
                <w:bCs/>
                <w:color w:val="000000"/>
                <w:sz w:val="22"/>
                <w:szCs w:val="22"/>
                <w:lang w:eastAsia="en-GB"/>
              </w:rPr>
            </w:pPr>
            <w:r w:rsidRPr="00460FAE">
              <w:rPr>
                <w:rFonts w:cs="Arial"/>
                <w:b/>
                <w:bCs/>
                <w:color w:val="000000"/>
                <w:sz w:val="22"/>
                <w:szCs w:val="22"/>
                <w:lang w:eastAsia="en-GB"/>
              </w:rPr>
              <w:t>Funded from:</w:t>
            </w:r>
          </w:p>
        </w:tc>
        <w:tc>
          <w:tcPr>
            <w:tcW w:w="992" w:type="dxa"/>
            <w:tcBorders>
              <w:top w:val="nil"/>
              <w:left w:val="single" w:sz="4" w:space="0" w:color="auto"/>
              <w:bottom w:val="nil"/>
              <w:right w:val="single" w:sz="4" w:space="0" w:color="auto"/>
            </w:tcBorders>
            <w:shd w:val="clear" w:color="auto" w:fill="auto"/>
            <w:noWrap/>
            <w:vAlign w:val="bottom"/>
            <w:hideMark/>
          </w:tcPr>
          <w:p w14:paraId="38E17B57" w14:textId="77777777" w:rsidR="00460FAE" w:rsidRPr="00460FAE" w:rsidRDefault="00460FAE" w:rsidP="00EC73AF">
            <w:pPr>
              <w:jc w:val="right"/>
              <w:rPr>
                <w:rFonts w:cs="Arial"/>
                <w:color w:val="000000"/>
                <w:sz w:val="22"/>
                <w:szCs w:val="22"/>
                <w:lang w:eastAsia="en-GB"/>
              </w:rPr>
            </w:pPr>
            <w:r w:rsidRPr="00460FAE">
              <w:rPr>
                <w:rFonts w:cs="Arial"/>
                <w:color w:val="000000"/>
                <w:sz w:val="22"/>
                <w:szCs w:val="22"/>
                <w:lang w:eastAsia="en-GB"/>
              </w:rPr>
              <w:t> </w:t>
            </w:r>
          </w:p>
        </w:tc>
      </w:tr>
      <w:tr w:rsidR="00460FAE" w:rsidRPr="00460FAE" w14:paraId="59B29E21" w14:textId="77777777" w:rsidTr="00EC73AF">
        <w:trPr>
          <w:trHeight w:val="290"/>
          <w:jc w:val="center"/>
        </w:trPr>
        <w:tc>
          <w:tcPr>
            <w:tcW w:w="6374" w:type="dxa"/>
            <w:tcBorders>
              <w:top w:val="nil"/>
              <w:left w:val="single" w:sz="4" w:space="0" w:color="auto"/>
              <w:bottom w:val="nil"/>
              <w:right w:val="single" w:sz="4" w:space="0" w:color="auto"/>
            </w:tcBorders>
            <w:shd w:val="clear" w:color="auto" w:fill="auto"/>
            <w:noWrap/>
            <w:vAlign w:val="bottom"/>
            <w:hideMark/>
          </w:tcPr>
          <w:p w14:paraId="324C22DC" w14:textId="77777777" w:rsidR="00460FAE" w:rsidRPr="00460FAE" w:rsidRDefault="00460FAE" w:rsidP="007055C3">
            <w:pPr>
              <w:rPr>
                <w:rFonts w:cs="Arial"/>
                <w:color w:val="000000"/>
                <w:sz w:val="22"/>
                <w:szCs w:val="22"/>
                <w:lang w:eastAsia="en-GB"/>
              </w:rPr>
            </w:pPr>
            <w:r w:rsidRPr="00460FAE">
              <w:rPr>
                <w:rFonts w:cs="Arial"/>
                <w:color w:val="000000"/>
                <w:sz w:val="22"/>
                <w:szCs w:val="22"/>
                <w:lang w:eastAsia="en-GB"/>
              </w:rPr>
              <w:t>Capital receipts</w:t>
            </w:r>
          </w:p>
        </w:tc>
        <w:tc>
          <w:tcPr>
            <w:tcW w:w="992" w:type="dxa"/>
            <w:tcBorders>
              <w:top w:val="nil"/>
              <w:left w:val="single" w:sz="4" w:space="0" w:color="auto"/>
              <w:bottom w:val="nil"/>
              <w:right w:val="single" w:sz="4" w:space="0" w:color="auto"/>
            </w:tcBorders>
            <w:shd w:val="clear" w:color="auto" w:fill="auto"/>
            <w:noWrap/>
            <w:vAlign w:val="bottom"/>
            <w:hideMark/>
          </w:tcPr>
          <w:p w14:paraId="2DE2325B" w14:textId="49F5A2A5" w:rsidR="00460FAE" w:rsidRPr="00460FAE" w:rsidRDefault="00460FAE" w:rsidP="00EC73AF">
            <w:pPr>
              <w:jc w:val="right"/>
              <w:rPr>
                <w:rFonts w:cs="Arial"/>
                <w:color w:val="000000"/>
                <w:sz w:val="22"/>
                <w:szCs w:val="22"/>
                <w:lang w:eastAsia="en-GB"/>
              </w:rPr>
            </w:pPr>
            <w:r w:rsidRPr="00460FAE">
              <w:rPr>
                <w:rFonts w:cs="Arial"/>
                <w:color w:val="000000"/>
                <w:sz w:val="22"/>
                <w:szCs w:val="22"/>
                <w:lang w:eastAsia="en-GB"/>
              </w:rPr>
              <w:t>-</w:t>
            </w:r>
            <w:r w:rsidR="00FD11B0">
              <w:rPr>
                <w:rFonts w:cs="Arial"/>
                <w:color w:val="000000"/>
                <w:sz w:val="22"/>
                <w:szCs w:val="22"/>
                <w:lang w:eastAsia="en-GB"/>
              </w:rPr>
              <w:t>514</w:t>
            </w:r>
          </w:p>
        </w:tc>
      </w:tr>
      <w:tr w:rsidR="00460FAE" w:rsidRPr="00460FAE" w14:paraId="7EBF865D" w14:textId="77777777" w:rsidTr="00EC73AF">
        <w:trPr>
          <w:trHeight w:val="290"/>
          <w:jc w:val="center"/>
        </w:trPr>
        <w:tc>
          <w:tcPr>
            <w:tcW w:w="6374" w:type="dxa"/>
            <w:tcBorders>
              <w:top w:val="nil"/>
              <w:left w:val="single" w:sz="4" w:space="0" w:color="auto"/>
              <w:bottom w:val="nil"/>
              <w:right w:val="single" w:sz="4" w:space="0" w:color="auto"/>
            </w:tcBorders>
            <w:shd w:val="clear" w:color="auto" w:fill="auto"/>
            <w:noWrap/>
            <w:vAlign w:val="bottom"/>
            <w:hideMark/>
          </w:tcPr>
          <w:p w14:paraId="3469465C" w14:textId="77777777" w:rsidR="00460FAE" w:rsidRPr="00460FAE" w:rsidRDefault="00460FAE" w:rsidP="007055C3">
            <w:pPr>
              <w:rPr>
                <w:rFonts w:cs="Arial"/>
                <w:color w:val="000000"/>
                <w:sz w:val="22"/>
                <w:szCs w:val="22"/>
                <w:lang w:eastAsia="en-GB"/>
              </w:rPr>
            </w:pPr>
            <w:r w:rsidRPr="00460FAE">
              <w:rPr>
                <w:rFonts w:cs="Arial"/>
                <w:color w:val="000000"/>
                <w:sz w:val="22"/>
                <w:szCs w:val="22"/>
                <w:lang w:eastAsia="en-GB"/>
              </w:rPr>
              <w:t>Direct Revenue Financing</w:t>
            </w:r>
          </w:p>
        </w:tc>
        <w:tc>
          <w:tcPr>
            <w:tcW w:w="992" w:type="dxa"/>
            <w:tcBorders>
              <w:top w:val="nil"/>
              <w:left w:val="single" w:sz="4" w:space="0" w:color="auto"/>
              <w:bottom w:val="nil"/>
              <w:right w:val="single" w:sz="4" w:space="0" w:color="auto"/>
            </w:tcBorders>
            <w:shd w:val="clear" w:color="auto" w:fill="auto"/>
            <w:noWrap/>
            <w:vAlign w:val="bottom"/>
            <w:hideMark/>
          </w:tcPr>
          <w:p w14:paraId="45BD0041" w14:textId="5FD7B231" w:rsidR="00460FAE" w:rsidRPr="00460FAE" w:rsidRDefault="00460FAE" w:rsidP="00EC73AF">
            <w:pPr>
              <w:jc w:val="right"/>
              <w:rPr>
                <w:rFonts w:cs="Arial"/>
                <w:color w:val="000000"/>
                <w:sz w:val="22"/>
                <w:szCs w:val="22"/>
                <w:lang w:eastAsia="en-GB"/>
              </w:rPr>
            </w:pPr>
            <w:r w:rsidRPr="00460FAE">
              <w:rPr>
                <w:rFonts w:cs="Arial"/>
                <w:color w:val="000000"/>
                <w:sz w:val="22"/>
                <w:szCs w:val="22"/>
                <w:lang w:eastAsia="en-GB"/>
              </w:rPr>
              <w:t>-</w:t>
            </w:r>
            <w:r w:rsidR="00EC73AF">
              <w:rPr>
                <w:rFonts w:cs="Arial"/>
                <w:color w:val="000000"/>
                <w:sz w:val="22"/>
                <w:szCs w:val="22"/>
                <w:lang w:eastAsia="en-GB"/>
              </w:rPr>
              <w:t>50</w:t>
            </w:r>
          </w:p>
        </w:tc>
      </w:tr>
      <w:tr w:rsidR="00460FAE" w:rsidRPr="00460FAE" w14:paraId="52E82260" w14:textId="77777777" w:rsidTr="00EC73AF">
        <w:trPr>
          <w:trHeight w:val="290"/>
          <w:jc w:val="center"/>
        </w:trPr>
        <w:tc>
          <w:tcPr>
            <w:tcW w:w="6374" w:type="dxa"/>
            <w:tcBorders>
              <w:top w:val="nil"/>
              <w:left w:val="single" w:sz="4" w:space="0" w:color="auto"/>
              <w:bottom w:val="nil"/>
              <w:right w:val="single" w:sz="4" w:space="0" w:color="auto"/>
            </w:tcBorders>
            <w:shd w:val="clear" w:color="auto" w:fill="auto"/>
            <w:noWrap/>
            <w:vAlign w:val="bottom"/>
            <w:hideMark/>
          </w:tcPr>
          <w:p w14:paraId="1492AC4D" w14:textId="1C8C7AB6" w:rsidR="00460FAE" w:rsidRPr="00460FAE" w:rsidRDefault="00460FAE" w:rsidP="007055C3">
            <w:pPr>
              <w:rPr>
                <w:rFonts w:cs="Arial"/>
                <w:color w:val="000000"/>
                <w:sz w:val="22"/>
                <w:szCs w:val="22"/>
                <w:lang w:eastAsia="en-GB"/>
              </w:rPr>
            </w:pPr>
            <w:r w:rsidRPr="00460FAE">
              <w:rPr>
                <w:rFonts w:cs="Arial"/>
                <w:color w:val="000000"/>
                <w:sz w:val="22"/>
                <w:szCs w:val="22"/>
                <w:lang w:eastAsia="en-GB"/>
              </w:rPr>
              <w:t>Capital Grant</w:t>
            </w:r>
            <w:r w:rsidR="00B77C6D">
              <w:rPr>
                <w:rFonts w:cs="Arial"/>
                <w:color w:val="000000"/>
                <w:sz w:val="22"/>
                <w:szCs w:val="22"/>
                <w:lang w:eastAsia="en-GB"/>
              </w:rPr>
              <w:t xml:space="preserve"> and other contributions</w:t>
            </w:r>
          </w:p>
        </w:tc>
        <w:tc>
          <w:tcPr>
            <w:tcW w:w="992" w:type="dxa"/>
            <w:tcBorders>
              <w:top w:val="nil"/>
              <w:left w:val="single" w:sz="4" w:space="0" w:color="auto"/>
              <w:bottom w:val="nil"/>
              <w:right w:val="single" w:sz="4" w:space="0" w:color="auto"/>
            </w:tcBorders>
            <w:shd w:val="clear" w:color="auto" w:fill="auto"/>
            <w:noWrap/>
            <w:vAlign w:val="bottom"/>
            <w:hideMark/>
          </w:tcPr>
          <w:p w14:paraId="59E8CC08" w14:textId="59E1AA26" w:rsidR="00460FAE" w:rsidRPr="00460FAE" w:rsidRDefault="00460FAE" w:rsidP="00EC73AF">
            <w:pPr>
              <w:jc w:val="right"/>
              <w:rPr>
                <w:rFonts w:cs="Arial"/>
                <w:color w:val="000000"/>
                <w:sz w:val="22"/>
                <w:szCs w:val="22"/>
                <w:lang w:eastAsia="en-GB"/>
              </w:rPr>
            </w:pPr>
            <w:r w:rsidRPr="00460FAE">
              <w:rPr>
                <w:rFonts w:cs="Arial"/>
                <w:color w:val="000000"/>
                <w:sz w:val="22"/>
                <w:szCs w:val="22"/>
                <w:lang w:eastAsia="en-GB"/>
              </w:rPr>
              <w:t>-</w:t>
            </w:r>
            <w:r w:rsidR="00B77C6D">
              <w:rPr>
                <w:rFonts w:cs="Arial"/>
                <w:color w:val="000000"/>
                <w:sz w:val="22"/>
                <w:szCs w:val="22"/>
                <w:lang w:eastAsia="en-GB"/>
              </w:rPr>
              <w:t>32</w:t>
            </w:r>
          </w:p>
        </w:tc>
      </w:tr>
      <w:tr w:rsidR="00460FAE" w:rsidRPr="00460FAE" w14:paraId="45A19E18" w14:textId="77777777" w:rsidTr="00EC73AF">
        <w:trPr>
          <w:trHeight w:val="290"/>
          <w:jc w:val="center"/>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2E7BA40D" w14:textId="77777777" w:rsidR="00460FAE" w:rsidRPr="00460FAE" w:rsidRDefault="00460FAE" w:rsidP="007055C3">
            <w:pPr>
              <w:rPr>
                <w:rFonts w:cs="Arial"/>
                <w:color w:val="000000"/>
                <w:sz w:val="22"/>
                <w:szCs w:val="22"/>
                <w:lang w:eastAsia="en-GB"/>
              </w:rPr>
            </w:pPr>
            <w:r w:rsidRPr="00460FAE">
              <w:rPr>
                <w:rFonts w:cs="Arial"/>
                <w:color w:val="000000"/>
                <w:sz w:val="22"/>
                <w:szCs w:val="22"/>
                <w:lang w:eastAsia="en-GB"/>
              </w:rPr>
              <w:t>Revenue Expenditure funded from Capital Under Statute Grant</w:t>
            </w:r>
          </w:p>
        </w:tc>
        <w:tc>
          <w:tcPr>
            <w:tcW w:w="992" w:type="dxa"/>
            <w:tcBorders>
              <w:top w:val="nil"/>
              <w:left w:val="single" w:sz="4" w:space="0" w:color="auto"/>
              <w:bottom w:val="nil"/>
              <w:right w:val="single" w:sz="4" w:space="0" w:color="auto"/>
            </w:tcBorders>
            <w:shd w:val="clear" w:color="auto" w:fill="auto"/>
            <w:noWrap/>
            <w:vAlign w:val="bottom"/>
            <w:hideMark/>
          </w:tcPr>
          <w:p w14:paraId="58516522" w14:textId="387E223F" w:rsidR="00460FAE" w:rsidRPr="00460FAE" w:rsidRDefault="00460FAE" w:rsidP="00EC73AF">
            <w:pPr>
              <w:jc w:val="right"/>
              <w:rPr>
                <w:rFonts w:cs="Arial"/>
                <w:color w:val="000000"/>
                <w:sz w:val="22"/>
                <w:szCs w:val="22"/>
                <w:lang w:eastAsia="en-GB"/>
              </w:rPr>
            </w:pPr>
            <w:r w:rsidRPr="00460FAE">
              <w:rPr>
                <w:rFonts w:cs="Arial"/>
                <w:color w:val="000000"/>
                <w:sz w:val="22"/>
                <w:szCs w:val="22"/>
                <w:lang w:eastAsia="en-GB"/>
              </w:rPr>
              <w:t>-</w:t>
            </w:r>
            <w:r w:rsidR="00FD11B0">
              <w:rPr>
                <w:rFonts w:cs="Arial"/>
                <w:color w:val="000000"/>
                <w:sz w:val="22"/>
                <w:szCs w:val="22"/>
                <w:lang w:eastAsia="en-GB"/>
              </w:rPr>
              <w:t>2</w:t>
            </w:r>
            <w:r w:rsidR="00EE40B2">
              <w:rPr>
                <w:rFonts w:cs="Arial"/>
                <w:color w:val="000000"/>
                <w:sz w:val="22"/>
                <w:szCs w:val="22"/>
                <w:lang w:eastAsia="en-GB"/>
              </w:rPr>
              <w:t>48</w:t>
            </w:r>
          </w:p>
        </w:tc>
      </w:tr>
      <w:tr w:rsidR="00460FAE" w:rsidRPr="00460FAE" w14:paraId="66F165C4" w14:textId="77777777" w:rsidTr="00EC73AF">
        <w:trPr>
          <w:trHeight w:val="290"/>
          <w:jc w:val="center"/>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643AE944" w14:textId="77777777" w:rsidR="00460FAE" w:rsidRPr="00460FAE" w:rsidRDefault="00460FAE" w:rsidP="007055C3">
            <w:pPr>
              <w:rPr>
                <w:rFonts w:cs="Arial"/>
                <w:b/>
                <w:bCs/>
                <w:color w:val="000000"/>
                <w:sz w:val="22"/>
                <w:szCs w:val="22"/>
                <w:lang w:eastAsia="en-GB"/>
              </w:rPr>
            </w:pPr>
            <w:r w:rsidRPr="00460FAE">
              <w:rPr>
                <w:rFonts w:cs="Arial"/>
                <w:b/>
                <w:bCs/>
                <w:color w:val="000000"/>
                <w:sz w:val="22"/>
                <w:szCs w:val="22"/>
                <w:lang w:eastAsia="en-GB"/>
              </w:rPr>
              <w:t>Movement in Capital Financing Requirement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3BAC8" w14:textId="77777777" w:rsidR="00460FAE" w:rsidRPr="00460FAE" w:rsidRDefault="00460FAE" w:rsidP="00EC73AF">
            <w:pPr>
              <w:jc w:val="right"/>
              <w:rPr>
                <w:rFonts w:cs="Arial"/>
                <w:b/>
                <w:bCs/>
                <w:color w:val="000000"/>
                <w:sz w:val="22"/>
                <w:szCs w:val="22"/>
                <w:lang w:eastAsia="en-GB"/>
              </w:rPr>
            </w:pPr>
            <w:r w:rsidRPr="00460FAE">
              <w:rPr>
                <w:rFonts w:cs="Arial"/>
                <w:b/>
                <w:bCs/>
                <w:color w:val="000000"/>
                <w:sz w:val="22"/>
                <w:szCs w:val="22"/>
                <w:lang w:eastAsia="en-GB"/>
              </w:rPr>
              <w:t>0</w:t>
            </w:r>
          </w:p>
        </w:tc>
      </w:tr>
    </w:tbl>
    <w:p w14:paraId="044EF2EE" w14:textId="12F4D7C5" w:rsidR="00A01E56" w:rsidRPr="004D5CA8" w:rsidRDefault="00A01E56" w:rsidP="007055C3">
      <w:pPr>
        <w:rPr>
          <w:rFonts w:cs="Arial"/>
          <w:bCs/>
          <w:sz w:val="24"/>
          <w:szCs w:val="24"/>
          <w:highlight w:val="yellow"/>
        </w:rPr>
      </w:pPr>
    </w:p>
    <w:p w14:paraId="63CA3906" w14:textId="34AE9F5D" w:rsidR="00A01E56" w:rsidRPr="004D5CA8" w:rsidRDefault="00A01E56" w:rsidP="007055C3">
      <w:pPr>
        <w:rPr>
          <w:rFonts w:cs="Arial"/>
          <w:b/>
          <w:bCs/>
          <w:highlight w:val="yellow"/>
        </w:rPr>
      </w:pPr>
      <w:r w:rsidRPr="004D5CA8">
        <w:rPr>
          <w:highlight w:val="yellow"/>
        </w:rPr>
        <w:t xml:space="preserve">                            </w:t>
      </w:r>
    </w:p>
    <w:p w14:paraId="5FFA8D98" w14:textId="03501445" w:rsidR="00A01E56" w:rsidRPr="00460FAE" w:rsidRDefault="00A01E56" w:rsidP="007055C3">
      <w:pPr>
        <w:rPr>
          <w:rFonts w:cs="Arial"/>
          <w:bCs/>
        </w:rPr>
      </w:pPr>
      <w:r w:rsidRPr="00460FAE">
        <w:rPr>
          <w:rFonts w:cs="Arial"/>
          <w:bCs/>
        </w:rPr>
        <w:t xml:space="preserve">The Authority continues to strive to provide excellent value for money. Our organisational strategy aims to deliver maximum impact in terms of service delivery by using our staff and other resources in more efficient ways. Our effectiveness is a key consideration and our </w:t>
      </w:r>
      <w:r w:rsidRPr="00460FAE">
        <w:rPr>
          <w:rFonts w:cs="Arial"/>
          <w:bCs/>
        </w:rPr>
        <w:lastRenderedPageBreak/>
        <w:t>success in delivering the Vision for the National Park is monitored closely using a number of performance indicators and actions set out in our Business Plan</w:t>
      </w:r>
      <w:r w:rsidR="0043215C" w:rsidRPr="00460FAE">
        <w:rPr>
          <w:rFonts w:cs="Arial"/>
          <w:bCs/>
        </w:rPr>
        <w:t xml:space="preserve"> (see Performance and Risk Management section below)</w:t>
      </w:r>
      <w:r w:rsidRPr="00460FAE">
        <w:rPr>
          <w:rFonts w:cs="Arial"/>
          <w:bCs/>
        </w:rPr>
        <w:t xml:space="preserve">. </w:t>
      </w:r>
    </w:p>
    <w:p w14:paraId="048BB866" w14:textId="25A2ED5C" w:rsidR="00A01E56" w:rsidRPr="00460FAE" w:rsidRDefault="00A01E56" w:rsidP="007055C3">
      <w:pPr>
        <w:rPr>
          <w:rFonts w:cs="Arial"/>
          <w:bCs/>
        </w:rPr>
      </w:pPr>
    </w:p>
    <w:p w14:paraId="1E0E0242" w14:textId="77777777" w:rsidR="00A01E56" w:rsidRPr="00460FAE" w:rsidRDefault="00A01E56" w:rsidP="000644FA">
      <w:pPr>
        <w:pStyle w:val="Heading3"/>
      </w:pPr>
      <w:bookmarkStart w:id="27" w:name="_Toc156816124"/>
      <w:bookmarkStart w:id="28" w:name="_Toc156820518"/>
      <w:bookmarkStart w:id="29" w:name="_Toc165295260"/>
      <w:bookmarkStart w:id="30" w:name="_Toc167965761"/>
      <w:bookmarkStart w:id="31" w:name="_Hlk109900157"/>
      <w:r w:rsidRPr="00460FAE">
        <w:t>Sources of Capital Funds</w:t>
      </w:r>
      <w:bookmarkEnd w:id="27"/>
      <w:bookmarkEnd w:id="28"/>
      <w:bookmarkEnd w:id="29"/>
      <w:bookmarkEnd w:id="30"/>
    </w:p>
    <w:p w14:paraId="1A796C21" w14:textId="77777777" w:rsidR="00A01E56" w:rsidRPr="00460FAE" w:rsidRDefault="00A01E56" w:rsidP="007055C3"/>
    <w:p w14:paraId="510316F6" w14:textId="5683B01F" w:rsidR="0043215C" w:rsidRPr="00460FAE" w:rsidRDefault="00A01E56" w:rsidP="007055C3">
      <w:r w:rsidRPr="00460FAE">
        <w:t>In 202</w:t>
      </w:r>
      <w:r w:rsidR="00A1482A">
        <w:t>3</w:t>
      </w:r>
      <w:r w:rsidRPr="00460FAE">
        <w:t>/2</w:t>
      </w:r>
      <w:r w:rsidR="00A1482A">
        <w:t>4</w:t>
      </w:r>
      <w:r w:rsidRPr="00460FAE">
        <w:t xml:space="preserve"> the Authority received £</w:t>
      </w:r>
      <w:r w:rsidR="00B77C6D">
        <w:t>266</w:t>
      </w:r>
      <w:r w:rsidRPr="00460FAE">
        <w:t>k of grants</w:t>
      </w:r>
      <w:r w:rsidR="00B77C6D">
        <w:t xml:space="preserve"> and other contributions</w:t>
      </w:r>
      <w:r w:rsidRPr="00460FAE">
        <w:t xml:space="preserve"> to support the capital programme</w:t>
      </w:r>
      <w:r w:rsidR="001B6124">
        <w:t xml:space="preserve">, this </w:t>
      </w:r>
      <w:r w:rsidR="00A1482A">
        <w:t xml:space="preserve">mainly </w:t>
      </w:r>
      <w:r w:rsidR="001B6124">
        <w:t>came from the European Structural Investment Fund</w:t>
      </w:r>
      <w:r w:rsidR="00516F4C">
        <w:t xml:space="preserve"> (ESIF)</w:t>
      </w:r>
      <w:r w:rsidR="00A1482A">
        <w:t>.</w:t>
      </w:r>
      <w:r w:rsidRPr="00460FAE">
        <w:t xml:space="preserve"> In addition</w:t>
      </w:r>
      <w:r w:rsidR="007D1AA1" w:rsidRPr="00460FAE">
        <w:t>,</w:t>
      </w:r>
      <w:r w:rsidRPr="00460FAE">
        <w:t xml:space="preserve"> the Authority received £</w:t>
      </w:r>
      <w:r w:rsidR="00A1482A">
        <w:t>60k</w:t>
      </w:r>
      <w:r w:rsidRPr="00460FAE">
        <w:t xml:space="preserve"> from the sale of assets. </w:t>
      </w:r>
      <w:bookmarkEnd w:id="31"/>
    </w:p>
    <w:p w14:paraId="2D933A6A" w14:textId="77777777" w:rsidR="0043215C" w:rsidRPr="00460FAE" w:rsidRDefault="0043215C" w:rsidP="007055C3"/>
    <w:p w14:paraId="3F35F2C6" w14:textId="15086A75" w:rsidR="00A01E56" w:rsidRPr="00460FAE" w:rsidRDefault="00A01E56" w:rsidP="007055C3">
      <w:r w:rsidRPr="00460FAE">
        <w:t>The</w:t>
      </w:r>
      <w:r w:rsidR="00460FAE">
        <w:t>re was £1.</w:t>
      </w:r>
      <w:r w:rsidR="00A1482A">
        <w:t>1</w:t>
      </w:r>
      <w:r w:rsidR="00460FAE">
        <w:t>m</w:t>
      </w:r>
      <w:r w:rsidRPr="00460FAE">
        <w:t xml:space="preserve"> of </w:t>
      </w:r>
      <w:r w:rsidR="00460FAE">
        <w:t xml:space="preserve">usable </w:t>
      </w:r>
      <w:r w:rsidRPr="00460FAE">
        <w:t xml:space="preserve">capital resources remaining </w:t>
      </w:r>
      <w:r w:rsidR="001B6124">
        <w:t>at 31 March 202</w:t>
      </w:r>
      <w:r w:rsidR="00A1482A">
        <w:t>4</w:t>
      </w:r>
      <w:r w:rsidR="001B6124">
        <w:t xml:space="preserve"> (see detail in the reserve note). These </w:t>
      </w:r>
      <w:r w:rsidRPr="00460FAE">
        <w:t xml:space="preserve">will be used to fund the Authority’s </w:t>
      </w:r>
      <w:r w:rsidR="00460FAE" w:rsidRPr="00460FAE">
        <w:t xml:space="preserve">future </w:t>
      </w:r>
      <w:r w:rsidRPr="00460FAE">
        <w:t xml:space="preserve">capital programme. </w:t>
      </w:r>
      <w:r w:rsidR="00460FAE" w:rsidRPr="00460FAE">
        <w:t>A fully funded programme assuming no further significant receipts was approved as part of the Medium Term Financial Strategy in March 202</w:t>
      </w:r>
      <w:r w:rsidR="00A1482A">
        <w:t>4</w:t>
      </w:r>
      <w:r w:rsidR="00460FAE" w:rsidRPr="00460FAE">
        <w:t>.</w:t>
      </w:r>
      <w:r w:rsidR="001B6124">
        <w:t xml:space="preserve"> </w:t>
      </w:r>
    </w:p>
    <w:p w14:paraId="13AF6608" w14:textId="77777777" w:rsidR="00A01E56" w:rsidRPr="004D5CA8" w:rsidRDefault="00A01E56" w:rsidP="007055C3">
      <w:pPr>
        <w:rPr>
          <w:highlight w:val="yellow"/>
        </w:rPr>
      </w:pPr>
    </w:p>
    <w:p w14:paraId="25D320A0" w14:textId="77777777" w:rsidR="00A01E56" w:rsidRPr="001B6124" w:rsidRDefault="00A01E56" w:rsidP="000644FA">
      <w:pPr>
        <w:pStyle w:val="Heading3"/>
      </w:pPr>
      <w:bookmarkStart w:id="32" w:name="_Toc156820519"/>
      <w:bookmarkStart w:id="33" w:name="_Toc165295261"/>
      <w:bookmarkStart w:id="34" w:name="_Toc167965762"/>
      <w:r w:rsidRPr="001B6124">
        <w:t>Investment Plans</w:t>
      </w:r>
      <w:bookmarkEnd w:id="32"/>
      <w:bookmarkEnd w:id="33"/>
      <w:bookmarkEnd w:id="34"/>
    </w:p>
    <w:p w14:paraId="2F974E47" w14:textId="77777777" w:rsidR="00A01E56" w:rsidRPr="001B6124" w:rsidRDefault="00A01E56" w:rsidP="007055C3">
      <w:pPr>
        <w:rPr>
          <w:rFonts w:cs="Arial"/>
        </w:rPr>
      </w:pPr>
    </w:p>
    <w:p w14:paraId="5AA2BD74" w14:textId="0998B28E" w:rsidR="00A01E56" w:rsidRPr="001B6124" w:rsidRDefault="00A01E56" w:rsidP="007055C3">
      <w:pPr>
        <w:rPr>
          <w:rFonts w:cs="Arial"/>
        </w:rPr>
      </w:pPr>
      <w:r w:rsidRPr="001B6124">
        <w:rPr>
          <w:rFonts w:cs="Arial"/>
        </w:rPr>
        <w:t xml:space="preserve">The Authority’s capital programme routinely includes re-investment in essential business infrastructure, such as operational buildings, vehicles and computer equipment. </w:t>
      </w:r>
    </w:p>
    <w:p w14:paraId="304AE5CE" w14:textId="77777777" w:rsidR="00A01E56" w:rsidRPr="001B6124" w:rsidRDefault="00A01E56" w:rsidP="007055C3">
      <w:pPr>
        <w:rPr>
          <w:rFonts w:cs="Arial"/>
        </w:rPr>
      </w:pPr>
    </w:p>
    <w:p w14:paraId="445EE16F" w14:textId="35241BE7" w:rsidR="00A01E56" w:rsidRDefault="00A01E56" w:rsidP="007055C3">
      <w:pPr>
        <w:rPr>
          <w:rFonts w:cs="Arial"/>
        </w:rPr>
      </w:pPr>
      <w:r w:rsidRPr="001B6124">
        <w:rPr>
          <w:rFonts w:cs="Arial"/>
        </w:rPr>
        <w:t>The Authority is currently debt-free but acknowledges that modest borrowing may be necessary to support the financing of the capital programme in future years, in addition to the usual mixture of capital receipts and external grant funding.</w:t>
      </w:r>
      <w:r w:rsidR="00A1482A">
        <w:rPr>
          <w:rFonts w:cs="Arial"/>
        </w:rPr>
        <w:t xml:space="preserve"> The impact of IFRS16 (leases) during 2024/25 will recognise lease liabilities on the balance sheet but will not change the underlying position or impact the underlying revenue account</w:t>
      </w:r>
      <w:r w:rsidR="00B77C6D">
        <w:rPr>
          <w:rFonts w:cs="Arial"/>
        </w:rPr>
        <w:t>, although there will be presentational changes to leasing costs.</w:t>
      </w:r>
    </w:p>
    <w:p w14:paraId="116744DB" w14:textId="77777777" w:rsidR="0034243A" w:rsidRPr="001B6124" w:rsidRDefault="0034243A" w:rsidP="007055C3">
      <w:pPr>
        <w:rPr>
          <w:rFonts w:cs="Arial"/>
        </w:rPr>
      </w:pPr>
    </w:p>
    <w:p w14:paraId="06FB31C0" w14:textId="0B9E7074" w:rsidR="00A01E56" w:rsidRPr="001B6124" w:rsidRDefault="00A01E56" w:rsidP="007055C3">
      <w:pPr>
        <w:rPr>
          <w:rFonts w:cs="Arial"/>
        </w:rPr>
      </w:pPr>
      <w:r w:rsidRPr="001B6124">
        <w:rPr>
          <w:rFonts w:cs="Arial"/>
        </w:rPr>
        <w:t>The Authority also has an approved Co</w:t>
      </w:r>
      <w:r w:rsidR="001B6124" w:rsidRPr="001B6124">
        <w:rPr>
          <w:rFonts w:cs="Arial"/>
        </w:rPr>
        <w:t>mmercial</w:t>
      </w:r>
      <w:r w:rsidRPr="001B6124">
        <w:rPr>
          <w:rFonts w:cs="Arial"/>
        </w:rPr>
        <w:t xml:space="preserve"> Strategy. This has identified a pipeline of potential </w:t>
      </w:r>
      <w:r w:rsidR="00B77C6D">
        <w:rPr>
          <w:rFonts w:cs="Arial"/>
        </w:rPr>
        <w:t>projects</w:t>
      </w:r>
      <w:r w:rsidR="0034243A">
        <w:rPr>
          <w:rFonts w:cs="Arial"/>
        </w:rPr>
        <w:t xml:space="preserve"> </w:t>
      </w:r>
      <w:r w:rsidR="001B6124" w:rsidRPr="001B6124">
        <w:rPr>
          <w:rFonts w:cs="Arial"/>
        </w:rPr>
        <w:t xml:space="preserve">that primarily </w:t>
      </w:r>
      <w:r w:rsidR="0034243A">
        <w:rPr>
          <w:rFonts w:cs="Arial"/>
        </w:rPr>
        <w:t>focus on</w:t>
      </w:r>
      <w:r w:rsidR="001B6124" w:rsidRPr="001B6124">
        <w:rPr>
          <w:rFonts w:cs="Arial"/>
        </w:rPr>
        <w:t xml:space="preserve"> </w:t>
      </w:r>
      <w:r w:rsidR="0034243A">
        <w:rPr>
          <w:rFonts w:cs="Arial"/>
        </w:rPr>
        <w:t xml:space="preserve">expansion or review of </w:t>
      </w:r>
      <w:r w:rsidR="001B6124" w:rsidRPr="001B6124">
        <w:rPr>
          <w:rFonts w:cs="Arial"/>
        </w:rPr>
        <w:t>current</w:t>
      </w:r>
      <w:r w:rsidR="0034243A">
        <w:rPr>
          <w:rFonts w:cs="Arial"/>
        </w:rPr>
        <w:t xml:space="preserve"> areas of</w:t>
      </w:r>
      <w:r w:rsidR="001B6124" w:rsidRPr="001B6124">
        <w:rPr>
          <w:rFonts w:cs="Arial"/>
        </w:rPr>
        <w:t xml:space="preserve"> service provision.</w:t>
      </w:r>
      <w:r w:rsidRPr="001B6124">
        <w:rPr>
          <w:rFonts w:cs="Arial"/>
        </w:rPr>
        <w:t xml:space="preserve"> There is an investment reserve to support investment in these with the ambition that these schemes will be able to make a significant contribution to a balanced and robust MTFS.</w:t>
      </w:r>
      <w:r w:rsidR="001B6124" w:rsidRPr="001B6124">
        <w:rPr>
          <w:rFonts w:cs="Arial"/>
        </w:rPr>
        <w:t xml:space="preserve"> Two examples that have already come through this route are Lakeshore phase 2 (expansion of access to Windermere through </w:t>
      </w:r>
      <w:r w:rsidR="00516F4C">
        <w:rPr>
          <w:rFonts w:cs="Arial"/>
        </w:rPr>
        <w:t>improvement and extension of the service available at</w:t>
      </w:r>
      <w:r w:rsidR="001B6124" w:rsidRPr="001B6124">
        <w:rPr>
          <w:rFonts w:cs="Arial"/>
        </w:rPr>
        <w:t xml:space="preserve"> Brockhole) and </w:t>
      </w:r>
      <w:r w:rsidR="00516F4C">
        <w:rPr>
          <w:rFonts w:cs="Arial"/>
        </w:rPr>
        <w:t xml:space="preserve">development of </w:t>
      </w:r>
      <w:r w:rsidR="001B6124" w:rsidRPr="001B6124">
        <w:rPr>
          <w:rFonts w:cs="Arial"/>
        </w:rPr>
        <w:t>Hawkshead I</w:t>
      </w:r>
      <w:r w:rsidR="00516F4C">
        <w:rPr>
          <w:rFonts w:cs="Arial"/>
        </w:rPr>
        <w:t xml:space="preserve">nformation </w:t>
      </w:r>
      <w:r w:rsidR="001B6124" w:rsidRPr="001B6124">
        <w:rPr>
          <w:rFonts w:cs="Arial"/>
        </w:rPr>
        <w:t>C</w:t>
      </w:r>
      <w:r w:rsidR="00516F4C">
        <w:rPr>
          <w:rFonts w:cs="Arial"/>
        </w:rPr>
        <w:t>entre</w:t>
      </w:r>
      <w:r w:rsidR="001B6124" w:rsidRPr="001B6124">
        <w:rPr>
          <w:rFonts w:cs="Arial"/>
        </w:rPr>
        <w:t xml:space="preserve"> (fit out and enhancement of premises including expansion of bike hire facilities).</w:t>
      </w:r>
      <w:r w:rsidR="0034243A">
        <w:rPr>
          <w:rFonts w:cs="Arial"/>
        </w:rPr>
        <w:t xml:space="preserve"> </w:t>
      </w:r>
      <w:r w:rsidR="00B77C6D">
        <w:rPr>
          <w:rFonts w:cs="Arial"/>
        </w:rPr>
        <w:t>B</w:t>
      </w:r>
      <w:r w:rsidR="0034243A">
        <w:rPr>
          <w:rFonts w:cs="Arial"/>
        </w:rPr>
        <w:t xml:space="preserve">oth of these schemes </w:t>
      </w:r>
      <w:r w:rsidR="00B77C6D">
        <w:rPr>
          <w:rFonts w:cs="Arial"/>
        </w:rPr>
        <w:t>are</w:t>
      </w:r>
      <w:r w:rsidR="0034243A">
        <w:rPr>
          <w:rFonts w:cs="Arial"/>
        </w:rPr>
        <w:t xml:space="preserve"> operational and </w:t>
      </w:r>
      <w:r w:rsidR="00A1482A">
        <w:rPr>
          <w:rFonts w:cs="Arial"/>
        </w:rPr>
        <w:t xml:space="preserve">are </w:t>
      </w:r>
      <w:r w:rsidR="0034243A">
        <w:rPr>
          <w:rFonts w:cs="Arial"/>
        </w:rPr>
        <w:t>making a contribution to the MTFS.</w:t>
      </w:r>
    </w:p>
    <w:p w14:paraId="485A431A" w14:textId="69E173A5" w:rsidR="00A1546A" w:rsidRDefault="00A1546A" w:rsidP="007055C3">
      <w:pPr>
        <w:rPr>
          <w:b/>
          <w:sz w:val="24"/>
          <w:szCs w:val="24"/>
          <w:highlight w:val="yellow"/>
        </w:rPr>
      </w:pPr>
    </w:p>
    <w:p w14:paraId="5844BB82" w14:textId="77777777" w:rsidR="00757709" w:rsidRPr="004D5CA8" w:rsidRDefault="00757709" w:rsidP="007055C3">
      <w:pPr>
        <w:rPr>
          <w:b/>
          <w:sz w:val="24"/>
          <w:szCs w:val="24"/>
          <w:highlight w:val="yellow"/>
        </w:rPr>
      </w:pPr>
    </w:p>
    <w:p w14:paraId="7A5A1551" w14:textId="77777777" w:rsidR="00F61C2C" w:rsidRPr="00ED2D62" w:rsidRDefault="00F61C2C" w:rsidP="000644FA">
      <w:pPr>
        <w:pStyle w:val="Heading2"/>
      </w:pPr>
      <w:bookmarkStart w:id="35" w:name="_Toc156820520"/>
      <w:bookmarkStart w:id="36" w:name="_Toc165295262"/>
      <w:bookmarkStart w:id="37" w:name="_Toc167965763"/>
      <w:r w:rsidRPr="00ED2D62">
        <w:t>Performance and Risk Management</w:t>
      </w:r>
      <w:bookmarkEnd w:id="35"/>
      <w:bookmarkEnd w:id="36"/>
      <w:bookmarkEnd w:id="37"/>
    </w:p>
    <w:p w14:paraId="6781BE0F" w14:textId="77777777" w:rsidR="004D3339" w:rsidRDefault="004D3339" w:rsidP="004D3339">
      <w:pPr>
        <w:autoSpaceDE w:val="0"/>
        <w:autoSpaceDN w:val="0"/>
        <w:adjustRightInd w:val="0"/>
        <w:spacing w:after="40"/>
        <w:rPr>
          <w:b/>
          <w:bCs/>
        </w:rPr>
      </w:pPr>
    </w:p>
    <w:p w14:paraId="18EB19E6" w14:textId="5A3CBF3F" w:rsidR="004D3339" w:rsidRPr="00A02621" w:rsidRDefault="004D3339" w:rsidP="004D3339">
      <w:pPr>
        <w:autoSpaceDE w:val="0"/>
        <w:autoSpaceDN w:val="0"/>
        <w:adjustRightInd w:val="0"/>
        <w:spacing w:after="40"/>
        <w:rPr>
          <w:b/>
          <w:bCs/>
        </w:rPr>
      </w:pPr>
      <w:r w:rsidRPr="00A02621">
        <w:rPr>
          <w:b/>
          <w:bCs/>
        </w:rPr>
        <w:t>Business Plan</w:t>
      </w:r>
    </w:p>
    <w:p w14:paraId="0E4D449B" w14:textId="77777777" w:rsidR="004D3339" w:rsidRPr="00761DDE" w:rsidRDefault="004D3339" w:rsidP="004D3339">
      <w:pPr>
        <w:autoSpaceDE w:val="0"/>
        <w:autoSpaceDN w:val="0"/>
        <w:adjustRightInd w:val="0"/>
        <w:rPr>
          <w:rFonts w:cs="Arial"/>
          <w:bCs/>
        </w:rPr>
      </w:pPr>
      <w:r w:rsidRPr="00761DDE">
        <w:rPr>
          <w:rFonts w:cs="Arial"/>
          <w:bCs/>
        </w:rPr>
        <w:t xml:space="preserve">The </w:t>
      </w:r>
      <w:r w:rsidRPr="00A02621">
        <w:rPr>
          <w:rFonts w:cs="Arial"/>
          <w:bCs/>
        </w:rPr>
        <w:t xml:space="preserve">Authority’s </w:t>
      </w:r>
      <w:r w:rsidRPr="00761DDE">
        <w:rPr>
          <w:rFonts w:cs="Arial"/>
          <w:bCs/>
        </w:rPr>
        <w:t xml:space="preserve">Business Plan sets </w:t>
      </w:r>
      <w:r w:rsidRPr="00A02621">
        <w:rPr>
          <w:rFonts w:cs="Arial"/>
          <w:bCs/>
        </w:rPr>
        <w:t xml:space="preserve">out </w:t>
      </w:r>
      <w:r>
        <w:rPr>
          <w:rFonts w:cs="Arial"/>
          <w:bCs/>
        </w:rPr>
        <w:t>the</w:t>
      </w:r>
      <w:r w:rsidRPr="00761DDE">
        <w:rPr>
          <w:rFonts w:cs="Arial"/>
          <w:bCs/>
        </w:rPr>
        <w:t xml:space="preserve"> </w:t>
      </w:r>
      <w:r w:rsidRPr="00A02621">
        <w:rPr>
          <w:rFonts w:cs="Arial"/>
          <w:bCs/>
        </w:rPr>
        <w:t xml:space="preserve">priorities, objectives and key actions </w:t>
      </w:r>
      <w:r w:rsidRPr="00761DDE">
        <w:rPr>
          <w:rFonts w:cs="Arial"/>
          <w:bCs/>
        </w:rPr>
        <w:t>for the next three years.</w:t>
      </w:r>
      <w:r w:rsidRPr="00A02621">
        <w:rPr>
          <w:rFonts w:cs="Arial"/>
          <w:bCs/>
        </w:rPr>
        <w:t xml:space="preserve"> The 2023-2026 Business Plan came into effect from 1 April 2023.</w:t>
      </w:r>
    </w:p>
    <w:p w14:paraId="454DB3B1" w14:textId="77777777" w:rsidR="004D3339" w:rsidRPr="00A02621" w:rsidRDefault="004D3339" w:rsidP="004D3339">
      <w:pPr>
        <w:autoSpaceDE w:val="0"/>
        <w:autoSpaceDN w:val="0"/>
        <w:adjustRightInd w:val="0"/>
        <w:rPr>
          <w:rFonts w:cs="Arial"/>
          <w:bCs/>
        </w:rPr>
      </w:pPr>
    </w:p>
    <w:p w14:paraId="50F36EC8" w14:textId="77777777" w:rsidR="004D3339" w:rsidRPr="00A02621" w:rsidRDefault="004D3339" w:rsidP="004D3339">
      <w:pPr>
        <w:autoSpaceDE w:val="0"/>
        <w:autoSpaceDN w:val="0"/>
        <w:adjustRightInd w:val="0"/>
        <w:rPr>
          <w:rFonts w:cs="Arial"/>
          <w:bCs/>
        </w:rPr>
      </w:pPr>
      <w:r>
        <w:rPr>
          <w:rFonts w:cs="Arial"/>
          <w:bCs/>
        </w:rPr>
        <w:t>T</w:t>
      </w:r>
      <w:r w:rsidRPr="00A02621">
        <w:rPr>
          <w:rFonts w:cs="Arial"/>
          <w:bCs/>
        </w:rPr>
        <w:t xml:space="preserve">he Business Plan </w:t>
      </w:r>
      <w:r>
        <w:rPr>
          <w:rFonts w:cs="Arial"/>
          <w:bCs/>
        </w:rPr>
        <w:t xml:space="preserve">is reviewed and updated </w:t>
      </w:r>
      <w:r w:rsidRPr="00A02621">
        <w:rPr>
          <w:rFonts w:cs="Arial"/>
          <w:bCs/>
        </w:rPr>
        <w:t>at the end of each year, as part of an annual rolling programme. This allows us to plan three years ahead, with the annual review to ensure we remain on course towards achieving the Vision and to take account of changing circumstances and financial constraints.</w:t>
      </w:r>
    </w:p>
    <w:p w14:paraId="25EDD490" w14:textId="77777777" w:rsidR="004D3339" w:rsidRPr="00A02621" w:rsidRDefault="004D3339" w:rsidP="004D3339">
      <w:pPr>
        <w:autoSpaceDE w:val="0"/>
        <w:autoSpaceDN w:val="0"/>
        <w:adjustRightInd w:val="0"/>
        <w:rPr>
          <w:rFonts w:cs="Arial"/>
          <w:bCs/>
        </w:rPr>
      </w:pPr>
    </w:p>
    <w:p w14:paraId="30004CFD" w14:textId="77777777" w:rsidR="004D3339" w:rsidRPr="00A02621" w:rsidRDefault="004D3339" w:rsidP="004D3339">
      <w:pPr>
        <w:autoSpaceDE w:val="0"/>
        <w:autoSpaceDN w:val="0"/>
        <w:adjustRightInd w:val="0"/>
        <w:spacing w:after="40"/>
        <w:rPr>
          <w:rFonts w:cs="Arial"/>
          <w:bCs/>
        </w:rPr>
      </w:pPr>
      <w:r w:rsidRPr="00A02621">
        <w:rPr>
          <w:rFonts w:cs="Arial"/>
          <w:bCs/>
        </w:rPr>
        <w:t xml:space="preserve">The key components of </w:t>
      </w:r>
      <w:r>
        <w:rPr>
          <w:rFonts w:cs="Arial"/>
          <w:bCs/>
        </w:rPr>
        <w:t>the</w:t>
      </w:r>
      <w:r w:rsidRPr="00A02621">
        <w:rPr>
          <w:rFonts w:cs="Arial"/>
          <w:bCs/>
        </w:rPr>
        <w:t xml:space="preserve"> Business Plan are:</w:t>
      </w:r>
    </w:p>
    <w:p w14:paraId="169653FD" w14:textId="77777777" w:rsidR="004D3339" w:rsidRPr="00A02621" w:rsidRDefault="004D3339" w:rsidP="004D3339">
      <w:pPr>
        <w:numPr>
          <w:ilvl w:val="0"/>
          <w:numId w:val="51"/>
        </w:numPr>
        <w:autoSpaceDE w:val="0"/>
        <w:autoSpaceDN w:val="0"/>
        <w:adjustRightInd w:val="0"/>
        <w:spacing w:after="40"/>
        <w:ind w:left="714" w:hanging="357"/>
        <w:rPr>
          <w:rFonts w:cs="Arial"/>
          <w:bCs/>
        </w:rPr>
      </w:pPr>
      <w:r w:rsidRPr="00A02621">
        <w:rPr>
          <w:rFonts w:cs="Arial"/>
          <w:bCs/>
        </w:rPr>
        <w:t>Organisational Strategy – sets out our priorities for the Lake District, our values and behaviours, and a vision for how we want to work as an Authority in 2030.</w:t>
      </w:r>
    </w:p>
    <w:p w14:paraId="2020CEBA" w14:textId="77777777" w:rsidR="004D3339" w:rsidRPr="00A02621" w:rsidRDefault="004D3339" w:rsidP="004D3339">
      <w:pPr>
        <w:numPr>
          <w:ilvl w:val="0"/>
          <w:numId w:val="51"/>
        </w:numPr>
        <w:autoSpaceDE w:val="0"/>
        <w:autoSpaceDN w:val="0"/>
        <w:adjustRightInd w:val="0"/>
        <w:spacing w:after="40"/>
        <w:ind w:left="714" w:hanging="357"/>
        <w:rPr>
          <w:rFonts w:cs="Arial"/>
          <w:bCs/>
        </w:rPr>
      </w:pPr>
      <w:r w:rsidRPr="00A02621">
        <w:rPr>
          <w:rFonts w:cs="Arial"/>
          <w:bCs/>
        </w:rPr>
        <w:t>Key actions to help deliver our priorities for the Lake District over the three years of the Business Plan. For each key action we show the milestones for the first year.</w:t>
      </w:r>
    </w:p>
    <w:p w14:paraId="25A789CB" w14:textId="77777777" w:rsidR="004D3339" w:rsidRPr="00A02621" w:rsidRDefault="004D3339" w:rsidP="004D3339">
      <w:pPr>
        <w:numPr>
          <w:ilvl w:val="0"/>
          <w:numId w:val="51"/>
        </w:numPr>
        <w:autoSpaceDE w:val="0"/>
        <w:autoSpaceDN w:val="0"/>
        <w:adjustRightInd w:val="0"/>
        <w:spacing w:after="40"/>
        <w:ind w:left="714" w:hanging="357"/>
        <w:rPr>
          <w:rFonts w:cs="Arial"/>
          <w:bCs/>
        </w:rPr>
      </w:pPr>
      <w:r w:rsidRPr="00A02621">
        <w:rPr>
          <w:rFonts w:cs="Arial"/>
          <w:bCs/>
        </w:rPr>
        <w:lastRenderedPageBreak/>
        <w:t>Service objectives – a broad description of the key objectives for each service area.</w:t>
      </w:r>
    </w:p>
    <w:p w14:paraId="275DEA85" w14:textId="77777777" w:rsidR="004D3339" w:rsidRPr="00A02621" w:rsidRDefault="004D3339" w:rsidP="004D3339">
      <w:pPr>
        <w:numPr>
          <w:ilvl w:val="0"/>
          <w:numId w:val="51"/>
        </w:numPr>
        <w:autoSpaceDE w:val="0"/>
        <w:autoSpaceDN w:val="0"/>
        <w:adjustRightInd w:val="0"/>
        <w:spacing w:after="40"/>
        <w:ind w:left="714" w:hanging="357"/>
        <w:rPr>
          <w:rFonts w:cs="Arial"/>
          <w:bCs/>
        </w:rPr>
      </w:pPr>
      <w:r w:rsidRPr="00A02621">
        <w:rPr>
          <w:rFonts w:cs="Arial"/>
          <w:bCs/>
        </w:rPr>
        <w:t>Additional key actions for services – further areas of significant work to be undertaken during the first year of the Business Plan to help deliver service objectives.</w:t>
      </w:r>
    </w:p>
    <w:p w14:paraId="58FAA584" w14:textId="77777777" w:rsidR="004D3339" w:rsidRPr="00A02621" w:rsidRDefault="004D3339" w:rsidP="004D3339">
      <w:pPr>
        <w:numPr>
          <w:ilvl w:val="0"/>
          <w:numId w:val="51"/>
        </w:numPr>
        <w:autoSpaceDE w:val="0"/>
        <w:autoSpaceDN w:val="0"/>
        <w:adjustRightInd w:val="0"/>
        <w:spacing w:after="40"/>
        <w:ind w:left="714" w:hanging="357"/>
        <w:rPr>
          <w:rFonts w:cs="Arial"/>
          <w:bCs/>
        </w:rPr>
      </w:pPr>
      <w:r w:rsidRPr="00A02621">
        <w:rPr>
          <w:rFonts w:cs="Arial"/>
          <w:bCs/>
        </w:rPr>
        <w:t>Risks – issues which could be detrimental to the delivery of the Business Plan (Business Plan risks) or to the Authority more widely (corporate risks).</w:t>
      </w:r>
    </w:p>
    <w:p w14:paraId="22AC9172" w14:textId="77777777" w:rsidR="004D3339" w:rsidRPr="00A02621" w:rsidRDefault="004D3339" w:rsidP="004D3339">
      <w:pPr>
        <w:autoSpaceDE w:val="0"/>
        <w:autoSpaceDN w:val="0"/>
        <w:adjustRightInd w:val="0"/>
        <w:rPr>
          <w:rFonts w:cs="Arial"/>
          <w:bCs/>
        </w:rPr>
      </w:pPr>
    </w:p>
    <w:p w14:paraId="515489BF" w14:textId="77777777" w:rsidR="004D3339" w:rsidRPr="00A02621" w:rsidRDefault="004D3339" w:rsidP="004D3339">
      <w:pPr>
        <w:autoSpaceDE w:val="0"/>
        <w:autoSpaceDN w:val="0"/>
        <w:adjustRightInd w:val="0"/>
      </w:pPr>
      <w:r w:rsidRPr="00A02621">
        <w:rPr>
          <w:rFonts w:cs="Arial"/>
          <w:bCs/>
        </w:rPr>
        <w:t>We no longer include performance indicators in our Business Plan. Instead, we have a much broader suite of key performance indicators which are monitored at service level.</w:t>
      </w:r>
    </w:p>
    <w:p w14:paraId="33353B3B" w14:textId="77777777" w:rsidR="004D3339" w:rsidRPr="00A02621" w:rsidRDefault="004D3339" w:rsidP="004D3339">
      <w:pPr>
        <w:autoSpaceDE w:val="0"/>
        <w:autoSpaceDN w:val="0"/>
        <w:adjustRightInd w:val="0"/>
        <w:rPr>
          <w:rFonts w:cs="Arial"/>
          <w:bCs/>
        </w:rPr>
      </w:pPr>
    </w:p>
    <w:p w14:paraId="1C2E0DEB" w14:textId="77777777" w:rsidR="004D3339" w:rsidRPr="00A02621" w:rsidRDefault="004D3339" w:rsidP="004D3339">
      <w:pPr>
        <w:autoSpaceDE w:val="0"/>
        <w:autoSpaceDN w:val="0"/>
        <w:adjustRightInd w:val="0"/>
        <w:rPr>
          <w:rFonts w:cs="Arial"/>
          <w:bCs/>
        </w:rPr>
      </w:pPr>
      <w:r w:rsidRPr="00A02621">
        <w:rPr>
          <w:rFonts w:cs="Arial"/>
          <w:bCs/>
        </w:rPr>
        <w:t>To support the delivery of the Business Plan, Heads of Service produce annual Service Plans which show the work that staff will undertake to deliver both the Business Plan actions and other service work which is not detailed in the Business Plan.</w:t>
      </w:r>
      <w:r>
        <w:rPr>
          <w:rFonts w:cs="Arial"/>
          <w:bCs/>
        </w:rPr>
        <w:t xml:space="preserve"> </w:t>
      </w:r>
      <w:r w:rsidRPr="00A02621">
        <w:rPr>
          <w:rFonts w:cs="Arial"/>
          <w:bCs/>
        </w:rPr>
        <w:t xml:space="preserve">To ensure that staff have the capacity to deliver </w:t>
      </w:r>
      <w:r>
        <w:rPr>
          <w:rFonts w:cs="Arial"/>
          <w:bCs/>
        </w:rPr>
        <w:t xml:space="preserve">our corporate plans, appropriate time </w:t>
      </w:r>
      <w:r w:rsidRPr="00A02621">
        <w:rPr>
          <w:rFonts w:cs="Arial"/>
          <w:bCs/>
        </w:rPr>
        <w:t xml:space="preserve">is set aside for them </w:t>
      </w:r>
      <w:r>
        <w:rPr>
          <w:rFonts w:cs="Arial"/>
          <w:bCs/>
        </w:rPr>
        <w:t xml:space="preserve">in their Service Plans </w:t>
      </w:r>
      <w:r w:rsidRPr="00A02621">
        <w:rPr>
          <w:rFonts w:cs="Arial"/>
          <w:bCs/>
        </w:rPr>
        <w:t xml:space="preserve">to engage in </w:t>
      </w:r>
      <w:r>
        <w:rPr>
          <w:rFonts w:cs="Arial"/>
          <w:bCs/>
        </w:rPr>
        <w:t xml:space="preserve">other essential </w:t>
      </w:r>
      <w:r w:rsidRPr="00A02621">
        <w:rPr>
          <w:rFonts w:cs="Arial"/>
          <w:bCs/>
        </w:rPr>
        <w:t xml:space="preserve">day-to-day activities </w:t>
      </w:r>
      <w:r>
        <w:rPr>
          <w:rFonts w:cs="Arial"/>
          <w:bCs/>
        </w:rPr>
        <w:t xml:space="preserve">and </w:t>
      </w:r>
      <w:r w:rsidRPr="00A02621">
        <w:rPr>
          <w:rFonts w:cs="Arial"/>
          <w:bCs/>
        </w:rPr>
        <w:t>to deliver any further work which might arise during the year.</w:t>
      </w:r>
    </w:p>
    <w:p w14:paraId="2DD8AECA" w14:textId="77777777" w:rsidR="004D3339" w:rsidRPr="00A02621" w:rsidRDefault="004D3339" w:rsidP="004D3339">
      <w:pPr>
        <w:autoSpaceDE w:val="0"/>
        <w:autoSpaceDN w:val="0"/>
        <w:adjustRightInd w:val="0"/>
        <w:rPr>
          <w:rFonts w:cs="Arial"/>
          <w:bCs/>
        </w:rPr>
      </w:pPr>
    </w:p>
    <w:p w14:paraId="6CB63A9F" w14:textId="77777777" w:rsidR="004D3339" w:rsidRPr="00A02621" w:rsidRDefault="004D3339" w:rsidP="004D3339">
      <w:pPr>
        <w:autoSpaceDE w:val="0"/>
        <w:autoSpaceDN w:val="0"/>
        <w:adjustRightInd w:val="0"/>
        <w:spacing w:after="40"/>
        <w:rPr>
          <w:b/>
          <w:bCs/>
        </w:rPr>
      </w:pPr>
      <w:r w:rsidRPr="00A02621">
        <w:rPr>
          <w:b/>
          <w:bCs/>
        </w:rPr>
        <w:t>Monitoring Performance</w:t>
      </w:r>
    </w:p>
    <w:p w14:paraId="25F3CB4B" w14:textId="77777777" w:rsidR="004D3339" w:rsidRPr="00A02621" w:rsidRDefault="004D3339" w:rsidP="004D3339">
      <w:pPr>
        <w:autoSpaceDE w:val="0"/>
        <w:autoSpaceDN w:val="0"/>
        <w:adjustRightInd w:val="0"/>
        <w:rPr>
          <w:rFonts w:cs="Arial"/>
          <w:bCs/>
        </w:rPr>
      </w:pPr>
      <w:r w:rsidRPr="00A02621">
        <w:rPr>
          <w:rFonts w:cs="Arial"/>
          <w:bCs/>
        </w:rPr>
        <w:t xml:space="preserve">Progress with delivering our Business Plan, including the management of key risks, is </w:t>
      </w:r>
      <w:r>
        <w:rPr>
          <w:rFonts w:cs="Arial"/>
          <w:bCs/>
        </w:rPr>
        <w:t xml:space="preserve">informally </w:t>
      </w:r>
      <w:r w:rsidRPr="00A02621">
        <w:rPr>
          <w:rFonts w:cs="Arial"/>
          <w:bCs/>
        </w:rPr>
        <w:t xml:space="preserve">reviewed by the Strategic Leadership Team each month. A </w:t>
      </w:r>
      <w:r>
        <w:rPr>
          <w:rFonts w:cs="Arial"/>
          <w:bCs/>
        </w:rPr>
        <w:t xml:space="preserve">formal </w:t>
      </w:r>
      <w:r w:rsidRPr="00A02621">
        <w:rPr>
          <w:rFonts w:cs="Arial"/>
          <w:bCs/>
        </w:rPr>
        <w:t>Performance and Risk Monitoring Report is presented to Executive Board and to members at Resources Committee at the end of each quarter. These quarterly monitoring reports are available to view on our website.</w:t>
      </w:r>
    </w:p>
    <w:p w14:paraId="14CAB485" w14:textId="77777777" w:rsidR="004D3339" w:rsidRPr="00A02621" w:rsidRDefault="004D3339" w:rsidP="004D3339">
      <w:pPr>
        <w:autoSpaceDE w:val="0"/>
        <w:autoSpaceDN w:val="0"/>
        <w:adjustRightInd w:val="0"/>
        <w:rPr>
          <w:rFonts w:cs="Arial"/>
          <w:bCs/>
        </w:rPr>
      </w:pPr>
    </w:p>
    <w:p w14:paraId="3F7C159A" w14:textId="77777777" w:rsidR="004D3339" w:rsidRPr="00A02621" w:rsidRDefault="004D3339" w:rsidP="004D3339">
      <w:pPr>
        <w:autoSpaceDE w:val="0"/>
        <w:autoSpaceDN w:val="0"/>
        <w:adjustRightInd w:val="0"/>
        <w:spacing w:after="40"/>
        <w:rPr>
          <w:rFonts w:cs="Arial"/>
          <w:bCs/>
        </w:rPr>
      </w:pPr>
      <w:r w:rsidRPr="00A02621">
        <w:rPr>
          <w:rFonts w:cs="Arial"/>
          <w:bCs/>
        </w:rPr>
        <w:t>The Performance and Risk Monitoring Reports include updates on:</w:t>
      </w:r>
    </w:p>
    <w:p w14:paraId="16559322" w14:textId="77777777" w:rsidR="004D3339" w:rsidRPr="00A02621" w:rsidRDefault="004D3339" w:rsidP="004D3339">
      <w:pPr>
        <w:numPr>
          <w:ilvl w:val="0"/>
          <w:numId w:val="51"/>
        </w:numPr>
        <w:autoSpaceDE w:val="0"/>
        <w:autoSpaceDN w:val="0"/>
        <w:adjustRightInd w:val="0"/>
        <w:spacing w:after="40"/>
        <w:ind w:left="714" w:hanging="357"/>
        <w:rPr>
          <w:rFonts w:cs="Arial"/>
          <w:bCs/>
        </w:rPr>
      </w:pPr>
      <w:r w:rsidRPr="00A02621">
        <w:rPr>
          <w:rFonts w:cs="Arial"/>
          <w:bCs/>
        </w:rPr>
        <w:t>Delivery of Business Plan actions</w:t>
      </w:r>
    </w:p>
    <w:p w14:paraId="6BFA3F30" w14:textId="77777777" w:rsidR="004D3339" w:rsidRPr="00A02621" w:rsidRDefault="004D3339" w:rsidP="004D3339">
      <w:pPr>
        <w:numPr>
          <w:ilvl w:val="0"/>
          <w:numId w:val="51"/>
        </w:numPr>
        <w:autoSpaceDE w:val="0"/>
        <w:autoSpaceDN w:val="0"/>
        <w:adjustRightInd w:val="0"/>
        <w:spacing w:after="40"/>
        <w:ind w:left="714" w:hanging="357"/>
        <w:rPr>
          <w:rFonts w:cs="Arial"/>
          <w:bCs/>
        </w:rPr>
      </w:pPr>
      <w:r w:rsidRPr="00A02621">
        <w:rPr>
          <w:rFonts w:cs="Arial"/>
          <w:bCs/>
        </w:rPr>
        <w:t>Management of key risks</w:t>
      </w:r>
    </w:p>
    <w:p w14:paraId="5C9E1C26" w14:textId="77777777" w:rsidR="004D3339" w:rsidRPr="004D3339" w:rsidRDefault="004D3339" w:rsidP="00301881">
      <w:pPr>
        <w:numPr>
          <w:ilvl w:val="0"/>
          <w:numId w:val="51"/>
        </w:numPr>
        <w:autoSpaceDE w:val="0"/>
        <w:autoSpaceDN w:val="0"/>
        <w:adjustRightInd w:val="0"/>
        <w:spacing w:after="40"/>
        <w:ind w:left="714" w:hanging="357"/>
        <w:rPr>
          <w:b/>
          <w:bCs/>
        </w:rPr>
      </w:pPr>
      <w:r w:rsidRPr="004D3339">
        <w:rPr>
          <w:rFonts w:cs="Arial"/>
          <w:bCs/>
        </w:rPr>
        <w:t>Overall service performance – this is based on each Head of Service’s assessment of Service Plan delivery, performance against key performance indicator targets, management of service risks and budgetary position.</w:t>
      </w:r>
    </w:p>
    <w:p w14:paraId="0AAFAB75" w14:textId="77777777" w:rsidR="004D3339" w:rsidRDefault="004D3339" w:rsidP="004D3339">
      <w:pPr>
        <w:autoSpaceDE w:val="0"/>
        <w:autoSpaceDN w:val="0"/>
        <w:adjustRightInd w:val="0"/>
        <w:spacing w:after="40"/>
        <w:ind w:left="357"/>
        <w:rPr>
          <w:b/>
          <w:bCs/>
        </w:rPr>
      </w:pPr>
    </w:p>
    <w:p w14:paraId="5EB46B24" w14:textId="38AAC761" w:rsidR="004D3339" w:rsidRPr="004D3339" w:rsidRDefault="004D3339" w:rsidP="004D3339">
      <w:pPr>
        <w:autoSpaceDE w:val="0"/>
        <w:autoSpaceDN w:val="0"/>
        <w:adjustRightInd w:val="0"/>
        <w:spacing w:after="40"/>
        <w:ind w:left="357"/>
        <w:rPr>
          <w:b/>
          <w:bCs/>
        </w:rPr>
      </w:pPr>
      <w:r w:rsidRPr="004D3339">
        <w:rPr>
          <w:b/>
          <w:bCs/>
        </w:rPr>
        <w:t>Performance and Risk Management in 2023/24 – key points</w:t>
      </w:r>
    </w:p>
    <w:p w14:paraId="4A7F337F" w14:textId="77777777" w:rsidR="004D3339" w:rsidRPr="00A02621" w:rsidRDefault="004D3339" w:rsidP="004D3339">
      <w:pPr>
        <w:autoSpaceDE w:val="0"/>
        <w:autoSpaceDN w:val="0"/>
        <w:adjustRightInd w:val="0"/>
      </w:pPr>
    </w:p>
    <w:p w14:paraId="0CE76CCD" w14:textId="77777777" w:rsidR="004D3339" w:rsidRDefault="004D3339" w:rsidP="004D3339">
      <w:pPr>
        <w:autoSpaceDE w:val="0"/>
        <w:autoSpaceDN w:val="0"/>
        <w:adjustRightInd w:val="0"/>
        <w:spacing w:after="40"/>
        <w:ind w:firstLine="357"/>
        <w:rPr>
          <w:b/>
          <w:bCs/>
        </w:rPr>
      </w:pPr>
      <w:r w:rsidRPr="00A02621">
        <w:rPr>
          <w:b/>
          <w:bCs/>
        </w:rPr>
        <w:t>Delivery of Business Plan actions</w:t>
      </w:r>
    </w:p>
    <w:p w14:paraId="713A5EC7" w14:textId="77777777" w:rsidR="004D3339" w:rsidRPr="00A02621" w:rsidRDefault="004D3339" w:rsidP="004D3339">
      <w:pPr>
        <w:autoSpaceDE w:val="0"/>
        <w:autoSpaceDN w:val="0"/>
        <w:adjustRightInd w:val="0"/>
        <w:spacing w:after="40"/>
        <w:ind w:firstLine="357"/>
        <w:rPr>
          <w:b/>
          <w:bCs/>
        </w:rPr>
      </w:pPr>
    </w:p>
    <w:p w14:paraId="2545A9E6" w14:textId="77777777" w:rsidR="004D3339" w:rsidRPr="001F5463" w:rsidRDefault="004D3339" w:rsidP="004D3339">
      <w:pPr>
        <w:numPr>
          <w:ilvl w:val="0"/>
          <w:numId w:val="51"/>
        </w:numPr>
        <w:autoSpaceDE w:val="0"/>
        <w:autoSpaceDN w:val="0"/>
        <w:adjustRightInd w:val="0"/>
        <w:spacing w:after="40"/>
        <w:ind w:left="714" w:hanging="357"/>
        <w:rPr>
          <w:rFonts w:cs="Arial"/>
          <w:bCs/>
        </w:rPr>
      </w:pPr>
      <w:r w:rsidRPr="001F5463">
        <w:rPr>
          <w:rFonts w:cs="Arial"/>
          <w:bCs/>
        </w:rPr>
        <w:t>The 2023-2026 Business Plan detailed 17 key actions to help deliver our priorities for the Lake District. Fourteen actions (82 per cent) had a green / ‘complete’ status at the year end, as the planned work for 2023/24 had been substantially delivered.</w:t>
      </w:r>
    </w:p>
    <w:p w14:paraId="7C93A395" w14:textId="77777777" w:rsidR="004D3339" w:rsidRPr="001F5463" w:rsidRDefault="004D3339" w:rsidP="004D3339">
      <w:pPr>
        <w:numPr>
          <w:ilvl w:val="0"/>
          <w:numId w:val="51"/>
        </w:numPr>
        <w:autoSpaceDE w:val="0"/>
        <w:autoSpaceDN w:val="0"/>
        <w:adjustRightInd w:val="0"/>
        <w:spacing w:after="40"/>
        <w:ind w:left="714" w:hanging="357"/>
        <w:rPr>
          <w:rFonts w:cs="Arial"/>
          <w:bCs/>
        </w:rPr>
      </w:pPr>
      <w:r w:rsidRPr="001F5463">
        <w:rPr>
          <w:rFonts w:cs="Arial"/>
          <w:bCs/>
        </w:rPr>
        <w:t xml:space="preserve">The other three actions had a red / ‘not complete’ status. The elements of work which were not completed </w:t>
      </w:r>
      <w:r>
        <w:rPr>
          <w:rFonts w:cs="Arial"/>
          <w:bCs/>
        </w:rPr>
        <w:t xml:space="preserve">for these actions </w:t>
      </w:r>
      <w:r w:rsidRPr="001F5463">
        <w:rPr>
          <w:rFonts w:cs="Arial"/>
          <w:bCs/>
        </w:rPr>
        <w:t>were all rolled forwards into 2024/25.</w:t>
      </w:r>
    </w:p>
    <w:p w14:paraId="46F792D3" w14:textId="77777777" w:rsidR="004D3339" w:rsidRPr="001F5463" w:rsidRDefault="004D3339" w:rsidP="004D3339">
      <w:pPr>
        <w:numPr>
          <w:ilvl w:val="0"/>
          <w:numId w:val="51"/>
        </w:numPr>
        <w:autoSpaceDE w:val="0"/>
        <w:autoSpaceDN w:val="0"/>
        <w:adjustRightInd w:val="0"/>
        <w:spacing w:after="40"/>
        <w:ind w:left="714" w:hanging="357"/>
        <w:rPr>
          <w:rFonts w:cs="Arial"/>
          <w:bCs/>
        </w:rPr>
      </w:pPr>
      <w:r w:rsidRPr="001F5463">
        <w:rPr>
          <w:rFonts w:cs="Arial"/>
          <w:bCs/>
        </w:rPr>
        <w:t>The Business Plan also showed 16 key actions to help deliver service objectives. Fifteen of these actions (94 per cent) had a green / ‘complete’ status at the year end.</w:t>
      </w:r>
    </w:p>
    <w:p w14:paraId="22C880B2" w14:textId="77777777" w:rsidR="004D3339" w:rsidRDefault="004D3339" w:rsidP="004D3339">
      <w:pPr>
        <w:numPr>
          <w:ilvl w:val="0"/>
          <w:numId w:val="51"/>
        </w:numPr>
        <w:autoSpaceDE w:val="0"/>
        <w:autoSpaceDN w:val="0"/>
        <w:adjustRightInd w:val="0"/>
        <w:spacing w:after="40"/>
        <w:ind w:left="714" w:hanging="357"/>
        <w:rPr>
          <w:rFonts w:cs="Arial"/>
          <w:bCs/>
        </w:rPr>
      </w:pPr>
      <w:r w:rsidRPr="001F5463">
        <w:rPr>
          <w:rFonts w:cs="Arial"/>
          <w:bCs/>
        </w:rPr>
        <w:t>One action had a red / ‘not complete’ status, with the outstanding work now due to be completed in 2024/25.</w:t>
      </w:r>
    </w:p>
    <w:p w14:paraId="01921008" w14:textId="77777777" w:rsidR="00757709" w:rsidRDefault="00757709" w:rsidP="00757709">
      <w:pPr>
        <w:autoSpaceDE w:val="0"/>
        <w:autoSpaceDN w:val="0"/>
        <w:adjustRightInd w:val="0"/>
        <w:spacing w:after="40"/>
        <w:rPr>
          <w:rFonts w:cs="Arial"/>
          <w:bCs/>
        </w:rPr>
      </w:pPr>
    </w:p>
    <w:p w14:paraId="00B3A050" w14:textId="77777777" w:rsidR="00757709" w:rsidRDefault="00757709" w:rsidP="00757709">
      <w:pPr>
        <w:autoSpaceDE w:val="0"/>
        <w:autoSpaceDN w:val="0"/>
        <w:adjustRightInd w:val="0"/>
        <w:spacing w:after="40"/>
        <w:rPr>
          <w:rFonts w:cs="Arial"/>
          <w:bCs/>
        </w:rPr>
      </w:pPr>
    </w:p>
    <w:p w14:paraId="2839A61C" w14:textId="77777777" w:rsidR="00757709" w:rsidRDefault="00757709" w:rsidP="00757709">
      <w:pPr>
        <w:autoSpaceDE w:val="0"/>
        <w:autoSpaceDN w:val="0"/>
        <w:adjustRightInd w:val="0"/>
        <w:spacing w:after="40"/>
        <w:rPr>
          <w:rFonts w:cs="Arial"/>
          <w:bCs/>
        </w:rPr>
      </w:pPr>
    </w:p>
    <w:p w14:paraId="726CABA5" w14:textId="77777777" w:rsidR="00757709" w:rsidRDefault="00757709" w:rsidP="00757709">
      <w:pPr>
        <w:autoSpaceDE w:val="0"/>
        <w:autoSpaceDN w:val="0"/>
        <w:adjustRightInd w:val="0"/>
        <w:spacing w:after="40"/>
        <w:rPr>
          <w:rFonts w:cs="Arial"/>
          <w:bCs/>
        </w:rPr>
      </w:pPr>
    </w:p>
    <w:p w14:paraId="338A8517" w14:textId="77777777" w:rsidR="00757709" w:rsidRDefault="00757709" w:rsidP="00757709">
      <w:pPr>
        <w:autoSpaceDE w:val="0"/>
        <w:autoSpaceDN w:val="0"/>
        <w:adjustRightInd w:val="0"/>
        <w:spacing w:after="40"/>
        <w:rPr>
          <w:rFonts w:cs="Arial"/>
          <w:bCs/>
        </w:rPr>
      </w:pPr>
    </w:p>
    <w:p w14:paraId="4FC0156B" w14:textId="77777777" w:rsidR="00757709" w:rsidRDefault="00757709" w:rsidP="00757709">
      <w:pPr>
        <w:autoSpaceDE w:val="0"/>
        <w:autoSpaceDN w:val="0"/>
        <w:adjustRightInd w:val="0"/>
        <w:spacing w:after="40"/>
        <w:rPr>
          <w:rFonts w:cs="Arial"/>
          <w:bCs/>
        </w:rPr>
      </w:pPr>
    </w:p>
    <w:p w14:paraId="54F420C4" w14:textId="77777777" w:rsidR="00757709" w:rsidRPr="001F5463" w:rsidRDefault="00757709" w:rsidP="00757709">
      <w:pPr>
        <w:autoSpaceDE w:val="0"/>
        <w:autoSpaceDN w:val="0"/>
        <w:adjustRightInd w:val="0"/>
        <w:spacing w:after="40"/>
        <w:rPr>
          <w:rFonts w:cs="Arial"/>
          <w:bCs/>
        </w:rPr>
      </w:pPr>
    </w:p>
    <w:p w14:paraId="00FDF08E" w14:textId="77777777" w:rsidR="004D3339" w:rsidRPr="001F5463" w:rsidRDefault="004D3339" w:rsidP="00757709">
      <w:pPr>
        <w:autoSpaceDE w:val="0"/>
        <w:autoSpaceDN w:val="0"/>
        <w:adjustRightInd w:val="0"/>
        <w:spacing w:after="40"/>
        <w:rPr>
          <w:rFonts w:cs="Arial"/>
          <w:bCs/>
        </w:rPr>
      </w:pPr>
      <w:r w:rsidRPr="001F5463">
        <w:rPr>
          <w:rFonts w:cs="Arial"/>
          <w:bCs/>
        </w:rPr>
        <w:lastRenderedPageBreak/>
        <w:t>A summary of the status of Business Plan actions at the end of 2023/24 and 2022/23 is shown in the table below:</w:t>
      </w:r>
    </w:p>
    <w:p w14:paraId="29021A6E" w14:textId="77777777" w:rsidR="004D3339" w:rsidRPr="003E6BBE" w:rsidRDefault="004D3339" w:rsidP="004D3339">
      <w:pPr>
        <w:autoSpaceDE w:val="0"/>
        <w:autoSpaceDN w:val="0"/>
        <w:adjustRightInd w:val="0"/>
        <w:spacing w:after="40"/>
        <w:ind w:left="357"/>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1127"/>
        <w:gridCol w:w="1110"/>
        <w:gridCol w:w="1110"/>
        <w:gridCol w:w="1127"/>
        <w:gridCol w:w="1110"/>
        <w:gridCol w:w="1078"/>
      </w:tblGrid>
      <w:tr w:rsidR="004D3339" w:rsidRPr="0051370B" w14:paraId="442C1125" w14:textId="77777777" w:rsidTr="00F0374C">
        <w:tc>
          <w:tcPr>
            <w:tcW w:w="2551" w:type="dxa"/>
            <w:tcBorders>
              <w:top w:val="nil"/>
              <w:left w:val="nil"/>
              <w:bottom w:val="nil"/>
              <w:right w:val="single" w:sz="12" w:space="0" w:color="auto"/>
            </w:tcBorders>
            <w:shd w:val="clear" w:color="auto" w:fill="auto"/>
          </w:tcPr>
          <w:p w14:paraId="50BCB332" w14:textId="77777777" w:rsidR="004D3339" w:rsidRPr="0051370B" w:rsidRDefault="004D3339" w:rsidP="00F0374C">
            <w:pPr>
              <w:autoSpaceDE w:val="0"/>
              <w:autoSpaceDN w:val="0"/>
              <w:adjustRightInd w:val="0"/>
              <w:spacing w:before="40" w:after="40"/>
              <w:rPr>
                <w:b/>
              </w:rPr>
            </w:pPr>
          </w:p>
        </w:tc>
        <w:tc>
          <w:tcPr>
            <w:tcW w:w="3402" w:type="dxa"/>
            <w:gridSpan w:val="3"/>
            <w:tcBorders>
              <w:top w:val="single" w:sz="12" w:space="0" w:color="auto"/>
              <w:left w:val="single" w:sz="12" w:space="0" w:color="auto"/>
              <w:bottom w:val="single" w:sz="12" w:space="0" w:color="auto"/>
              <w:right w:val="single" w:sz="12" w:space="0" w:color="auto"/>
            </w:tcBorders>
            <w:shd w:val="clear" w:color="auto" w:fill="D9D9D9"/>
          </w:tcPr>
          <w:p w14:paraId="72336435" w14:textId="77777777" w:rsidR="004D3339" w:rsidRPr="0051370B" w:rsidRDefault="004D3339" w:rsidP="00F0374C">
            <w:pPr>
              <w:autoSpaceDE w:val="0"/>
              <w:autoSpaceDN w:val="0"/>
              <w:adjustRightInd w:val="0"/>
              <w:spacing w:before="40" w:after="40"/>
              <w:jc w:val="center"/>
              <w:rPr>
                <w:b/>
              </w:rPr>
            </w:pPr>
            <w:r w:rsidRPr="0051370B">
              <w:rPr>
                <w:b/>
              </w:rPr>
              <w:t>2022/23</w:t>
            </w:r>
          </w:p>
        </w:tc>
        <w:tc>
          <w:tcPr>
            <w:tcW w:w="3367" w:type="dxa"/>
            <w:gridSpan w:val="3"/>
            <w:tcBorders>
              <w:top w:val="single" w:sz="12" w:space="0" w:color="auto"/>
              <w:left w:val="single" w:sz="12" w:space="0" w:color="auto"/>
              <w:bottom w:val="single" w:sz="12" w:space="0" w:color="auto"/>
              <w:right w:val="single" w:sz="12" w:space="0" w:color="auto"/>
            </w:tcBorders>
            <w:shd w:val="clear" w:color="auto" w:fill="D9D9D9"/>
          </w:tcPr>
          <w:p w14:paraId="38984216" w14:textId="77777777" w:rsidR="004D3339" w:rsidRPr="0051370B" w:rsidRDefault="004D3339" w:rsidP="00F0374C">
            <w:pPr>
              <w:autoSpaceDE w:val="0"/>
              <w:autoSpaceDN w:val="0"/>
              <w:adjustRightInd w:val="0"/>
              <w:spacing w:before="40" w:after="40"/>
              <w:jc w:val="center"/>
              <w:rPr>
                <w:b/>
              </w:rPr>
            </w:pPr>
            <w:r w:rsidRPr="0051370B">
              <w:rPr>
                <w:b/>
              </w:rPr>
              <w:t>2023/24</w:t>
            </w:r>
          </w:p>
        </w:tc>
      </w:tr>
      <w:tr w:rsidR="004D3339" w:rsidRPr="0051370B" w14:paraId="44B1A9F4" w14:textId="77777777" w:rsidTr="00F0374C">
        <w:trPr>
          <w:trHeight w:val="466"/>
        </w:trPr>
        <w:tc>
          <w:tcPr>
            <w:tcW w:w="2551" w:type="dxa"/>
            <w:tcBorders>
              <w:top w:val="nil"/>
              <w:left w:val="nil"/>
              <w:bottom w:val="single" w:sz="12" w:space="0" w:color="auto"/>
              <w:right w:val="single" w:sz="12" w:space="0" w:color="auto"/>
            </w:tcBorders>
            <w:shd w:val="clear" w:color="auto" w:fill="auto"/>
          </w:tcPr>
          <w:p w14:paraId="699A9965" w14:textId="77777777" w:rsidR="004D3339" w:rsidRDefault="004D3339" w:rsidP="00F0374C">
            <w:pPr>
              <w:autoSpaceDE w:val="0"/>
              <w:autoSpaceDN w:val="0"/>
              <w:adjustRightInd w:val="0"/>
              <w:spacing w:before="40" w:after="40"/>
              <w:rPr>
                <w:b/>
              </w:rPr>
            </w:pPr>
            <w:bookmarkStart w:id="38" w:name="_Hlk166497381"/>
          </w:p>
          <w:p w14:paraId="6AFBB98A" w14:textId="77777777" w:rsidR="004D3339" w:rsidRPr="0051370B" w:rsidRDefault="004D3339" w:rsidP="00F0374C">
            <w:pPr>
              <w:autoSpaceDE w:val="0"/>
              <w:autoSpaceDN w:val="0"/>
              <w:adjustRightInd w:val="0"/>
              <w:spacing w:before="40" w:after="40"/>
              <w:rPr>
                <w:b/>
              </w:rPr>
            </w:pPr>
          </w:p>
        </w:tc>
        <w:tc>
          <w:tcPr>
            <w:tcW w:w="1134" w:type="dxa"/>
            <w:tcBorders>
              <w:top w:val="single" w:sz="12" w:space="0" w:color="auto"/>
              <w:left w:val="single" w:sz="12" w:space="0" w:color="auto"/>
              <w:bottom w:val="single" w:sz="12" w:space="0" w:color="auto"/>
            </w:tcBorders>
            <w:shd w:val="clear" w:color="auto" w:fill="D9D9D9"/>
          </w:tcPr>
          <w:p w14:paraId="5609DB04" w14:textId="77777777" w:rsidR="004D3339" w:rsidRPr="0051370B" w:rsidRDefault="004D3339" w:rsidP="00F0374C">
            <w:pPr>
              <w:autoSpaceDE w:val="0"/>
              <w:autoSpaceDN w:val="0"/>
              <w:adjustRightInd w:val="0"/>
              <w:spacing w:before="40" w:after="40"/>
              <w:jc w:val="center"/>
              <w:rPr>
                <w:b/>
              </w:rPr>
            </w:pPr>
            <w:r w:rsidRPr="0051370B">
              <w:rPr>
                <w:b/>
              </w:rPr>
              <w:t>Total number</w:t>
            </w:r>
          </w:p>
        </w:tc>
        <w:tc>
          <w:tcPr>
            <w:tcW w:w="1134" w:type="dxa"/>
            <w:tcBorders>
              <w:top w:val="single" w:sz="12" w:space="0" w:color="auto"/>
              <w:bottom w:val="single" w:sz="12" w:space="0" w:color="auto"/>
            </w:tcBorders>
            <w:shd w:val="clear" w:color="auto" w:fill="D9D9D9"/>
          </w:tcPr>
          <w:p w14:paraId="53241A45" w14:textId="77777777" w:rsidR="004D3339" w:rsidRPr="0051370B" w:rsidRDefault="004D3339" w:rsidP="00F0374C">
            <w:pPr>
              <w:autoSpaceDE w:val="0"/>
              <w:autoSpaceDN w:val="0"/>
              <w:adjustRightInd w:val="0"/>
              <w:spacing w:before="40" w:after="40"/>
              <w:jc w:val="center"/>
              <w:rPr>
                <w:b/>
              </w:rPr>
            </w:pPr>
            <w:r w:rsidRPr="0051370B">
              <w:rPr>
                <w:b/>
              </w:rPr>
              <w:t>Green status</w:t>
            </w:r>
          </w:p>
        </w:tc>
        <w:tc>
          <w:tcPr>
            <w:tcW w:w="1134" w:type="dxa"/>
            <w:tcBorders>
              <w:top w:val="single" w:sz="12" w:space="0" w:color="auto"/>
              <w:bottom w:val="single" w:sz="12" w:space="0" w:color="auto"/>
              <w:right w:val="single" w:sz="12" w:space="0" w:color="auto"/>
            </w:tcBorders>
            <w:shd w:val="clear" w:color="auto" w:fill="D9D9D9"/>
          </w:tcPr>
          <w:p w14:paraId="2B109F89" w14:textId="77777777" w:rsidR="004D3339" w:rsidRPr="0051370B" w:rsidRDefault="004D3339" w:rsidP="00F0374C">
            <w:pPr>
              <w:autoSpaceDE w:val="0"/>
              <w:autoSpaceDN w:val="0"/>
              <w:adjustRightInd w:val="0"/>
              <w:spacing w:before="40"/>
              <w:jc w:val="center"/>
              <w:rPr>
                <w:b/>
              </w:rPr>
            </w:pPr>
            <w:r w:rsidRPr="0051370B">
              <w:rPr>
                <w:b/>
              </w:rPr>
              <w:t>Red</w:t>
            </w:r>
          </w:p>
          <w:p w14:paraId="37C515C6" w14:textId="77777777" w:rsidR="004D3339" w:rsidRPr="0051370B" w:rsidRDefault="004D3339" w:rsidP="00F0374C">
            <w:pPr>
              <w:autoSpaceDE w:val="0"/>
              <w:autoSpaceDN w:val="0"/>
              <w:adjustRightInd w:val="0"/>
              <w:spacing w:after="40"/>
              <w:jc w:val="center"/>
              <w:rPr>
                <w:b/>
              </w:rPr>
            </w:pPr>
            <w:r w:rsidRPr="0051370B">
              <w:rPr>
                <w:b/>
              </w:rPr>
              <w:t>status</w:t>
            </w:r>
          </w:p>
        </w:tc>
        <w:tc>
          <w:tcPr>
            <w:tcW w:w="1134" w:type="dxa"/>
            <w:tcBorders>
              <w:top w:val="single" w:sz="12" w:space="0" w:color="auto"/>
              <w:left w:val="single" w:sz="12" w:space="0" w:color="auto"/>
              <w:bottom w:val="single" w:sz="12" w:space="0" w:color="auto"/>
            </w:tcBorders>
            <w:shd w:val="clear" w:color="auto" w:fill="D9D9D9"/>
          </w:tcPr>
          <w:p w14:paraId="1EE11FF4" w14:textId="77777777" w:rsidR="004D3339" w:rsidRPr="0051370B" w:rsidRDefault="004D3339" w:rsidP="00F0374C">
            <w:pPr>
              <w:autoSpaceDE w:val="0"/>
              <w:autoSpaceDN w:val="0"/>
              <w:adjustRightInd w:val="0"/>
              <w:spacing w:before="40" w:after="40"/>
              <w:jc w:val="center"/>
              <w:rPr>
                <w:b/>
              </w:rPr>
            </w:pPr>
            <w:r w:rsidRPr="0051370B">
              <w:rPr>
                <w:b/>
              </w:rPr>
              <w:t>Total number</w:t>
            </w:r>
          </w:p>
        </w:tc>
        <w:tc>
          <w:tcPr>
            <w:tcW w:w="1134" w:type="dxa"/>
            <w:tcBorders>
              <w:top w:val="single" w:sz="12" w:space="0" w:color="auto"/>
              <w:bottom w:val="single" w:sz="12" w:space="0" w:color="auto"/>
            </w:tcBorders>
            <w:shd w:val="clear" w:color="auto" w:fill="D9D9D9"/>
          </w:tcPr>
          <w:p w14:paraId="3D939102" w14:textId="77777777" w:rsidR="004D3339" w:rsidRPr="0051370B" w:rsidRDefault="004D3339" w:rsidP="00F0374C">
            <w:pPr>
              <w:autoSpaceDE w:val="0"/>
              <w:autoSpaceDN w:val="0"/>
              <w:adjustRightInd w:val="0"/>
              <w:spacing w:before="40" w:after="40"/>
              <w:jc w:val="center"/>
              <w:rPr>
                <w:b/>
              </w:rPr>
            </w:pPr>
            <w:r w:rsidRPr="0051370B">
              <w:rPr>
                <w:b/>
              </w:rPr>
              <w:t>Green status</w:t>
            </w:r>
          </w:p>
        </w:tc>
        <w:tc>
          <w:tcPr>
            <w:tcW w:w="1099" w:type="dxa"/>
            <w:tcBorders>
              <w:top w:val="single" w:sz="12" w:space="0" w:color="auto"/>
              <w:bottom w:val="single" w:sz="12" w:space="0" w:color="auto"/>
              <w:right w:val="single" w:sz="12" w:space="0" w:color="auto"/>
            </w:tcBorders>
            <w:shd w:val="clear" w:color="auto" w:fill="D9D9D9"/>
          </w:tcPr>
          <w:p w14:paraId="612ECA7F" w14:textId="77777777" w:rsidR="004D3339" w:rsidRPr="0051370B" w:rsidRDefault="004D3339" w:rsidP="00F0374C">
            <w:pPr>
              <w:autoSpaceDE w:val="0"/>
              <w:autoSpaceDN w:val="0"/>
              <w:adjustRightInd w:val="0"/>
              <w:spacing w:before="40"/>
              <w:jc w:val="center"/>
              <w:rPr>
                <w:b/>
              </w:rPr>
            </w:pPr>
            <w:r w:rsidRPr="0051370B">
              <w:rPr>
                <w:b/>
              </w:rPr>
              <w:t>Red</w:t>
            </w:r>
          </w:p>
          <w:p w14:paraId="5B1B62FF" w14:textId="77777777" w:rsidR="004D3339" w:rsidRPr="0051370B" w:rsidRDefault="004D3339" w:rsidP="00F0374C">
            <w:pPr>
              <w:autoSpaceDE w:val="0"/>
              <w:autoSpaceDN w:val="0"/>
              <w:adjustRightInd w:val="0"/>
              <w:spacing w:after="40"/>
              <w:jc w:val="center"/>
              <w:rPr>
                <w:b/>
              </w:rPr>
            </w:pPr>
            <w:r w:rsidRPr="0051370B">
              <w:rPr>
                <w:b/>
              </w:rPr>
              <w:t>status</w:t>
            </w:r>
          </w:p>
        </w:tc>
      </w:tr>
      <w:tr w:rsidR="004D3339" w:rsidRPr="0051370B" w14:paraId="5D77D387" w14:textId="77777777" w:rsidTr="00F0374C">
        <w:tc>
          <w:tcPr>
            <w:tcW w:w="2551" w:type="dxa"/>
            <w:tcBorders>
              <w:top w:val="single" w:sz="12" w:space="0" w:color="auto"/>
              <w:left w:val="single" w:sz="12" w:space="0" w:color="auto"/>
              <w:right w:val="single" w:sz="12" w:space="0" w:color="auto"/>
            </w:tcBorders>
            <w:shd w:val="clear" w:color="auto" w:fill="D9D9D9"/>
          </w:tcPr>
          <w:p w14:paraId="6ED1BCE5" w14:textId="77777777" w:rsidR="004D3339" w:rsidRPr="0051370B" w:rsidRDefault="004D3339" w:rsidP="00F0374C">
            <w:pPr>
              <w:autoSpaceDE w:val="0"/>
              <w:autoSpaceDN w:val="0"/>
              <w:adjustRightInd w:val="0"/>
              <w:spacing w:before="40" w:after="40"/>
              <w:rPr>
                <w:b/>
              </w:rPr>
            </w:pPr>
            <w:r w:rsidRPr="0051370B">
              <w:rPr>
                <w:b/>
              </w:rPr>
              <w:t xml:space="preserve">Key actions to deliver </w:t>
            </w:r>
            <w:r>
              <w:rPr>
                <w:b/>
              </w:rPr>
              <w:t xml:space="preserve">our </w:t>
            </w:r>
            <w:r w:rsidRPr="0051370B">
              <w:rPr>
                <w:b/>
              </w:rPr>
              <w:t xml:space="preserve">priorities for </w:t>
            </w:r>
            <w:r>
              <w:rPr>
                <w:b/>
              </w:rPr>
              <w:t xml:space="preserve">the </w:t>
            </w:r>
            <w:r w:rsidRPr="0051370B">
              <w:rPr>
                <w:b/>
              </w:rPr>
              <w:t>Lake District</w:t>
            </w:r>
          </w:p>
        </w:tc>
        <w:tc>
          <w:tcPr>
            <w:tcW w:w="1134" w:type="dxa"/>
            <w:tcBorders>
              <w:top w:val="single" w:sz="12" w:space="0" w:color="auto"/>
              <w:left w:val="single" w:sz="12" w:space="0" w:color="auto"/>
            </w:tcBorders>
            <w:shd w:val="clear" w:color="auto" w:fill="auto"/>
          </w:tcPr>
          <w:p w14:paraId="7F48936D" w14:textId="77777777" w:rsidR="004D3339" w:rsidRPr="0051370B" w:rsidRDefault="004D3339" w:rsidP="00F0374C">
            <w:pPr>
              <w:autoSpaceDE w:val="0"/>
              <w:autoSpaceDN w:val="0"/>
              <w:adjustRightInd w:val="0"/>
              <w:spacing w:before="40" w:after="40"/>
              <w:jc w:val="center"/>
              <w:rPr>
                <w:b/>
              </w:rPr>
            </w:pPr>
            <w:r w:rsidRPr="0051370B">
              <w:rPr>
                <w:b/>
              </w:rPr>
              <w:t>19</w:t>
            </w:r>
          </w:p>
        </w:tc>
        <w:tc>
          <w:tcPr>
            <w:tcW w:w="1134" w:type="dxa"/>
            <w:tcBorders>
              <w:top w:val="single" w:sz="12" w:space="0" w:color="auto"/>
            </w:tcBorders>
            <w:shd w:val="clear" w:color="auto" w:fill="92D050"/>
          </w:tcPr>
          <w:p w14:paraId="1E4CAEB7" w14:textId="77777777" w:rsidR="004D3339" w:rsidRPr="0051370B" w:rsidRDefault="004D3339" w:rsidP="00F0374C">
            <w:pPr>
              <w:autoSpaceDE w:val="0"/>
              <w:autoSpaceDN w:val="0"/>
              <w:adjustRightInd w:val="0"/>
              <w:spacing w:before="40" w:after="40"/>
              <w:jc w:val="center"/>
              <w:rPr>
                <w:b/>
              </w:rPr>
            </w:pPr>
            <w:r w:rsidRPr="0051370B">
              <w:rPr>
                <w:b/>
              </w:rPr>
              <w:t>16</w:t>
            </w:r>
          </w:p>
        </w:tc>
        <w:tc>
          <w:tcPr>
            <w:tcW w:w="1134" w:type="dxa"/>
            <w:tcBorders>
              <w:top w:val="single" w:sz="12" w:space="0" w:color="auto"/>
              <w:right w:val="single" w:sz="12" w:space="0" w:color="auto"/>
            </w:tcBorders>
            <w:shd w:val="clear" w:color="auto" w:fill="FF0000"/>
          </w:tcPr>
          <w:p w14:paraId="7ED76E87" w14:textId="77777777" w:rsidR="004D3339" w:rsidRPr="0051370B" w:rsidRDefault="004D3339" w:rsidP="00F0374C">
            <w:pPr>
              <w:autoSpaceDE w:val="0"/>
              <w:autoSpaceDN w:val="0"/>
              <w:adjustRightInd w:val="0"/>
              <w:spacing w:before="40" w:after="40"/>
              <w:jc w:val="center"/>
              <w:rPr>
                <w:b/>
              </w:rPr>
            </w:pPr>
            <w:r w:rsidRPr="0051370B">
              <w:rPr>
                <w:b/>
              </w:rPr>
              <w:t>3</w:t>
            </w:r>
          </w:p>
        </w:tc>
        <w:tc>
          <w:tcPr>
            <w:tcW w:w="1134" w:type="dxa"/>
            <w:tcBorders>
              <w:top w:val="single" w:sz="12" w:space="0" w:color="auto"/>
              <w:left w:val="single" w:sz="12" w:space="0" w:color="auto"/>
            </w:tcBorders>
            <w:shd w:val="clear" w:color="auto" w:fill="auto"/>
          </w:tcPr>
          <w:p w14:paraId="29B83F42" w14:textId="77777777" w:rsidR="004D3339" w:rsidRPr="0051370B" w:rsidRDefault="004D3339" w:rsidP="00F0374C">
            <w:pPr>
              <w:autoSpaceDE w:val="0"/>
              <w:autoSpaceDN w:val="0"/>
              <w:adjustRightInd w:val="0"/>
              <w:spacing w:before="40" w:after="40"/>
              <w:jc w:val="center"/>
              <w:rPr>
                <w:b/>
              </w:rPr>
            </w:pPr>
            <w:r w:rsidRPr="0051370B">
              <w:rPr>
                <w:b/>
              </w:rPr>
              <w:t>17</w:t>
            </w:r>
          </w:p>
        </w:tc>
        <w:tc>
          <w:tcPr>
            <w:tcW w:w="1134" w:type="dxa"/>
            <w:tcBorders>
              <w:top w:val="single" w:sz="12" w:space="0" w:color="auto"/>
            </w:tcBorders>
            <w:shd w:val="clear" w:color="auto" w:fill="92D050"/>
          </w:tcPr>
          <w:p w14:paraId="1C5F9787" w14:textId="77777777" w:rsidR="004D3339" w:rsidRPr="0051370B" w:rsidRDefault="004D3339" w:rsidP="00F0374C">
            <w:pPr>
              <w:autoSpaceDE w:val="0"/>
              <w:autoSpaceDN w:val="0"/>
              <w:adjustRightInd w:val="0"/>
              <w:spacing w:before="40" w:after="40"/>
              <w:jc w:val="center"/>
              <w:rPr>
                <w:b/>
              </w:rPr>
            </w:pPr>
            <w:r w:rsidRPr="0051370B">
              <w:rPr>
                <w:b/>
              </w:rPr>
              <w:t>14</w:t>
            </w:r>
          </w:p>
        </w:tc>
        <w:tc>
          <w:tcPr>
            <w:tcW w:w="1099" w:type="dxa"/>
            <w:tcBorders>
              <w:top w:val="single" w:sz="12" w:space="0" w:color="auto"/>
              <w:right w:val="single" w:sz="12" w:space="0" w:color="auto"/>
            </w:tcBorders>
            <w:shd w:val="clear" w:color="auto" w:fill="FF0000"/>
          </w:tcPr>
          <w:p w14:paraId="1A44D3A3" w14:textId="77777777" w:rsidR="004D3339" w:rsidRPr="0051370B" w:rsidRDefault="004D3339" w:rsidP="00F0374C">
            <w:pPr>
              <w:autoSpaceDE w:val="0"/>
              <w:autoSpaceDN w:val="0"/>
              <w:adjustRightInd w:val="0"/>
              <w:spacing w:before="40" w:after="40"/>
              <w:jc w:val="center"/>
              <w:rPr>
                <w:b/>
              </w:rPr>
            </w:pPr>
            <w:r w:rsidRPr="0051370B">
              <w:rPr>
                <w:b/>
              </w:rPr>
              <w:t>3</w:t>
            </w:r>
          </w:p>
        </w:tc>
      </w:tr>
      <w:tr w:rsidR="004D3339" w:rsidRPr="0051370B" w14:paraId="2BBB86CD" w14:textId="77777777" w:rsidTr="00F0374C">
        <w:tc>
          <w:tcPr>
            <w:tcW w:w="2551" w:type="dxa"/>
            <w:tcBorders>
              <w:left w:val="single" w:sz="12" w:space="0" w:color="auto"/>
              <w:bottom w:val="single" w:sz="12" w:space="0" w:color="auto"/>
              <w:right w:val="single" w:sz="12" w:space="0" w:color="auto"/>
            </w:tcBorders>
            <w:shd w:val="clear" w:color="auto" w:fill="D9D9D9"/>
          </w:tcPr>
          <w:p w14:paraId="58FACE8A" w14:textId="77777777" w:rsidR="004D3339" w:rsidRPr="0051370B" w:rsidRDefault="004D3339" w:rsidP="00F0374C">
            <w:pPr>
              <w:autoSpaceDE w:val="0"/>
              <w:autoSpaceDN w:val="0"/>
              <w:adjustRightInd w:val="0"/>
              <w:spacing w:before="40" w:after="40"/>
              <w:rPr>
                <w:b/>
              </w:rPr>
            </w:pPr>
            <w:r w:rsidRPr="0051370B">
              <w:rPr>
                <w:b/>
              </w:rPr>
              <w:t>Key actions to deliver service objectives</w:t>
            </w:r>
          </w:p>
        </w:tc>
        <w:tc>
          <w:tcPr>
            <w:tcW w:w="1134" w:type="dxa"/>
            <w:tcBorders>
              <w:left w:val="single" w:sz="12" w:space="0" w:color="auto"/>
              <w:bottom w:val="single" w:sz="12" w:space="0" w:color="auto"/>
            </w:tcBorders>
            <w:shd w:val="clear" w:color="auto" w:fill="auto"/>
          </w:tcPr>
          <w:p w14:paraId="28D25E93" w14:textId="77777777" w:rsidR="004D3339" w:rsidRPr="0051370B" w:rsidRDefault="004D3339" w:rsidP="00F0374C">
            <w:pPr>
              <w:autoSpaceDE w:val="0"/>
              <w:autoSpaceDN w:val="0"/>
              <w:adjustRightInd w:val="0"/>
              <w:spacing w:before="40" w:after="40"/>
              <w:jc w:val="center"/>
              <w:rPr>
                <w:b/>
              </w:rPr>
            </w:pPr>
            <w:r w:rsidRPr="0051370B">
              <w:rPr>
                <w:b/>
              </w:rPr>
              <w:t>15</w:t>
            </w:r>
          </w:p>
        </w:tc>
        <w:tc>
          <w:tcPr>
            <w:tcW w:w="1134" w:type="dxa"/>
            <w:tcBorders>
              <w:bottom w:val="single" w:sz="12" w:space="0" w:color="auto"/>
            </w:tcBorders>
            <w:shd w:val="clear" w:color="auto" w:fill="92D050"/>
          </w:tcPr>
          <w:p w14:paraId="2982EA19" w14:textId="77777777" w:rsidR="004D3339" w:rsidRPr="0051370B" w:rsidRDefault="004D3339" w:rsidP="00F0374C">
            <w:pPr>
              <w:autoSpaceDE w:val="0"/>
              <w:autoSpaceDN w:val="0"/>
              <w:adjustRightInd w:val="0"/>
              <w:spacing w:before="40" w:after="40"/>
              <w:jc w:val="center"/>
              <w:rPr>
                <w:b/>
              </w:rPr>
            </w:pPr>
            <w:r w:rsidRPr="0051370B">
              <w:rPr>
                <w:b/>
              </w:rPr>
              <w:t>13</w:t>
            </w:r>
          </w:p>
        </w:tc>
        <w:tc>
          <w:tcPr>
            <w:tcW w:w="1134" w:type="dxa"/>
            <w:tcBorders>
              <w:bottom w:val="single" w:sz="12" w:space="0" w:color="auto"/>
              <w:right w:val="single" w:sz="12" w:space="0" w:color="auto"/>
            </w:tcBorders>
            <w:shd w:val="clear" w:color="auto" w:fill="FF0000"/>
          </w:tcPr>
          <w:p w14:paraId="1E5B7981" w14:textId="77777777" w:rsidR="004D3339" w:rsidRPr="0051370B" w:rsidRDefault="004D3339" w:rsidP="00F0374C">
            <w:pPr>
              <w:autoSpaceDE w:val="0"/>
              <w:autoSpaceDN w:val="0"/>
              <w:adjustRightInd w:val="0"/>
              <w:spacing w:before="40" w:after="40"/>
              <w:jc w:val="center"/>
              <w:rPr>
                <w:b/>
              </w:rPr>
            </w:pPr>
            <w:r w:rsidRPr="0051370B">
              <w:rPr>
                <w:b/>
              </w:rPr>
              <w:t>2</w:t>
            </w:r>
          </w:p>
        </w:tc>
        <w:tc>
          <w:tcPr>
            <w:tcW w:w="1134" w:type="dxa"/>
            <w:tcBorders>
              <w:left w:val="single" w:sz="12" w:space="0" w:color="auto"/>
              <w:bottom w:val="single" w:sz="12" w:space="0" w:color="auto"/>
            </w:tcBorders>
            <w:shd w:val="clear" w:color="auto" w:fill="auto"/>
          </w:tcPr>
          <w:p w14:paraId="36511B16" w14:textId="77777777" w:rsidR="004D3339" w:rsidRPr="0051370B" w:rsidRDefault="004D3339" w:rsidP="00F0374C">
            <w:pPr>
              <w:autoSpaceDE w:val="0"/>
              <w:autoSpaceDN w:val="0"/>
              <w:adjustRightInd w:val="0"/>
              <w:spacing w:before="40" w:after="40"/>
              <w:jc w:val="center"/>
              <w:rPr>
                <w:b/>
              </w:rPr>
            </w:pPr>
            <w:r w:rsidRPr="0051370B">
              <w:rPr>
                <w:b/>
              </w:rPr>
              <w:t>16</w:t>
            </w:r>
          </w:p>
        </w:tc>
        <w:tc>
          <w:tcPr>
            <w:tcW w:w="1134" w:type="dxa"/>
            <w:tcBorders>
              <w:bottom w:val="single" w:sz="12" w:space="0" w:color="auto"/>
            </w:tcBorders>
            <w:shd w:val="clear" w:color="auto" w:fill="92D050"/>
          </w:tcPr>
          <w:p w14:paraId="6088F0EF" w14:textId="77777777" w:rsidR="004D3339" w:rsidRPr="0051370B" w:rsidRDefault="004D3339" w:rsidP="00F0374C">
            <w:pPr>
              <w:autoSpaceDE w:val="0"/>
              <w:autoSpaceDN w:val="0"/>
              <w:adjustRightInd w:val="0"/>
              <w:spacing w:before="40" w:after="40"/>
              <w:jc w:val="center"/>
              <w:rPr>
                <w:b/>
              </w:rPr>
            </w:pPr>
            <w:r w:rsidRPr="0051370B">
              <w:rPr>
                <w:b/>
              </w:rPr>
              <w:t>15</w:t>
            </w:r>
          </w:p>
        </w:tc>
        <w:tc>
          <w:tcPr>
            <w:tcW w:w="1099" w:type="dxa"/>
            <w:tcBorders>
              <w:bottom w:val="single" w:sz="12" w:space="0" w:color="auto"/>
              <w:right w:val="single" w:sz="12" w:space="0" w:color="auto"/>
            </w:tcBorders>
            <w:shd w:val="clear" w:color="auto" w:fill="FF0000"/>
          </w:tcPr>
          <w:p w14:paraId="008FE7C8" w14:textId="77777777" w:rsidR="004D3339" w:rsidRPr="0051370B" w:rsidRDefault="004D3339" w:rsidP="00F0374C">
            <w:pPr>
              <w:autoSpaceDE w:val="0"/>
              <w:autoSpaceDN w:val="0"/>
              <w:adjustRightInd w:val="0"/>
              <w:spacing w:before="40" w:after="40"/>
              <w:jc w:val="center"/>
              <w:rPr>
                <w:b/>
              </w:rPr>
            </w:pPr>
            <w:r w:rsidRPr="0051370B">
              <w:rPr>
                <w:b/>
              </w:rPr>
              <w:t>1</w:t>
            </w:r>
          </w:p>
        </w:tc>
      </w:tr>
      <w:bookmarkEnd w:id="38"/>
    </w:tbl>
    <w:p w14:paraId="542F2137" w14:textId="77777777" w:rsidR="004D3339" w:rsidRDefault="004D3339" w:rsidP="004D3339">
      <w:pPr>
        <w:autoSpaceDE w:val="0"/>
        <w:autoSpaceDN w:val="0"/>
        <w:adjustRightInd w:val="0"/>
        <w:rPr>
          <w:b/>
        </w:rPr>
      </w:pPr>
    </w:p>
    <w:p w14:paraId="176AEBDD" w14:textId="77777777" w:rsidR="00B77C6D" w:rsidRDefault="00B77C6D" w:rsidP="004D3339">
      <w:pPr>
        <w:autoSpaceDE w:val="0"/>
        <w:autoSpaceDN w:val="0"/>
        <w:adjustRightInd w:val="0"/>
        <w:spacing w:after="40"/>
        <w:ind w:firstLine="357"/>
        <w:rPr>
          <w:b/>
          <w:bCs/>
        </w:rPr>
      </w:pPr>
    </w:p>
    <w:p w14:paraId="6EC24075" w14:textId="77777777" w:rsidR="00B77C6D" w:rsidRDefault="00B77C6D" w:rsidP="004D3339">
      <w:pPr>
        <w:autoSpaceDE w:val="0"/>
        <w:autoSpaceDN w:val="0"/>
        <w:adjustRightInd w:val="0"/>
        <w:spacing w:after="40"/>
        <w:ind w:firstLine="357"/>
        <w:rPr>
          <w:b/>
          <w:bCs/>
        </w:rPr>
      </w:pPr>
    </w:p>
    <w:p w14:paraId="2F1A2FE8" w14:textId="7BE72D50" w:rsidR="004D3339" w:rsidRPr="003E6BBE" w:rsidRDefault="004D3339" w:rsidP="004D3339">
      <w:pPr>
        <w:autoSpaceDE w:val="0"/>
        <w:autoSpaceDN w:val="0"/>
        <w:adjustRightInd w:val="0"/>
        <w:spacing w:after="40"/>
        <w:ind w:firstLine="357"/>
        <w:rPr>
          <w:b/>
          <w:bCs/>
        </w:rPr>
      </w:pPr>
      <w:r w:rsidRPr="003E6BBE">
        <w:rPr>
          <w:b/>
          <w:bCs/>
        </w:rPr>
        <w:t>Management of Key Risks</w:t>
      </w:r>
    </w:p>
    <w:p w14:paraId="1AACAF40" w14:textId="77777777" w:rsidR="004D3339" w:rsidRPr="001F5463" w:rsidRDefault="004D3339" w:rsidP="004D3339">
      <w:pPr>
        <w:numPr>
          <w:ilvl w:val="0"/>
          <w:numId w:val="51"/>
        </w:numPr>
        <w:autoSpaceDE w:val="0"/>
        <w:autoSpaceDN w:val="0"/>
        <w:adjustRightInd w:val="0"/>
        <w:spacing w:after="40"/>
        <w:ind w:left="714" w:hanging="357"/>
        <w:rPr>
          <w:rFonts w:cs="Arial"/>
          <w:bCs/>
        </w:rPr>
      </w:pPr>
      <w:r w:rsidRPr="001F5463">
        <w:rPr>
          <w:rFonts w:cs="Arial"/>
          <w:bCs/>
        </w:rPr>
        <w:t>For all key risks, we establish what control mechanisms are in place to manage them. We then decide what further mitigation actions are needed and these are included within the Business Plan or Service Plans, with necessary resources aligned to them.</w:t>
      </w:r>
    </w:p>
    <w:p w14:paraId="6DCBE72A" w14:textId="77777777" w:rsidR="004D3339" w:rsidRPr="001F5463" w:rsidRDefault="004D3339" w:rsidP="004D3339">
      <w:pPr>
        <w:numPr>
          <w:ilvl w:val="0"/>
          <w:numId w:val="51"/>
        </w:numPr>
        <w:autoSpaceDE w:val="0"/>
        <w:autoSpaceDN w:val="0"/>
        <w:adjustRightInd w:val="0"/>
        <w:spacing w:after="40"/>
        <w:ind w:left="714" w:hanging="357"/>
        <w:rPr>
          <w:rFonts w:cs="Arial"/>
          <w:bCs/>
        </w:rPr>
      </w:pPr>
      <w:r w:rsidRPr="001F5463">
        <w:rPr>
          <w:rFonts w:cs="Arial"/>
          <w:bCs/>
        </w:rPr>
        <w:t>For our more significant risks, we state the contingency plans for if we are unable to manage the risk.</w:t>
      </w:r>
    </w:p>
    <w:p w14:paraId="427029F3" w14:textId="77777777" w:rsidR="004D3339" w:rsidRPr="001F5463" w:rsidRDefault="004D3339" w:rsidP="004D3339">
      <w:pPr>
        <w:numPr>
          <w:ilvl w:val="0"/>
          <w:numId w:val="51"/>
        </w:numPr>
        <w:autoSpaceDE w:val="0"/>
        <w:autoSpaceDN w:val="0"/>
        <w:adjustRightInd w:val="0"/>
        <w:spacing w:after="40"/>
        <w:ind w:left="714" w:hanging="357"/>
        <w:rPr>
          <w:rFonts w:cs="Arial"/>
          <w:bCs/>
        </w:rPr>
      </w:pPr>
      <w:r w:rsidRPr="001F5463">
        <w:rPr>
          <w:rFonts w:cs="Arial"/>
          <w:bCs/>
        </w:rPr>
        <w:t>During 2023/24, we assessed the Authority’s appetite for risk and produced a risk appetite statement to explain how willing we are to take risks while working to achieve our objectives. This has been incorporated into our Risk Management Strategy and is being embedded into our approach to managing risks.</w:t>
      </w:r>
    </w:p>
    <w:p w14:paraId="64061422" w14:textId="77777777" w:rsidR="004D3339" w:rsidRPr="001F5463" w:rsidRDefault="004D3339" w:rsidP="004D3339">
      <w:pPr>
        <w:numPr>
          <w:ilvl w:val="0"/>
          <w:numId w:val="51"/>
        </w:numPr>
        <w:autoSpaceDE w:val="0"/>
        <w:autoSpaceDN w:val="0"/>
        <w:adjustRightInd w:val="0"/>
        <w:spacing w:after="40"/>
        <w:ind w:left="714" w:hanging="357"/>
        <w:rPr>
          <w:rFonts w:cs="Arial"/>
          <w:bCs/>
        </w:rPr>
      </w:pPr>
      <w:r w:rsidRPr="001F5463">
        <w:rPr>
          <w:rFonts w:cs="Arial"/>
          <w:bCs/>
        </w:rPr>
        <w:t xml:space="preserve">There were six Business Plan risks and seven corporate risks being monitored in the corporate Risk Register at the year end. </w:t>
      </w:r>
    </w:p>
    <w:p w14:paraId="583F59C8" w14:textId="77777777" w:rsidR="004D3339" w:rsidRPr="001F5463" w:rsidRDefault="004D3339" w:rsidP="004D3339">
      <w:pPr>
        <w:numPr>
          <w:ilvl w:val="0"/>
          <w:numId w:val="51"/>
        </w:numPr>
        <w:autoSpaceDE w:val="0"/>
        <w:autoSpaceDN w:val="0"/>
        <w:adjustRightInd w:val="0"/>
        <w:spacing w:after="40"/>
        <w:ind w:left="714" w:hanging="357"/>
        <w:rPr>
          <w:rFonts w:cs="Arial"/>
          <w:bCs/>
        </w:rPr>
      </w:pPr>
      <w:r w:rsidRPr="001F5463">
        <w:rPr>
          <w:rFonts w:cs="Arial"/>
          <w:bCs/>
        </w:rPr>
        <w:t>One risk had a risk score above 10: Development Management – Enforcement was a medium level risk, with a risk score above tolerance and an amber status.</w:t>
      </w:r>
    </w:p>
    <w:p w14:paraId="11642A0C" w14:textId="77777777" w:rsidR="004D3339" w:rsidRPr="001F5463" w:rsidRDefault="004D3339" w:rsidP="004D3339">
      <w:pPr>
        <w:numPr>
          <w:ilvl w:val="0"/>
          <w:numId w:val="51"/>
        </w:numPr>
        <w:autoSpaceDE w:val="0"/>
        <w:autoSpaceDN w:val="0"/>
        <w:adjustRightInd w:val="0"/>
        <w:spacing w:after="40"/>
        <w:ind w:left="714" w:hanging="357"/>
        <w:rPr>
          <w:rFonts w:cs="Arial"/>
          <w:bCs/>
        </w:rPr>
      </w:pPr>
      <w:r w:rsidRPr="001F5463">
        <w:rPr>
          <w:rFonts w:cs="Arial"/>
          <w:bCs/>
        </w:rPr>
        <w:t xml:space="preserve">Two lower scoring risks were also at a medium level: Special Area of Conservation Planning Reviews and Greenside Mine, both of which had a green status. </w:t>
      </w:r>
    </w:p>
    <w:p w14:paraId="4AADC069" w14:textId="77777777" w:rsidR="004D3339" w:rsidRPr="001F5463" w:rsidRDefault="004D3339" w:rsidP="004D3339">
      <w:pPr>
        <w:numPr>
          <w:ilvl w:val="0"/>
          <w:numId w:val="51"/>
        </w:numPr>
        <w:autoSpaceDE w:val="0"/>
        <w:autoSpaceDN w:val="0"/>
        <w:adjustRightInd w:val="0"/>
        <w:spacing w:after="40"/>
        <w:ind w:left="714" w:hanging="357"/>
        <w:rPr>
          <w:rFonts w:cs="Arial"/>
          <w:bCs/>
        </w:rPr>
      </w:pPr>
      <w:r w:rsidRPr="001F5463">
        <w:rPr>
          <w:rFonts w:cs="Arial"/>
          <w:bCs/>
        </w:rPr>
        <w:t>The other 11 lower scoring risks were low level risks and had a green status.</w:t>
      </w:r>
    </w:p>
    <w:p w14:paraId="06BB62E0" w14:textId="77777777" w:rsidR="004D3339" w:rsidRDefault="004D3339" w:rsidP="004D3339">
      <w:pPr>
        <w:autoSpaceDE w:val="0"/>
        <w:autoSpaceDN w:val="0"/>
        <w:adjustRightInd w:val="0"/>
        <w:ind w:firstLine="360"/>
        <w:rPr>
          <w:b/>
        </w:rPr>
      </w:pPr>
    </w:p>
    <w:p w14:paraId="5DCCDFF9" w14:textId="77777777" w:rsidR="004D3339" w:rsidRPr="003E6BBE" w:rsidRDefault="004D3339" w:rsidP="004D3339">
      <w:pPr>
        <w:autoSpaceDE w:val="0"/>
        <w:autoSpaceDN w:val="0"/>
        <w:adjustRightInd w:val="0"/>
        <w:spacing w:after="40"/>
        <w:ind w:firstLine="357"/>
        <w:rPr>
          <w:b/>
          <w:bCs/>
        </w:rPr>
      </w:pPr>
      <w:r w:rsidRPr="003E6BBE">
        <w:rPr>
          <w:b/>
          <w:bCs/>
        </w:rPr>
        <w:t>Overall Service Performance</w:t>
      </w:r>
    </w:p>
    <w:p w14:paraId="17B940EE" w14:textId="77777777" w:rsidR="004D3339" w:rsidRPr="001F5463" w:rsidRDefault="004D3339" w:rsidP="004D3339">
      <w:pPr>
        <w:numPr>
          <w:ilvl w:val="0"/>
          <w:numId w:val="51"/>
        </w:numPr>
        <w:autoSpaceDE w:val="0"/>
        <w:autoSpaceDN w:val="0"/>
        <w:adjustRightInd w:val="0"/>
        <w:spacing w:after="40"/>
        <w:ind w:left="714" w:hanging="357"/>
        <w:rPr>
          <w:rFonts w:cs="Arial"/>
          <w:bCs/>
        </w:rPr>
      </w:pPr>
      <w:r w:rsidRPr="001F5463">
        <w:rPr>
          <w:rFonts w:cs="Arial"/>
          <w:bCs/>
        </w:rPr>
        <w:t>An assessment of overall service performance at the end of 2023/24 was provided by each Head of Service and detailed commentary will be reported to Resources Committee in June 2024.</w:t>
      </w:r>
    </w:p>
    <w:p w14:paraId="38FCAC66" w14:textId="77777777" w:rsidR="004D3339" w:rsidRPr="001F5463" w:rsidRDefault="004D3339" w:rsidP="004D3339">
      <w:pPr>
        <w:numPr>
          <w:ilvl w:val="0"/>
          <w:numId w:val="51"/>
        </w:numPr>
        <w:autoSpaceDE w:val="0"/>
        <w:autoSpaceDN w:val="0"/>
        <w:adjustRightInd w:val="0"/>
        <w:spacing w:after="40"/>
        <w:ind w:left="714" w:hanging="357"/>
        <w:rPr>
          <w:rFonts w:cs="Arial"/>
          <w:bCs/>
        </w:rPr>
      </w:pPr>
      <w:r w:rsidRPr="001F5463">
        <w:rPr>
          <w:rFonts w:cs="Arial"/>
          <w:bCs/>
        </w:rPr>
        <w:t>Five of the six services reported a green status, which means that delivery of service objectives is on track.</w:t>
      </w:r>
    </w:p>
    <w:p w14:paraId="506E98E6" w14:textId="77777777" w:rsidR="004D3339" w:rsidRPr="001F5463" w:rsidRDefault="004D3339" w:rsidP="004D3339">
      <w:pPr>
        <w:numPr>
          <w:ilvl w:val="0"/>
          <w:numId w:val="51"/>
        </w:numPr>
        <w:autoSpaceDE w:val="0"/>
        <w:autoSpaceDN w:val="0"/>
        <w:adjustRightInd w:val="0"/>
        <w:spacing w:after="40"/>
        <w:ind w:left="714" w:hanging="357"/>
        <w:rPr>
          <w:rFonts w:cs="Arial"/>
          <w:bCs/>
        </w:rPr>
      </w:pPr>
      <w:r w:rsidRPr="001F5463">
        <w:rPr>
          <w:rFonts w:cs="Arial"/>
          <w:bCs/>
        </w:rPr>
        <w:t>Development Management reported an amber status as Service Plan delivery is continuing to present challenges. This is, however, an improvement from the previous year when the service reported a red status.</w:t>
      </w:r>
    </w:p>
    <w:p w14:paraId="3DEC9336" w14:textId="77777777" w:rsidR="004D3339" w:rsidRPr="001F5463" w:rsidRDefault="004D3339" w:rsidP="004D3339">
      <w:pPr>
        <w:numPr>
          <w:ilvl w:val="0"/>
          <w:numId w:val="51"/>
        </w:numPr>
        <w:autoSpaceDE w:val="0"/>
        <w:autoSpaceDN w:val="0"/>
        <w:adjustRightInd w:val="0"/>
        <w:spacing w:after="40"/>
        <w:ind w:left="714" w:hanging="357"/>
        <w:rPr>
          <w:rFonts w:cs="Arial"/>
          <w:bCs/>
        </w:rPr>
      </w:pPr>
      <w:r w:rsidRPr="001F5463">
        <w:rPr>
          <w:rFonts w:cs="Arial"/>
          <w:bCs/>
        </w:rPr>
        <w:t xml:space="preserve">Delivery of Development Management’s service objectives remains challenging, with the service facing competing demands between core casework, managing the impacts of changes to the planning system, and meeting required non-planning demands which have not been initiated in service. Recruitment to vacancies is still proving difficult and service pressures have affected staff wellbeing. We are now pursuing recruitment through the Government's Pathways to Planning </w:t>
      </w:r>
      <w:r>
        <w:rPr>
          <w:rFonts w:cs="Arial"/>
          <w:bCs/>
        </w:rPr>
        <w:t>s</w:t>
      </w:r>
      <w:r w:rsidRPr="001F5463">
        <w:rPr>
          <w:rFonts w:cs="Arial"/>
          <w:bCs/>
        </w:rPr>
        <w:t>cheme, which seeks to place graduates into planning authorities.</w:t>
      </w:r>
    </w:p>
    <w:p w14:paraId="37D8486C" w14:textId="77777777" w:rsidR="004D3339" w:rsidRPr="001F5463" w:rsidRDefault="004D3339" w:rsidP="00757709">
      <w:pPr>
        <w:autoSpaceDE w:val="0"/>
        <w:autoSpaceDN w:val="0"/>
        <w:adjustRightInd w:val="0"/>
        <w:spacing w:after="40"/>
        <w:ind w:left="357"/>
        <w:rPr>
          <w:rFonts w:cs="Arial"/>
          <w:bCs/>
        </w:rPr>
      </w:pPr>
      <w:r w:rsidRPr="001F5463">
        <w:rPr>
          <w:rFonts w:cs="Arial"/>
          <w:bCs/>
        </w:rPr>
        <w:lastRenderedPageBreak/>
        <w:t>The table below shows the status reported by each service area at the end of 2023/24, and compares it to that reported at the end of the previous year:</w:t>
      </w:r>
    </w:p>
    <w:p w14:paraId="7F5F2DD9" w14:textId="77777777" w:rsidR="004D3339" w:rsidRPr="00A02621" w:rsidRDefault="004D3339" w:rsidP="004D3339">
      <w:pPr>
        <w:autoSpaceDE w:val="0"/>
        <w:autoSpaceDN w:val="0"/>
        <w:adjustRightInd w:val="0"/>
      </w:pPr>
    </w:p>
    <w:tbl>
      <w:tblPr>
        <w:tblW w:w="474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967"/>
        <w:gridCol w:w="3596"/>
        <w:gridCol w:w="965"/>
      </w:tblGrid>
      <w:tr w:rsidR="004D3339" w:rsidRPr="00A02621" w14:paraId="7A3A701F" w14:textId="77777777" w:rsidTr="00F0374C">
        <w:trPr>
          <w:trHeight w:val="397"/>
        </w:trPr>
        <w:tc>
          <w:tcPr>
            <w:tcW w:w="2500" w:type="pct"/>
            <w:gridSpan w:val="2"/>
            <w:tcBorders>
              <w:top w:val="single" w:sz="12" w:space="0" w:color="auto"/>
              <w:left w:val="single" w:sz="12" w:space="0" w:color="auto"/>
              <w:right w:val="single" w:sz="12" w:space="0" w:color="auto"/>
            </w:tcBorders>
            <w:shd w:val="clear" w:color="auto" w:fill="D9D9D9"/>
            <w:vAlign w:val="center"/>
          </w:tcPr>
          <w:p w14:paraId="016EDD24" w14:textId="77777777" w:rsidR="004D3339" w:rsidRPr="00A02621" w:rsidRDefault="004D3339" w:rsidP="00F0374C">
            <w:pPr>
              <w:autoSpaceDE w:val="0"/>
              <w:autoSpaceDN w:val="0"/>
              <w:adjustRightInd w:val="0"/>
              <w:rPr>
                <w:b/>
              </w:rPr>
            </w:pPr>
            <w:r w:rsidRPr="00A02621">
              <w:rPr>
                <w:b/>
              </w:rPr>
              <w:t>March 2023 Overall Service Performance</w:t>
            </w:r>
          </w:p>
        </w:tc>
        <w:tc>
          <w:tcPr>
            <w:tcW w:w="2500" w:type="pct"/>
            <w:gridSpan w:val="2"/>
            <w:tcBorders>
              <w:top w:val="single" w:sz="12" w:space="0" w:color="auto"/>
              <w:left w:val="single" w:sz="12" w:space="0" w:color="auto"/>
              <w:right w:val="single" w:sz="12" w:space="0" w:color="auto"/>
            </w:tcBorders>
            <w:shd w:val="clear" w:color="auto" w:fill="D9D9D9"/>
            <w:vAlign w:val="center"/>
          </w:tcPr>
          <w:p w14:paraId="15265292" w14:textId="77777777" w:rsidR="004D3339" w:rsidRPr="00A02621" w:rsidRDefault="004D3339" w:rsidP="00F0374C">
            <w:pPr>
              <w:autoSpaceDE w:val="0"/>
              <w:autoSpaceDN w:val="0"/>
              <w:adjustRightInd w:val="0"/>
              <w:rPr>
                <w:b/>
              </w:rPr>
            </w:pPr>
            <w:r w:rsidRPr="00A02621">
              <w:rPr>
                <w:b/>
              </w:rPr>
              <w:t>March 2024 Overall Service Performance</w:t>
            </w:r>
          </w:p>
        </w:tc>
      </w:tr>
      <w:tr w:rsidR="004D3339" w:rsidRPr="00A02621" w14:paraId="58C96BAA" w14:textId="77777777" w:rsidTr="00F0374C">
        <w:trPr>
          <w:trHeight w:val="397"/>
        </w:trPr>
        <w:tc>
          <w:tcPr>
            <w:tcW w:w="1970" w:type="pct"/>
            <w:tcBorders>
              <w:left w:val="single" w:sz="12" w:space="0" w:color="auto"/>
              <w:bottom w:val="single" w:sz="12" w:space="0" w:color="auto"/>
            </w:tcBorders>
            <w:shd w:val="clear" w:color="auto" w:fill="D9D9D9"/>
            <w:vAlign w:val="center"/>
          </w:tcPr>
          <w:p w14:paraId="2EEC4CBC" w14:textId="77777777" w:rsidR="004D3339" w:rsidRPr="00A02621" w:rsidRDefault="004D3339" w:rsidP="00F0374C">
            <w:pPr>
              <w:autoSpaceDE w:val="0"/>
              <w:autoSpaceDN w:val="0"/>
              <w:adjustRightInd w:val="0"/>
              <w:rPr>
                <w:b/>
              </w:rPr>
            </w:pPr>
            <w:r w:rsidRPr="00A02621">
              <w:rPr>
                <w:b/>
              </w:rPr>
              <w:t>Service</w:t>
            </w:r>
          </w:p>
        </w:tc>
        <w:tc>
          <w:tcPr>
            <w:tcW w:w="530" w:type="pct"/>
            <w:tcBorders>
              <w:bottom w:val="single" w:sz="12" w:space="0" w:color="auto"/>
              <w:right w:val="single" w:sz="12" w:space="0" w:color="auto"/>
            </w:tcBorders>
            <w:shd w:val="clear" w:color="auto" w:fill="D9D9D9"/>
            <w:vAlign w:val="center"/>
          </w:tcPr>
          <w:p w14:paraId="3A48A715" w14:textId="77777777" w:rsidR="004D3339" w:rsidRPr="00A02621" w:rsidRDefault="004D3339" w:rsidP="00F0374C">
            <w:pPr>
              <w:autoSpaceDE w:val="0"/>
              <w:autoSpaceDN w:val="0"/>
              <w:adjustRightInd w:val="0"/>
              <w:jc w:val="center"/>
              <w:rPr>
                <w:b/>
              </w:rPr>
            </w:pPr>
            <w:r w:rsidRPr="00A02621">
              <w:rPr>
                <w:b/>
              </w:rPr>
              <w:t>Status</w:t>
            </w:r>
          </w:p>
        </w:tc>
        <w:tc>
          <w:tcPr>
            <w:tcW w:w="1971" w:type="pct"/>
            <w:tcBorders>
              <w:left w:val="single" w:sz="12" w:space="0" w:color="auto"/>
              <w:bottom w:val="single" w:sz="12" w:space="0" w:color="auto"/>
            </w:tcBorders>
            <w:shd w:val="clear" w:color="auto" w:fill="D9D9D9"/>
            <w:vAlign w:val="center"/>
          </w:tcPr>
          <w:p w14:paraId="103EA1DB" w14:textId="77777777" w:rsidR="004D3339" w:rsidRPr="00A02621" w:rsidRDefault="004D3339" w:rsidP="00F0374C">
            <w:pPr>
              <w:autoSpaceDE w:val="0"/>
              <w:autoSpaceDN w:val="0"/>
              <w:adjustRightInd w:val="0"/>
              <w:rPr>
                <w:b/>
              </w:rPr>
            </w:pPr>
            <w:r w:rsidRPr="00A02621">
              <w:rPr>
                <w:b/>
              </w:rPr>
              <w:t>Service</w:t>
            </w:r>
          </w:p>
        </w:tc>
        <w:tc>
          <w:tcPr>
            <w:tcW w:w="529" w:type="pct"/>
            <w:tcBorders>
              <w:bottom w:val="single" w:sz="12" w:space="0" w:color="auto"/>
              <w:right w:val="single" w:sz="12" w:space="0" w:color="auto"/>
            </w:tcBorders>
            <w:shd w:val="clear" w:color="auto" w:fill="D9D9D9"/>
            <w:vAlign w:val="center"/>
          </w:tcPr>
          <w:p w14:paraId="4DD3FE23" w14:textId="77777777" w:rsidR="004D3339" w:rsidRPr="00A02621" w:rsidRDefault="004D3339" w:rsidP="00F0374C">
            <w:pPr>
              <w:autoSpaceDE w:val="0"/>
              <w:autoSpaceDN w:val="0"/>
              <w:adjustRightInd w:val="0"/>
              <w:jc w:val="center"/>
              <w:rPr>
                <w:b/>
              </w:rPr>
            </w:pPr>
            <w:r w:rsidRPr="00A02621">
              <w:rPr>
                <w:b/>
              </w:rPr>
              <w:t>Status</w:t>
            </w:r>
          </w:p>
        </w:tc>
      </w:tr>
      <w:tr w:rsidR="004D3339" w:rsidRPr="00A02621" w14:paraId="4D8C6908" w14:textId="77777777" w:rsidTr="00F0374C">
        <w:trPr>
          <w:trHeight w:val="567"/>
        </w:trPr>
        <w:tc>
          <w:tcPr>
            <w:tcW w:w="1970" w:type="pct"/>
            <w:vMerge w:val="restart"/>
            <w:tcBorders>
              <w:top w:val="single" w:sz="12" w:space="0" w:color="auto"/>
              <w:left w:val="single" w:sz="12" w:space="0" w:color="auto"/>
              <w:right w:val="single" w:sz="4" w:space="0" w:color="auto"/>
            </w:tcBorders>
            <w:shd w:val="clear" w:color="auto" w:fill="auto"/>
            <w:vAlign w:val="center"/>
          </w:tcPr>
          <w:p w14:paraId="423448A0" w14:textId="77777777" w:rsidR="004D3339" w:rsidRDefault="004D3339" w:rsidP="00F0374C">
            <w:pPr>
              <w:autoSpaceDE w:val="0"/>
              <w:autoSpaceDN w:val="0"/>
              <w:adjustRightInd w:val="0"/>
            </w:pPr>
            <w:r w:rsidRPr="00A02621">
              <w:t>Communications and</w:t>
            </w:r>
          </w:p>
          <w:p w14:paraId="6AD3033B" w14:textId="77777777" w:rsidR="004D3339" w:rsidRPr="00A02621" w:rsidRDefault="004D3339" w:rsidP="00F0374C">
            <w:pPr>
              <w:autoSpaceDE w:val="0"/>
              <w:autoSpaceDN w:val="0"/>
              <w:adjustRightInd w:val="0"/>
            </w:pPr>
            <w:r w:rsidRPr="00A02621">
              <w:t>Visitor Services</w:t>
            </w:r>
          </w:p>
        </w:tc>
        <w:tc>
          <w:tcPr>
            <w:tcW w:w="530" w:type="pct"/>
            <w:vMerge w:val="restart"/>
            <w:tcBorders>
              <w:top w:val="single" w:sz="12" w:space="0" w:color="auto"/>
              <w:left w:val="single" w:sz="4" w:space="0" w:color="auto"/>
              <w:right w:val="single" w:sz="12" w:space="0" w:color="auto"/>
            </w:tcBorders>
            <w:shd w:val="clear" w:color="auto" w:fill="92D050"/>
            <w:vAlign w:val="center"/>
          </w:tcPr>
          <w:p w14:paraId="3C2FD7DC" w14:textId="77777777" w:rsidR="004D3339" w:rsidRPr="00B577DC" w:rsidRDefault="004D3339" w:rsidP="00F0374C">
            <w:pPr>
              <w:autoSpaceDE w:val="0"/>
              <w:autoSpaceDN w:val="0"/>
              <w:adjustRightInd w:val="0"/>
              <w:jc w:val="center"/>
              <w:rPr>
                <w:b/>
                <w:bCs/>
              </w:rPr>
            </w:pPr>
            <w:r w:rsidRPr="00B577DC">
              <w:rPr>
                <w:b/>
                <w:bCs/>
              </w:rPr>
              <w:t>Green</w:t>
            </w:r>
          </w:p>
        </w:tc>
        <w:tc>
          <w:tcPr>
            <w:tcW w:w="1971" w:type="pct"/>
            <w:tcBorders>
              <w:top w:val="single" w:sz="12" w:space="0" w:color="auto"/>
              <w:left w:val="single" w:sz="12" w:space="0" w:color="auto"/>
              <w:bottom w:val="single" w:sz="4" w:space="0" w:color="auto"/>
              <w:right w:val="single" w:sz="4" w:space="0" w:color="auto"/>
            </w:tcBorders>
            <w:shd w:val="clear" w:color="auto" w:fill="auto"/>
            <w:vAlign w:val="center"/>
          </w:tcPr>
          <w:p w14:paraId="1278DC48" w14:textId="77777777" w:rsidR="004D3339" w:rsidRPr="00A02621" w:rsidRDefault="004D3339" w:rsidP="00F0374C">
            <w:pPr>
              <w:autoSpaceDE w:val="0"/>
              <w:autoSpaceDN w:val="0"/>
              <w:adjustRightInd w:val="0"/>
            </w:pPr>
            <w:r w:rsidRPr="00A02621">
              <w:t>Communications and Engagement</w:t>
            </w:r>
          </w:p>
        </w:tc>
        <w:tc>
          <w:tcPr>
            <w:tcW w:w="529" w:type="pct"/>
            <w:tcBorders>
              <w:top w:val="single" w:sz="12" w:space="0" w:color="auto"/>
              <w:left w:val="single" w:sz="4" w:space="0" w:color="auto"/>
              <w:bottom w:val="single" w:sz="4" w:space="0" w:color="auto"/>
              <w:right w:val="single" w:sz="12" w:space="0" w:color="auto"/>
            </w:tcBorders>
            <w:shd w:val="clear" w:color="auto" w:fill="92D050"/>
            <w:vAlign w:val="center"/>
          </w:tcPr>
          <w:p w14:paraId="41A762F7" w14:textId="77777777" w:rsidR="004D3339" w:rsidRPr="00B577DC" w:rsidRDefault="004D3339" w:rsidP="00F0374C">
            <w:pPr>
              <w:autoSpaceDE w:val="0"/>
              <w:autoSpaceDN w:val="0"/>
              <w:adjustRightInd w:val="0"/>
              <w:jc w:val="center"/>
              <w:rPr>
                <w:b/>
                <w:bCs/>
              </w:rPr>
            </w:pPr>
            <w:r w:rsidRPr="00B577DC">
              <w:rPr>
                <w:b/>
                <w:bCs/>
              </w:rPr>
              <w:t>Green</w:t>
            </w:r>
          </w:p>
        </w:tc>
      </w:tr>
      <w:tr w:rsidR="004D3339" w:rsidRPr="00A02621" w14:paraId="49F8EB23" w14:textId="77777777" w:rsidTr="00F0374C">
        <w:trPr>
          <w:trHeight w:val="567"/>
        </w:trPr>
        <w:tc>
          <w:tcPr>
            <w:tcW w:w="1970" w:type="pct"/>
            <w:vMerge/>
            <w:tcBorders>
              <w:left w:val="single" w:sz="12" w:space="0" w:color="auto"/>
              <w:bottom w:val="single" w:sz="4" w:space="0" w:color="auto"/>
              <w:right w:val="single" w:sz="4" w:space="0" w:color="auto"/>
            </w:tcBorders>
            <w:shd w:val="clear" w:color="auto" w:fill="auto"/>
            <w:vAlign w:val="center"/>
          </w:tcPr>
          <w:p w14:paraId="1EA646CD" w14:textId="77777777" w:rsidR="004D3339" w:rsidRPr="00A02621" w:rsidRDefault="004D3339" w:rsidP="00F0374C">
            <w:pPr>
              <w:autoSpaceDE w:val="0"/>
              <w:autoSpaceDN w:val="0"/>
              <w:adjustRightInd w:val="0"/>
            </w:pPr>
          </w:p>
        </w:tc>
        <w:tc>
          <w:tcPr>
            <w:tcW w:w="530" w:type="pct"/>
            <w:vMerge/>
            <w:tcBorders>
              <w:left w:val="single" w:sz="4" w:space="0" w:color="auto"/>
              <w:bottom w:val="single" w:sz="4" w:space="0" w:color="auto"/>
              <w:right w:val="single" w:sz="12" w:space="0" w:color="auto"/>
            </w:tcBorders>
            <w:shd w:val="clear" w:color="auto" w:fill="auto"/>
            <w:vAlign w:val="center"/>
          </w:tcPr>
          <w:p w14:paraId="6BF6F9B7" w14:textId="77777777" w:rsidR="004D3339" w:rsidRPr="00B577DC" w:rsidRDefault="004D3339" w:rsidP="00F0374C">
            <w:pPr>
              <w:autoSpaceDE w:val="0"/>
              <w:autoSpaceDN w:val="0"/>
              <w:adjustRightInd w:val="0"/>
              <w:jc w:val="center"/>
              <w:rPr>
                <w:b/>
                <w:bCs/>
              </w:rPr>
            </w:pPr>
          </w:p>
        </w:tc>
        <w:tc>
          <w:tcPr>
            <w:tcW w:w="1971" w:type="pct"/>
            <w:tcBorders>
              <w:top w:val="single" w:sz="4" w:space="0" w:color="auto"/>
              <w:left w:val="single" w:sz="12" w:space="0" w:color="auto"/>
              <w:bottom w:val="single" w:sz="4" w:space="0" w:color="auto"/>
              <w:right w:val="single" w:sz="4" w:space="0" w:color="auto"/>
            </w:tcBorders>
            <w:shd w:val="clear" w:color="auto" w:fill="auto"/>
            <w:vAlign w:val="center"/>
          </w:tcPr>
          <w:p w14:paraId="7CD6DA1D" w14:textId="77777777" w:rsidR="004D3339" w:rsidRPr="00A02621" w:rsidRDefault="004D3339" w:rsidP="00F0374C">
            <w:pPr>
              <w:autoSpaceDE w:val="0"/>
              <w:autoSpaceDN w:val="0"/>
              <w:adjustRightInd w:val="0"/>
            </w:pPr>
            <w:r w:rsidRPr="00A02621">
              <w:t>Visitor Services</w:t>
            </w:r>
          </w:p>
        </w:tc>
        <w:tc>
          <w:tcPr>
            <w:tcW w:w="529" w:type="pct"/>
            <w:tcBorders>
              <w:top w:val="single" w:sz="4" w:space="0" w:color="auto"/>
              <w:left w:val="single" w:sz="4" w:space="0" w:color="auto"/>
              <w:bottom w:val="single" w:sz="4" w:space="0" w:color="auto"/>
              <w:right w:val="single" w:sz="12" w:space="0" w:color="auto"/>
            </w:tcBorders>
            <w:shd w:val="clear" w:color="auto" w:fill="92D050"/>
            <w:vAlign w:val="center"/>
          </w:tcPr>
          <w:p w14:paraId="597A7575" w14:textId="77777777" w:rsidR="004D3339" w:rsidRPr="00B577DC" w:rsidRDefault="004D3339" w:rsidP="00F0374C">
            <w:pPr>
              <w:autoSpaceDE w:val="0"/>
              <w:autoSpaceDN w:val="0"/>
              <w:adjustRightInd w:val="0"/>
              <w:jc w:val="center"/>
              <w:rPr>
                <w:b/>
                <w:bCs/>
              </w:rPr>
            </w:pPr>
            <w:r w:rsidRPr="00B577DC">
              <w:rPr>
                <w:b/>
                <w:bCs/>
              </w:rPr>
              <w:t>Green</w:t>
            </w:r>
          </w:p>
        </w:tc>
      </w:tr>
      <w:tr w:rsidR="004D3339" w:rsidRPr="00A02621" w14:paraId="555CA5A2" w14:textId="77777777" w:rsidTr="00F0374C">
        <w:trPr>
          <w:trHeight w:val="567"/>
        </w:trPr>
        <w:tc>
          <w:tcPr>
            <w:tcW w:w="1970" w:type="pct"/>
            <w:tcBorders>
              <w:top w:val="single" w:sz="4" w:space="0" w:color="auto"/>
              <w:left w:val="single" w:sz="12" w:space="0" w:color="auto"/>
              <w:bottom w:val="single" w:sz="4" w:space="0" w:color="auto"/>
              <w:right w:val="single" w:sz="4" w:space="0" w:color="auto"/>
            </w:tcBorders>
            <w:shd w:val="clear" w:color="auto" w:fill="auto"/>
            <w:vAlign w:val="center"/>
          </w:tcPr>
          <w:p w14:paraId="6D616B30" w14:textId="77777777" w:rsidR="004D3339" w:rsidRPr="00A02621" w:rsidRDefault="004D3339" w:rsidP="00F0374C">
            <w:pPr>
              <w:autoSpaceDE w:val="0"/>
              <w:autoSpaceDN w:val="0"/>
              <w:adjustRightInd w:val="0"/>
            </w:pPr>
            <w:r w:rsidRPr="00A02621">
              <w:t>People and Organisational Development</w:t>
            </w:r>
          </w:p>
        </w:tc>
        <w:tc>
          <w:tcPr>
            <w:tcW w:w="530" w:type="pct"/>
            <w:tcBorders>
              <w:top w:val="single" w:sz="4" w:space="0" w:color="auto"/>
              <w:left w:val="single" w:sz="4" w:space="0" w:color="auto"/>
              <w:bottom w:val="single" w:sz="4" w:space="0" w:color="auto"/>
              <w:right w:val="single" w:sz="12" w:space="0" w:color="auto"/>
            </w:tcBorders>
            <w:shd w:val="clear" w:color="auto" w:fill="92D050"/>
            <w:vAlign w:val="center"/>
          </w:tcPr>
          <w:p w14:paraId="4D5A0999" w14:textId="77777777" w:rsidR="004D3339" w:rsidRPr="00B577DC" w:rsidRDefault="004D3339" w:rsidP="00F0374C">
            <w:pPr>
              <w:autoSpaceDE w:val="0"/>
              <w:autoSpaceDN w:val="0"/>
              <w:adjustRightInd w:val="0"/>
              <w:jc w:val="center"/>
              <w:rPr>
                <w:b/>
                <w:bCs/>
              </w:rPr>
            </w:pPr>
            <w:r w:rsidRPr="00B577DC">
              <w:rPr>
                <w:b/>
                <w:bCs/>
              </w:rPr>
              <w:t>Green</w:t>
            </w:r>
          </w:p>
        </w:tc>
        <w:tc>
          <w:tcPr>
            <w:tcW w:w="1971" w:type="pct"/>
            <w:tcBorders>
              <w:top w:val="single" w:sz="4" w:space="0" w:color="auto"/>
              <w:left w:val="single" w:sz="12" w:space="0" w:color="auto"/>
              <w:bottom w:val="single" w:sz="4" w:space="0" w:color="auto"/>
              <w:right w:val="single" w:sz="4" w:space="0" w:color="auto"/>
            </w:tcBorders>
            <w:shd w:val="clear" w:color="auto" w:fill="auto"/>
            <w:vAlign w:val="center"/>
          </w:tcPr>
          <w:p w14:paraId="122F017C" w14:textId="77777777" w:rsidR="004D3339" w:rsidRPr="00A02621" w:rsidRDefault="004D3339" w:rsidP="00F0374C">
            <w:pPr>
              <w:autoSpaceDE w:val="0"/>
              <w:autoSpaceDN w:val="0"/>
              <w:adjustRightInd w:val="0"/>
            </w:pPr>
            <w:r w:rsidRPr="00A02621">
              <w:t>People and Organisational Development</w:t>
            </w:r>
          </w:p>
        </w:tc>
        <w:tc>
          <w:tcPr>
            <w:tcW w:w="529" w:type="pct"/>
            <w:tcBorders>
              <w:top w:val="single" w:sz="4" w:space="0" w:color="auto"/>
              <w:left w:val="single" w:sz="4" w:space="0" w:color="auto"/>
              <w:bottom w:val="single" w:sz="4" w:space="0" w:color="auto"/>
              <w:right w:val="single" w:sz="12" w:space="0" w:color="auto"/>
            </w:tcBorders>
            <w:shd w:val="clear" w:color="auto" w:fill="92D050"/>
            <w:vAlign w:val="center"/>
          </w:tcPr>
          <w:p w14:paraId="3058AFCA" w14:textId="77777777" w:rsidR="004D3339" w:rsidRPr="00B577DC" w:rsidRDefault="004D3339" w:rsidP="00F0374C">
            <w:pPr>
              <w:autoSpaceDE w:val="0"/>
              <w:autoSpaceDN w:val="0"/>
              <w:adjustRightInd w:val="0"/>
              <w:jc w:val="center"/>
              <w:rPr>
                <w:b/>
                <w:bCs/>
              </w:rPr>
            </w:pPr>
            <w:r w:rsidRPr="00B577DC">
              <w:rPr>
                <w:b/>
                <w:bCs/>
              </w:rPr>
              <w:t>Green</w:t>
            </w:r>
          </w:p>
        </w:tc>
      </w:tr>
      <w:tr w:rsidR="004D3339" w:rsidRPr="00A02621" w14:paraId="0FB0FE80" w14:textId="77777777" w:rsidTr="00F0374C">
        <w:trPr>
          <w:trHeight w:val="567"/>
        </w:trPr>
        <w:tc>
          <w:tcPr>
            <w:tcW w:w="1970" w:type="pct"/>
            <w:tcBorders>
              <w:top w:val="single" w:sz="4" w:space="0" w:color="auto"/>
              <w:left w:val="single" w:sz="12" w:space="0" w:color="auto"/>
              <w:bottom w:val="single" w:sz="4" w:space="0" w:color="auto"/>
              <w:right w:val="single" w:sz="4" w:space="0" w:color="auto"/>
            </w:tcBorders>
            <w:shd w:val="clear" w:color="auto" w:fill="auto"/>
            <w:vAlign w:val="center"/>
          </w:tcPr>
          <w:p w14:paraId="5E4B1C1B" w14:textId="77777777" w:rsidR="004D3339" w:rsidRPr="00A02621" w:rsidRDefault="004D3339" w:rsidP="00F0374C">
            <w:pPr>
              <w:autoSpaceDE w:val="0"/>
              <w:autoSpaceDN w:val="0"/>
              <w:adjustRightInd w:val="0"/>
            </w:pPr>
            <w:r w:rsidRPr="00A02621">
              <w:t>Resources</w:t>
            </w:r>
          </w:p>
        </w:tc>
        <w:tc>
          <w:tcPr>
            <w:tcW w:w="530" w:type="pct"/>
            <w:tcBorders>
              <w:top w:val="single" w:sz="4" w:space="0" w:color="auto"/>
              <w:left w:val="single" w:sz="4" w:space="0" w:color="auto"/>
              <w:bottom w:val="single" w:sz="4" w:space="0" w:color="auto"/>
              <w:right w:val="single" w:sz="12" w:space="0" w:color="auto"/>
            </w:tcBorders>
            <w:shd w:val="clear" w:color="auto" w:fill="92D050"/>
            <w:vAlign w:val="center"/>
          </w:tcPr>
          <w:p w14:paraId="02821300" w14:textId="77777777" w:rsidR="004D3339" w:rsidRPr="00B577DC" w:rsidRDefault="004D3339" w:rsidP="00F0374C">
            <w:pPr>
              <w:autoSpaceDE w:val="0"/>
              <w:autoSpaceDN w:val="0"/>
              <w:adjustRightInd w:val="0"/>
              <w:jc w:val="center"/>
              <w:rPr>
                <w:b/>
                <w:bCs/>
              </w:rPr>
            </w:pPr>
            <w:r w:rsidRPr="00B577DC">
              <w:rPr>
                <w:b/>
                <w:bCs/>
              </w:rPr>
              <w:t>Green</w:t>
            </w:r>
          </w:p>
        </w:tc>
        <w:tc>
          <w:tcPr>
            <w:tcW w:w="1971" w:type="pct"/>
            <w:tcBorders>
              <w:top w:val="single" w:sz="4" w:space="0" w:color="auto"/>
              <w:left w:val="single" w:sz="12" w:space="0" w:color="auto"/>
              <w:bottom w:val="single" w:sz="4" w:space="0" w:color="auto"/>
              <w:right w:val="single" w:sz="4" w:space="0" w:color="auto"/>
            </w:tcBorders>
            <w:shd w:val="clear" w:color="auto" w:fill="auto"/>
            <w:vAlign w:val="center"/>
          </w:tcPr>
          <w:p w14:paraId="531F9CA6" w14:textId="77777777" w:rsidR="004D3339" w:rsidRPr="00A02621" w:rsidRDefault="004D3339" w:rsidP="00F0374C">
            <w:pPr>
              <w:autoSpaceDE w:val="0"/>
              <w:autoSpaceDN w:val="0"/>
              <w:adjustRightInd w:val="0"/>
            </w:pPr>
            <w:r w:rsidRPr="00A02621">
              <w:t>Resources</w:t>
            </w:r>
          </w:p>
        </w:tc>
        <w:tc>
          <w:tcPr>
            <w:tcW w:w="529" w:type="pct"/>
            <w:tcBorders>
              <w:top w:val="single" w:sz="4" w:space="0" w:color="auto"/>
              <w:left w:val="single" w:sz="4" w:space="0" w:color="auto"/>
              <w:bottom w:val="single" w:sz="4" w:space="0" w:color="auto"/>
              <w:right w:val="single" w:sz="12" w:space="0" w:color="auto"/>
            </w:tcBorders>
            <w:shd w:val="clear" w:color="auto" w:fill="92D050"/>
            <w:vAlign w:val="center"/>
          </w:tcPr>
          <w:p w14:paraId="7EC9683E" w14:textId="77777777" w:rsidR="004D3339" w:rsidRPr="00B577DC" w:rsidRDefault="004D3339" w:rsidP="00F0374C">
            <w:pPr>
              <w:autoSpaceDE w:val="0"/>
              <w:autoSpaceDN w:val="0"/>
              <w:adjustRightInd w:val="0"/>
              <w:jc w:val="center"/>
              <w:rPr>
                <w:b/>
                <w:bCs/>
              </w:rPr>
            </w:pPr>
            <w:r w:rsidRPr="00B577DC">
              <w:rPr>
                <w:b/>
                <w:bCs/>
              </w:rPr>
              <w:t>Green</w:t>
            </w:r>
          </w:p>
        </w:tc>
      </w:tr>
      <w:tr w:rsidR="004D3339" w:rsidRPr="00A02621" w14:paraId="0D3D29D5" w14:textId="77777777" w:rsidTr="00F0374C">
        <w:trPr>
          <w:trHeight w:val="567"/>
        </w:trPr>
        <w:tc>
          <w:tcPr>
            <w:tcW w:w="1970" w:type="pct"/>
            <w:tcBorders>
              <w:top w:val="single" w:sz="4" w:space="0" w:color="auto"/>
              <w:left w:val="single" w:sz="12" w:space="0" w:color="auto"/>
              <w:bottom w:val="single" w:sz="4" w:space="0" w:color="auto"/>
              <w:right w:val="single" w:sz="4" w:space="0" w:color="auto"/>
            </w:tcBorders>
            <w:shd w:val="clear" w:color="auto" w:fill="auto"/>
            <w:vAlign w:val="center"/>
          </w:tcPr>
          <w:p w14:paraId="14201E3D" w14:textId="77777777" w:rsidR="004D3339" w:rsidRPr="00A02621" w:rsidRDefault="004D3339" w:rsidP="00F0374C">
            <w:pPr>
              <w:autoSpaceDE w:val="0"/>
              <w:autoSpaceDN w:val="0"/>
              <w:adjustRightInd w:val="0"/>
            </w:pPr>
            <w:r w:rsidRPr="00A02621">
              <w:t>Development Management</w:t>
            </w:r>
          </w:p>
        </w:tc>
        <w:tc>
          <w:tcPr>
            <w:tcW w:w="530" w:type="pct"/>
            <w:tcBorders>
              <w:top w:val="single" w:sz="4" w:space="0" w:color="auto"/>
              <w:left w:val="single" w:sz="4" w:space="0" w:color="auto"/>
              <w:bottom w:val="single" w:sz="4" w:space="0" w:color="auto"/>
              <w:right w:val="single" w:sz="12" w:space="0" w:color="auto"/>
            </w:tcBorders>
            <w:shd w:val="clear" w:color="auto" w:fill="FF0000"/>
            <w:vAlign w:val="center"/>
          </w:tcPr>
          <w:p w14:paraId="2F34C44E" w14:textId="77777777" w:rsidR="004D3339" w:rsidRPr="00B577DC" w:rsidRDefault="004D3339" w:rsidP="00F0374C">
            <w:pPr>
              <w:autoSpaceDE w:val="0"/>
              <w:autoSpaceDN w:val="0"/>
              <w:adjustRightInd w:val="0"/>
              <w:jc w:val="center"/>
              <w:rPr>
                <w:b/>
                <w:bCs/>
              </w:rPr>
            </w:pPr>
            <w:r w:rsidRPr="00B577DC">
              <w:rPr>
                <w:b/>
                <w:bCs/>
              </w:rPr>
              <w:t>Red</w:t>
            </w:r>
          </w:p>
        </w:tc>
        <w:tc>
          <w:tcPr>
            <w:tcW w:w="1971" w:type="pct"/>
            <w:tcBorders>
              <w:top w:val="single" w:sz="4" w:space="0" w:color="auto"/>
              <w:left w:val="single" w:sz="12" w:space="0" w:color="auto"/>
              <w:bottom w:val="single" w:sz="4" w:space="0" w:color="auto"/>
              <w:right w:val="single" w:sz="4" w:space="0" w:color="auto"/>
            </w:tcBorders>
            <w:shd w:val="clear" w:color="auto" w:fill="auto"/>
            <w:vAlign w:val="center"/>
          </w:tcPr>
          <w:p w14:paraId="165BBC61" w14:textId="77777777" w:rsidR="004D3339" w:rsidRPr="00A02621" w:rsidRDefault="004D3339" w:rsidP="00F0374C">
            <w:pPr>
              <w:autoSpaceDE w:val="0"/>
              <w:autoSpaceDN w:val="0"/>
              <w:adjustRightInd w:val="0"/>
            </w:pPr>
            <w:r w:rsidRPr="00A02621">
              <w:t>Development Management</w:t>
            </w:r>
          </w:p>
        </w:tc>
        <w:tc>
          <w:tcPr>
            <w:tcW w:w="529" w:type="pct"/>
            <w:tcBorders>
              <w:top w:val="single" w:sz="4" w:space="0" w:color="auto"/>
              <w:left w:val="single" w:sz="4" w:space="0" w:color="auto"/>
              <w:bottom w:val="single" w:sz="4" w:space="0" w:color="auto"/>
              <w:right w:val="single" w:sz="12" w:space="0" w:color="auto"/>
            </w:tcBorders>
            <w:shd w:val="clear" w:color="auto" w:fill="FFC000"/>
            <w:vAlign w:val="center"/>
          </w:tcPr>
          <w:p w14:paraId="5856991F" w14:textId="77777777" w:rsidR="004D3339" w:rsidRPr="00B577DC" w:rsidRDefault="004D3339" w:rsidP="00F0374C">
            <w:pPr>
              <w:autoSpaceDE w:val="0"/>
              <w:autoSpaceDN w:val="0"/>
              <w:adjustRightInd w:val="0"/>
              <w:jc w:val="center"/>
              <w:rPr>
                <w:b/>
                <w:bCs/>
              </w:rPr>
            </w:pPr>
            <w:r w:rsidRPr="00B577DC">
              <w:rPr>
                <w:b/>
                <w:bCs/>
              </w:rPr>
              <w:t>Amber</w:t>
            </w:r>
          </w:p>
        </w:tc>
      </w:tr>
      <w:tr w:rsidR="004D3339" w:rsidRPr="00A02621" w14:paraId="2F74DDD6" w14:textId="77777777" w:rsidTr="00F0374C">
        <w:trPr>
          <w:trHeight w:val="567"/>
        </w:trPr>
        <w:tc>
          <w:tcPr>
            <w:tcW w:w="1970" w:type="pct"/>
            <w:tcBorders>
              <w:top w:val="single" w:sz="4" w:space="0" w:color="auto"/>
              <w:left w:val="single" w:sz="12" w:space="0" w:color="auto"/>
              <w:bottom w:val="single" w:sz="12" w:space="0" w:color="auto"/>
              <w:right w:val="single" w:sz="4" w:space="0" w:color="auto"/>
            </w:tcBorders>
            <w:shd w:val="clear" w:color="auto" w:fill="auto"/>
            <w:vAlign w:val="center"/>
          </w:tcPr>
          <w:p w14:paraId="7E7A959C" w14:textId="77777777" w:rsidR="004D3339" w:rsidRPr="00A02621" w:rsidRDefault="004D3339" w:rsidP="00F0374C">
            <w:pPr>
              <w:autoSpaceDE w:val="0"/>
              <w:autoSpaceDN w:val="0"/>
              <w:adjustRightInd w:val="0"/>
            </w:pPr>
            <w:r w:rsidRPr="00A02621">
              <w:t>Strategy and Ranger service</w:t>
            </w:r>
          </w:p>
        </w:tc>
        <w:tc>
          <w:tcPr>
            <w:tcW w:w="530" w:type="pct"/>
            <w:tcBorders>
              <w:top w:val="single" w:sz="4" w:space="0" w:color="auto"/>
              <w:left w:val="single" w:sz="4" w:space="0" w:color="auto"/>
              <w:bottom w:val="single" w:sz="12" w:space="0" w:color="auto"/>
              <w:right w:val="single" w:sz="12" w:space="0" w:color="auto"/>
            </w:tcBorders>
            <w:shd w:val="clear" w:color="auto" w:fill="92D050"/>
            <w:vAlign w:val="center"/>
          </w:tcPr>
          <w:p w14:paraId="3FCA7B95" w14:textId="77777777" w:rsidR="004D3339" w:rsidRPr="00B577DC" w:rsidRDefault="004D3339" w:rsidP="00F0374C">
            <w:pPr>
              <w:autoSpaceDE w:val="0"/>
              <w:autoSpaceDN w:val="0"/>
              <w:adjustRightInd w:val="0"/>
              <w:jc w:val="center"/>
              <w:rPr>
                <w:b/>
                <w:bCs/>
              </w:rPr>
            </w:pPr>
            <w:r w:rsidRPr="00B577DC">
              <w:rPr>
                <w:b/>
                <w:bCs/>
              </w:rPr>
              <w:t>Green</w:t>
            </w:r>
          </w:p>
        </w:tc>
        <w:tc>
          <w:tcPr>
            <w:tcW w:w="1971" w:type="pct"/>
            <w:tcBorders>
              <w:top w:val="single" w:sz="4" w:space="0" w:color="auto"/>
              <w:left w:val="single" w:sz="12" w:space="0" w:color="auto"/>
              <w:bottom w:val="single" w:sz="12" w:space="0" w:color="auto"/>
              <w:right w:val="single" w:sz="4" w:space="0" w:color="auto"/>
            </w:tcBorders>
            <w:shd w:val="clear" w:color="auto" w:fill="auto"/>
            <w:vAlign w:val="center"/>
          </w:tcPr>
          <w:p w14:paraId="55F3CAFC" w14:textId="77777777" w:rsidR="004D3339" w:rsidRPr="00A02621" w:rsidRDefault="004D3339" w:rsidP="00F0374C">
            <w:pPr>
              <w:autoSpaceDE w:val="0"/>
              <w:autoSpaceDN w:val="0"/>
              <w:adjustRightInd w:val="0"/>
            </w:pPr>
            <w:r w:rsidRPr="00A02621">
              <w:t>Strategy and Ranger service</w:t>
            </w:r>
          </w:p>
        </w:tc>
        <w:tc>
          <w:tcPr>
            <w:tcW w:w="529" w:type="pct"/>
            <w:tcBorders>
              <w:top w:val="single" w:sz="4" w:space="0" w:color="auto"/>
              <w:left w:val="single" w:sz="4" w:space="0" w:color="auto"/>
              <w:bottom w:val="single" w:sz="12" w:space="0" w:color="auto"/>
              <w:right w:val="single" w:sz="12" w:space="0" w:color="auto"/>
            </w:tcBorders>
            <w:shd w:val="clear" w:color="auto" w:fill="92D050"/>
            <w:vAlign w:val="center"/>
          </w:tcPr>
          <w:p w14:paraId="04BF06CF" w14:textId="77777777" w:rsidR="004D3339" w:rsidRPr="00B577DC" w:rsidRDefault="004D3339" w:rsidP="00F0374C">
            <w:pPr>
              <w:autoSpaceDE w:val="0"/>
              <w:autoSpaceDN w:val="0"/>
              <w:adjustRightInd w:val="0"/>
              <w:jc w:val="center"/>
              <w:rPr>
                <w:b/>
                <w:bCs/>
              </w:rPr>
            </w:pPr>
            <w:r w:rsidRPr="00B577DC">
              <w:rPr>
                <w:b/>
                <w:bCs/>
              </w:rPr>
              <w:t>Green</w:t>
            </w:r>
          </w:p>
        </w:tc>
      </w:tr>
    </w:tbl>
    <w:p w14:paraId="316F1BC8" w14:textId="77777777" w:rsidR="004D3339" w:rsidRPr="00A02621" w:rsidRDefault="004D3339" w:rsidP="004D3339">
      <w:pPr>
        <w:autoSpaceDE w:val="0"/>
        <w:autoSpaceDN w:val="0"/>
        <w:adjustRightInd w:val="0"/>
      </w:pPr>
    </w:p>
    <w:p w14:paraId="0E89949C" w14:textId="77777777" w:rsidR="004D3339" w:rsidRPr="00634E9F" w:rsidRDefault="004D3339" w:rsidP="004D3339">
      <w:pPr>
        <w:autoSpaceDE w:val="0"/>
        <w:autoSpaceDN w:val="0"/>
        <w:adjustRightInd w:val="0"/>
        <w:spacing w:after="40"/>
        <w:ind w:firstLine="357"/>
        <w:rPr>
          <w:b/>
          <w:bCs/>
        </w:rPr>
      </w:pPr>
      <w:r w:rsidRPr="00634E9F">
        <w:rPr>
          <w:b/>
          <w:bCs/>
        </w:rPr>
        <w:t>Performance Indicators</w:t>
      </w:r>
    </w:p>
    <w:p w14:paraId="4F16ED0D" w14:textId="77777777" w:rsidR="004D3339" w:rsidRPr="001F5463" w:rsidRDefault="004D3339" w:rsidP="004D3339">
      <w:pPr>
        <w:numPr>
          <w:ilvl w:val="0"/>
          <w:numId w:val="19"/>
        </w:numPr>
        <w:autoSpaceDE w:val="0"/>
        <w:autoSpaceDN w:val="0"/>
        <w:adjustRightInd w:val="0"/>
        <w:spacing w:after="40"/>
        <w:ind w:left="714" w:hanging="357"/>
        <w:rPr>
          <w:rFonts w:cs="Arial"/>
          <w:bCs/>
        </w:rPr>
      </w:pPr>
      <w:r w:rsidRPr="001F5463">
        <w:rPr>
          <w:rFonts w:cs="Arial"/>
          <w:bCs/>
        </w:rPr>
        <w:t>We set targets for key performance indicators and monitor them at service level during the year.</w:t>
      </w:r>
    </w:p>
    <w:p w14:paraId="3D90F765" w14:textId="77777777" w:rsidR="004D3339" w:rsidRPr="001F5463" w:rsidRDefault="004D3339" w:rsidP="004D3339">
      <w:pPr>
        <w:numPr>
          <w:ilvl w:val="0"/>
          <w:numId w:val="19"/>
        </w:numPr>
        <w:autoSpaceDE w:val="0"/>
        <w:autoSpaceDN w:val="0"/>
        <w:adjustRightInd w:val="0"/>
        <w:spacing w:after="40"/>
        <w:ind w:left="714" w:hanging="357"/>
        <w:rPr>
          <w:rFonts w:cs="Arial"/>
          <w:bCs/>
        </w:rPr>
      </w:pPr>
      <w:r w:rsidRPr="001F5463">
        <w:rPr>
          <w:rFonts w:cs="Arial"/>
          <w:bCs/>
        </w:rPr>
        <w:t xml:space="preserve">For consistency in our Statement of Accounts, in the table below we have shown performance indicators </w:t>
      </w:r>
      <w:r>
        <w:rPr>
          <w:rFonts w:cs="Arial"/>
          <w:bCs/>
        </w:rPr>
        <w:t xml:space="preserve">from across all service areas </w:t>
      </w:r>
      <w:r w:rsidRPr="001F5463">
        <w:rPr>
          <w:rFonts w:cs="Arial"/>
          <w:bCs/>
        </w:rPr>
        <w:t>which are broadly comparable to those we have reported in previous years:</w:t>
      </w:r>
    </w:p>
    <w:p w14:paraId="7D6FB834" w14:textId="77777777" w:rsidR="004D3339" w:rsidRPr="00A02621" w:rsidRDefault="004D3339" w:rsidP="004D3339"/>
    <w:tbl>
      <w:tblPr>
        <w:tblW w:w="480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1796"/>
        <w:gridCol w:w="1379"/>
        <w:gridCol w:w="1792"/>
        <w:gridCol w:w="811"/>
      </w:tblGrid>
      <w:tr w:rsidR="004D3339" w:rsidRPr="00A02621" w14:paraId="1A4ED8F1" w14:textId="77777777" w:rsidTr="00F0374C">
        <w:trPr>
          <w:cantSplit/>
          <w:trHeight w:val="476"/>
          <w:tblHeader/>
        </w:trPr>
        <w:tc>
          <w:tcPr>
            <w:tcW w:w="1871" w:type="pct"/>
            <w:vMerge w:val="restart"/>
            <w:tcBorders>
              <w:top w:val="single" w:sz="12" w:space="0" w:color="auto"/>
              <w:left w:val="single" w:sz="12" w:space="0" w:color="auto"/>
              <w:right w:val="single" w:sz="12" w:space="0" w:color="auto"/>
            </w:tcBorders>
            <w:shd w:val="clear" w:color="auto" w:fill="D9D9D9"/>
          </w:tcPr>
          <w:p w14:paraId="41FA8CEA" w14:textId="77777777" w:rsidR="004D3339" w:rsidRPr="00A02621" w:rsidRDefault="004D3339" w:rsidP="00F0374C">
            <w:pPr>
              <w:spacing w:before="40" w:after="40"/>
              <w:ind w:right="-108"/>
              <w:rPr>
                <w:b/>
              </w:rPr>
            </w:pPr>
            <w:r w:rsidRPr="00A02621">
              <w:rPr>
                <w:rFonts w:cs="Arial"/>
                <w:bCs/>
              </w:rPr>
              <w:br w:type="page"/>
            </w:r>
            <w:r w:rsidRPr="00A02621">
              <w:rPr>
                <w:b/>
              </w:rPr>
              <w:t>Performance Indicator</w:t>
            </w:r>
          </w:p>
        </w:tc>
        <w:tc>
          <w:tcPr>
            <w:tcW w:w="975" w:type="pct"/>
            <w:tcBorders>
              <w:top w:val="single" w:sz="12" w:space="0" w:color="auto"/>
              <w:left w:val="single" w:sz="12" w:space="0" w:color="auto"/>
              <w:right w:val="single" w:sz="12" w:space="0" w:color="auto"/>
            </w:tcBorders>
            <w:shd w:val="clear" w:color="auto" w:fill="D9D9D9"/>
          </w:tcPr>
          <w:p w14:paraId="43FCC7BF" w14:textId="77777777" w:rsidR="004D3339" w:rsidRPr="00A02621" w:rsidRDefault="004D3339" w:rsidP="00F0374C">
            <w:pPr>
              <w:spacing w:before="40" w:after="40"/>
              <w:jc w:val="center"/>
              <w:rPr>
                <w:b/>
              </w:rPr>
            </w:pPr>
            <w:r w:rsidRPr="00A02621">
              <w:rPr>
                <w:b/>
              </w:rPr>
              <w:t>2022/23</w:t>
            </w:r>
          </w:p>
        </w:tc>
        <w:tc>
          <w:tcPr>
            <w:tcW w:w="2154" w:type="pct"/>
            <w:gridSpan w:val="3"/>
            <w:tcBorders>
              <w:top w:val="single" w:sz="12" w:space="0" w:color="auto"/>
              <w:left w:val="single" w:sz="12" w:space="0" w:color="auto"/>
              <w:right w:val="single" w:sz="12" w:space="0" w:color="auto"/>
            </w:tcBorders>
            <w:shd w:val="clear" w:color="auto" w:fill="D9D9D9"/>
          </w:tcPr>
          <w:p w14:paraId="5387C2F3" w14:textId="77777777" w:rsidR="004D3339" w:rsidRPr="00A02621" w:rsidRDefault="004D3339" w:rsidP="00F0374C">
            <w:pPr>
              <w:spacing w:before="40" w:after="40"/>
              <w:ind w:left="-91" w:right="-108" w:hanging="17"/>
              <w:jc w:val="center"/>
              <w:rPr>
                <w:b/>
              </w:rPr>
            </w:pPr>
            <w:r w:rsidRPr="00A02621">
              <w:rPr>
                <w:b/>
              </w:rPr>
              <w:t>2023/24</w:t>
            </w:r>
          </w:p>
        </w:tc>
      </w:tr>
      <w:tr w:rsidR="004D3339" w:rsidRPr="00A02621" w14:paraId="23FCDA57" w14:textId="77777777" w:rsidTr="00F0374C">
        <w:trPr>
          <w:cantSplit/>
          <w:trHeight w:val="599"/>
          <w:tblHeader/>
        </w:trPr>
        <w:tc>
          <w:tcPr>
            <w:tcW w:w="1871" w:type="pct"/>
            <w:vMerge/>
            <w:tcBorders>
              <w:left w:val="single" w:sz="12" w:space="0" w:color="auto"/>
              <w:bottom w:val="single" w:sz="12" w:space="0" w:color="auto"/>
              <w:right w:val="single" w:sz="12" w:space="0" w:color="auto"/>
            </w:tcBorders>
            <w:shd w:val="clear" w:color="auto" w:fill="D9D9D9"/>
          </w:tcPr>
          <w:p w14:paraId="5DE56845" w14:textId="77777777" w:rsidR="004D3339" w:rsidRPr="00A02621" w:rsidRDefault="004D3339" w:rsidP="00F0374C">
            <w:pPr>
              <w:spacing w:before="40" w:after="40"/>
              <w:rPr>
                <w:b/>
                <w:sz w:val="22"/>
                <w:szCs w:val="22"/>
              </w:rPr>
            </w:pPr>
          </w:p>
        </w:tc>
        <w:tc>
          <w:tcPr>
            <w:tcW w:w="975" w:type="pct"/>
            <w:tcBorders>
              <w:left w:val="single" w:sz="12" w:space="0" w:color="auto"/>
              <w:bottom w:val="single" w:sz="12" w:space="0" w:color="auto"/>
              <w:right w:val="single" w:sz="12" w:space="0" w:color="auto"/>
            </w:tcBorders>
            <w:shd w:val="clear" w:color="auto" w:fill="D9D9D9"/>
          </w:tcPr>
          <w:p w14:paraId="44DE0D49" w14:textId="77777777" w:rsidR="004D3339" w:rsidRPr="00A02621" w:rsidRDefault="004D3339" w:rsidP="00F0374C">
            <w:pPr>
              <w:spacing w:before="40" w:after="40"/>
              <w:jc w:val="center"/>
              <w:rPr>
                <w:b/>
              </w:rPr>
            </w:pPr>
            <w:r w:rsidRPr="00A02621">
              <w:rPr>
                <w:b/>
              </w:rPr>
              <w:t>Actual</w:t>
            </w:r>
          </w:p>
        </w:tc>
        <w:tc>
          <w:tcPr>
            <w:tcW w:w="749" w:type="pct"/>
            <w:tcBorders>
              <w:top w:val="single" w:sz="4" w:space="0" w:color="auto"/>
              <w:left w:val="single" w:sz="12" w:space="0" w:color="auto"/>
              <w:bottom w:val="single" w:sz="12" w:space="0" w:color="auto"/>
              <w:right w:val="single" w:sz="4" w:space="0" w:color="auto"/>
            </w:tcBorders>
            <w:shd w:val="clear" w:color="auto" w:fill="D9D9D9"/>
          </w:tcPr>
          <w:p w14:paraId="15B08AC8" w14:textId="77777777" w:rsidR="004D3339" w:rsidRPr="00A02621" w:rsidRDefault="004D3339" w:rsidP="00F0374C">
            <w:pPr>
              <w:spacing w:before="40" w:after="40"/>
              <w:ind w:left="-108" w:right="-108"/>
              <w:jc w:val="center"/>
              <w:rPr>
                <w:b/>
              </w:rPr>
            </w:pPr>
            <w:r w:rsidRPr="00A02621">
              <w:rPr>
                <w:b/>
              </w:rPr>
              <w:t>Target</w:t>
            </w:r>
          </w:p>
        </w:tc>
        <w:tc>
          <w:tcPr>
            <w:tcW w:w="972" w:type="pct"/>
            <w:tcBorders>
              <w:top w:val="single" w:sz="4" w:space="0" w:color="auto"/>
              <w:left w:val="single" w:sz="4" w:space="0" w:color="auto"/>
              <w:bottom w:val="single" w:sz="12" w:space="0" w:color="auto"/>
              <w:right w:val="single" w:sz="4" w:space="0" w:color="auto"/>
            </w:tcBorders>
            <w:shd w:val="clear" w:color="auto" w:fill="D9D9D9"/>
          </w:tcPr>
          <w:p w14:paraId="30C8C54B" w14:textId="77777777" w:rsidR="004D3339" w:rsidRPr="00A02621" w:rsidRDefault="004D3339" w:rsidP="00F0374C">
            <w:pPr>
              <w:spacing w:before="40" w:after="40"/>
              <w:ind w:left="-108" w:right="-108"/>
              <w:jc w:val="center"/>
              <w:rPr>
                <w:b/>
              </w:rPr>
            </w:pPr>
            <w:r w:rsidRPr="00A02621">
              <w:rPr>
                <w:b/>
              </w:rPr>
              <w:t>Actual</w:t>
            </w:r>
          </w:p>
        </w:tc>
        <w:tc>
          <w:tcPr>
            <w:tcW w:w="433" w:type="pct"/>
            <w:tcBorders>
              <w:top w:val="single" w:sz="4" w:space="0" w:color="auto"/>
              <w:left w:val="single" w:sz="4" w:space="0" w:color="auto"/>
              <w:bottom w:val="single" w:sz="12" w:space="0" w:color="auto"/>
              <w:right w:val="single" w:sz="12" w:space="0" w:color="auto"/>
            </w:tcBorders>
            <w:shd w:val="clear" w:color="auto" w:fill="D9D9D9"/>
          </w:tcPr>
          <w:p w14:paraId="21458F49" w14:textId="77777777" w:rsidR="004D3339" w:rsidRPr="00A02621" w:rsidRDefault="004D3339" w:rsidP="00F0374C">
            <w:pPr>
              <w:spacing w:before="40" w:after="40"/>
              <w:ind w:left="-108" w:right="-136"/>
              <w:jc w:val="center"/>
              <w:rPr>
                <w:b/>
              </w:rPr>
            </w:pPr>
            <w:r w:rsidRPr="00A02621">
              <w:rPr>
                <w:b/>
              </w:rPr>
              <w:t>Target</w:t>
            </w:r>
          </w:p>
          <w:p w14:paraId="0496B07A" w14:textId="77777777" w:rsidR="004D3339" w:rsidRPr="00A02621" w:rsidRDefault="004D3339" w:rsidP="00F0374C">
            <w:pPr>
              <w:spacing w:before="40" w:after="40"/>
              <w:ind w:left="-108" w:right="-136"/>
              <w:jc w:val="center"/>
              <w:rPr>
                <w:b/>
              </w:rPr>
            </w:pPr>
            <w:r w:rsidRPr="00A02621">
              <w:rPr>
                <w:b/>
              </w:rPr>
              <w:t>met</w:t>
            </w:r>
          </w:p>
        </w:tc>
      </w:tr>
      <w:tr w:rsidR="004D3339" w:rsidRPr="00A02621" w14:paraId="5C9CEB85" w14:textId="77777777" w:rsidTr="00F0374C">
        <w:trPr>
          <w:cantSplit/>
          <w:trHeight w:val="397"/>
        </w:trPr>
        <w:tc>
          <w:tcPr>
            <w:tcW w:w="5000" w:type="pct"/>
            <w:gridSpan w:val="5"/>
            <w:tcBorders>
              <w:top w:val="single" w:sz="12" w:space="0" w:color="auto"/>
              <w:left w:val="single" w:sz="12" w:space="0" w:color="auto"/>
              <w:bottom w:val="single" w:sz="2" w:space="0" w:color="auto"/>
              <w:right w:val="single" w:sz="12" w:space="0" w:color="auto"/>
            </w:tcBorders>
            <w:shd w:val="clear" w:color="auto" w:fill="F2F2F2"/>
            <w:vAlign w:val="center"/>
          </w:tcPr>
          <w:p w14:paraId="365100EA" w14:textId="77777777" w:rsidR="004D3339" w:rsidRPr="00A02621" w:rsidRDefault="004D3339" w:rsidP="00F0374C">
            <w:pPr>
              <w:spacing w:before="40" w:after="40"/>
              <w:rPr>
                <w:rFonts w:cs="Arial"/>
                <w:b/>
              </w:rPr>
            </w:pPr>
            <w:r w:rsidRPr="00A02621">
              <w:rPr>
                <w:rFonts w:cs="Arial"/>
                <w:b/>
              </w:rPr>
              <w:t>Vision Outcome: Contributing to a Prosperous Economy</w:t>
            </w:r>
          </w:p>
        </w:tc>
      </w:tr>
      <w:tr w:rsidR="004D3339" w:rsidRPr="00A02621" w14:paraId="5FFDE8C8" w14:textId="77777777" w:rsidTr="00F0374C">
        <w:trPr>
          <w:cantSplit/>
          <w:trHeight w:val="622"/>
        </w:trPr>
        <w:tc>
          <w:tcPr>
            <w:tcW w:w="1871" w:type="pct"/>
            <w:tcBorders>
              <w:top w:val="nil"/>
              <w:left w:val="single" w:sz="12" w:space="0" w:color="auto"/>
              <w:bottom w:val="single" w:sz="4" w:space="0" w:color="auto"/>
              <w:right w:val="single" w:sz="12" w:space="0" w:color="auto"/>
            </w:tcBorders>
            <w:shd w:val="clear" w:color="auto" w:fill="FFFFFF"/>
          </w:tcPr>
          <w:p w14:paraId="0B043758" w14:textId="77777777" w:rsidR="004D3339" w:rsidRPr="0024747D" w:rsidRDefault="004D3339" w:rsidP="00F0374C">
            <w:pPr>
              <w:spacing w:before="40" w:after="40"/>
            </w:pPr>
            <w:r w:rsidRPr="0024747D">
              <w:t>Major planning applications</w:t>
            </w:r>
            <w:r>
              <w:t xml:space="preserve">: percentage </w:t>
            </w:r>
            <w:r w:rsidRPr="0024747D">
              <w:t>determined within 13 weeks</w:t>
            </w:r>
          </w:p>
        </w:tc>
        <w:tc>
          <w:tcPr>
            <w:tcW w:w="975" w:type="pct"/>
            <w:tcBorders>
              <w:top w:val="dotted" w:sz="4" w:space="0" w:color="auto"/>
              <w:left w:val="single" w:sz="12" w:space="0" w:color="auto"/>
              <w:bottom w:val="single" w:sz="4" w:space="0" w:color="auto"/>
              <w:right w:val="single" w:sz="12" w:space="0" w:color="auto"/>
            </w:tcBorders>
            <w:shd w:val="clear" w:color="auto" w:fill="F2F2F2"/>
          </w:tcPr>
          <w:p w14:paraId="3BCBDF45" w14:textId="77777777" w:rsidR="004D3339" w:rsidRPr="00A02621" w:rsidRDefault="004D3339" w:rsidP="00F0374C">
            <w:pPr>
              <w:spacing w:before="40" w:after="40"/>
              <w:ind w:left="-108" w:right="-108"/>
              <w:jc w:val="center"/>
              <w:rPr>
                <w:rFonts w:cs="Arial"/>
                <w:b/>
              </w:rPr>
            </w:pPr>
            <w:r w:rsidRPr="00A02621">
              <w:rPr>
                <w:rFonts w:cs="Arial"/>
                <w:b/>
              </w:rPr>
              <w:t>100%</w:t>
            </w:r>
          </w:p>
          <w:p w14:paraId="17412BAB" w14:textId="77777777" w:rsidR="004D3339" w:rsidRPr="00A02621" w:rsidRDefault="004D3339" w:rsidP="00F0374C">
            <w:pPr>
              <w:spacing w:before="40" w:after="40"/>
              <w:ind w:left="-159" w:right="-108"/>
              <w:jc w:val="center"/>
              <w:rPr>
                <w:rFonts w:cs="Arial"/>
              </w:rPr>
            </w:pPr>
            <w:r w:rsidRPr="00A02621">
              <w:rPr>
                <w:rFonts w:cs="Arial"/>
              </w:rPr>
              <w:t>(9 / 9)</w:t>
            </w:r>
          </w:p>
        </w:tc>
        <w:tc>
          <w:tcPr>
            <w:tcW w:w="749" w:type="pct"/>
            <w:tcBorders>
              <w:top w:val="dotted" w:sz="4" w:space="0" w:color="auto"/>
              <w:left w:val="single" w:sz="12" w:space="0" w:color="auto"/>
              <w:bottom w:val="single" w:sz="4" w:space="0" w:color="auto"/>
              <w:right w:val="single" w:sz="4" w:space="0" w:color="auto"/>
            </w:tcBorders>
            <w:shd w:val="clear" w:color="auto" w:fill="FFFFFF"/>
          </w:tcPr>
          <w:p w14:paraId="3A34EB2E" w14:textId="77777777" w:rsidR="004D3339" w:rsidRPr="00A02621" w:rsidRDefault="004D3339" w:rsidP="00F0374C">
            <w:pPr>
              <w:spacing w:before="40" w:after="40"/>
              <w:ind w:left="-108" w:right="-108"/>
              <w:jc w:val="center"/>
              <w:rPr>
                <w:b/>
              </w:rPr>
            </w:pPr>
            <w:r>
              <w:rPr>
                <w:rFonts w:cs="Arial"/>
              </w:rPr>
              <w:t xml:space="preserve">&gt; </w:t>
            </w:r>
            <w:r w:rsidRPr="00A02621">
              <w:rPr>
                <w:rFonts w:cs="Arial"/>
              </w:rPr>
              <w:t>60%</w:t>
            </w:r>
          </w:p>
        </w:tc>
        <w:tc>
          <w:tcPr>
            <w:tcW w:w="972" w:type="pct"/>
            <w:tcBorders>
              <w:top w:val="dotted" w:sz="4" w:space="0" w:color="auto"/>
              <w:left w:val="single" w:sz="4" w:space="0" w:color="auto"/>
              <w:bottom w:val="single" w:sz="4" w:space="0" w:color="auto"/>
              <w:right w:val="single" w:sz="2" w:space="0" w:color="auto"/>
            </w:tcBorders>
            <w:shd w:val="clear" w:color="auto" w:fill="F2F2F2"/>
          </w:tcPr>
          <w:p w14:paraId="1B2F160F" w14:textId="77777777" w:rsidR="004D3339" w:rsidRPr="00005D77" w:rsidRDefault="004D3339" w:rsidP="00F0374C">
            <w:pPr>
              <w:spacing w:before="40" w:after="40"/>
              <w:ind w:left="-108" w:right="-108"/>
              <w:jc w:val="center"/>
              <w:rPr>
                <w:rFonts w:cs="Arial"/>
                <w:b/>
              </w:rPr>
            </w:pPr>
            <w:r w:rsidRPr="00005D77">
              <w:rPr>
                <w:rFonts w:cs="Arial"/>
                <w:b/>
              </w:rPr>
              <w:t>78%</w:t>
            </w:r>
          </w:p>
          <w:p w14:paraId="786E08D3" w14:textId="77777777" w:rsidR="004D3339" w:rsidRPr="00A02621" w:rsidRDefault="004D3339" w:rsidP="00F0374C">
            <w:pPr>
              <w:spacing w:before="40" w:after="40"/>
              <w:ind w:left="-159" w:right="-108"/>
              <w:jc w:val="center"/>
              <w:rPr>
                <w:rFonts w:cs="Arial"/>
                <w:highlight w:val="yellow"/>
              </w:rPr>
            </w:pPr>
            <w:r w:rsidRPr="00005D77">
              <w:rPr>
                <w:rFonts w:cs="Arial"/>
              </w:rPr>
              <w:t>(7 / 9)</w:t>
            </w:r>
          </w:p>
        </w:tc>
        <w:tc>
          <w:tcPr>
            <w:tcW w:w="433" w:type="pct"/>
            <w:tcBorders>
              <w:top w:val="single" w:sz="4" w:space="0" w:color="auto"/>
              <w:bottom w:val="single" w:sz="4" w:space="0" w:color="auto"/>
              <w:right w:val="single" w:sz="12" w:space="0" w:color="auto"/>
            </w:tcBorders>
            <w:shd w:val="clear" w:color="auto" w:fill="92D050"/>
          </w:tcPr>
          <w:p w14:paraId="30557C84" w14:textId="77777777" w:rsidR="004D3339" w:rsidRPr="00B577DC" w:rsidRDefault="004D3339" w:rsidP="00F0374C">
            <w:pPr>
              <w:spacing w:before="40" w:after="40"/>
              <w:jc w:val="center"/>
              <w:rPr>
                <w:b/>
                <w:bCs/>
              </w:rPr>
            </w:pPr>
            <w:r w:rsidRPr="00B577DC">
              <w:rPr>
                <w:b/>
                <w:bCs/>
                <w:sz w:val="40"/>
                <w:szCs w:val="52"/>
              </w:rPr>
              <w:sym w:font="Wingdings" w:char="F04A"/>
            </w:r>
          </w:p>
          <w:p w14:paraId="5A96A327" w14:textId="77777777" w:rsidR="004D3339" w:rsidRPr="00B577DC" w:rsidRDefault="004D3339" w:rsidP="00F0374C">
            <w:pPr>
              <w:spacing w:before="40" w:after="40"/>
              <w:ind w:left="-108" w:right="-108"/>
              <w:jc w:val="center"/>
              <w:rPr>
                <w:b/>
                <w:bCs/>
              </w:rPr>
            </w:pPr>
            <w:r w:rsidRPr="00B577DC">
              <w:rPr>
                <w:b/>
                <w:bCs/>
              </w:rPr>
              <w:t>Yes</w:t>
            </w:r>
          </w:p>
        </w:tc>
      </w:tr>
      <w:tr w:rsidR="004D3339" w:rsidRPr="00A02621" w14:paraId="7FEF4D49" w14:textId="77777777" w:rsidTr="00F0374C">
        <w:trPr>
          <w:cantSplit/>
          <w:trHeight w:val="70"/>
        </w:trPr>
        <w:tc>
          <w:tcPr>
            <w:tcW w:w="1871" w:type="pct"/>
            <w:tcBorders>
              <w:top w:val="nil"/>
              <w:left w:val="single" w:sz="12" w:space="0" w:color="auto"/>
              <w:bottom w:val="single" w:sz="4" w:space="0" w:color="auto"/>
              <w:right w:val="single" w:sz="12" w:space="0" w:color="auto"/>
            </w:tcBorders>
            <w:shd w:val="clear" w:color="auto" w:fill="FFFFFF"/>
          </w:tcPr>
          <w:p w14:paraId="2AD823CA" w14:textId="77777777" w:rsidR="004D3339" w:rsidRPr="0024747D" w:rsidRDefault="004D3339" w:rsidP="00F0374C">
            <w:pPr>
              <w:spacing w:before="40" w:after="40"/>
            </w:pPr>
            <w:r w:rsidRPr="0024747D">
              <w:t>Non-major planning applications</w:t>
            </w:r>
            <w:r>
              <w:t>: percentage</w:t>
            </w:r>
            <w:r w:rsidRPr="0024747D">
              <w:t xml:space="preserve"> determined within eight weeks</w:t>
            </w:r>
          </w:p>
        </w:tc>
        <w:tc>
          <w:tcPr>
            <w:tcW w:w="975" w:type="pct"/>
            <w:tcBorders>
              <w:top w:val="dotted" w:sz="4" w:space="0" w:color="auto"/>
              <w:left w:val="single" w:sz="12" w:space="0" w:color="auto"/>
              <w:bottom w:val="single" w:sz="4" w:space="0" w:color="auto"/>
              <w:right w:val="single" w:sz="12" w:space="0" w:color="auto"/>
            </w:tcBorders>
            <w:shd w:val="clear" w:color="auto" w:fill="F2F2F2"/>
          </w:tcPr>
          <w:p w14:paraId="40E1BBC6" w14:textId="77777777" w:rsidR="004D3339" w:rsidRPr="00A02621" w:rsidRDefault="004D3339" w:rsidP="00F0374C">
            <w:pPr>
              <w:spacing w:before="40" w:after="40"/>
              <w:ind w:left="-108" w:right="-108"/>
              <w:jc w:val="center"/>
              <w:rPr>
                <w:rFonts w:cs="Arial"/>
                <w:bCs/>
              </w:rPr>
            </w:pPr>
            <w:r w:rsidRPr="00A02621">
              <w:rPr>
                <w:rFonts w:cs="Arial"/>
                <w:bCs/>
              </w:rPr>
              <w:t>New indicator in 2023/24</w:t>
            </w:r>
          </w:p>
        </w:tc>
        <w:tc>
          <w:tcPr>
            <w:tcW w:w="749" w:type="pct"/>
            <w:tcBorders>
              <w:top w:val="dotted" w:sz="4" w:space="0" w:color="auto"/>
              <w:left w:val="single" w:sz="12" w:space="0" w:color="auto"/>
              <w:bottom w:val="single" w:sz="4" w:space="0" w:color="auto"/>
              <w:right w:val="single" w:sz="4" w:space="0" w:color="auto"/>
            </w:tcBorders>
            <w:shd w:val="clear" w:color="auto" w:fill="FFFFFF"/>
          </w:tcPr>
          <w:p w14:paraId="2EED6808" w14:textId="77777777" w:rsidR="004D3339" w:rsidRPr="00A02621" w:rsidRDefault="004D3339" w:rsidP="00F0374C">
            <w:pPr>
              <w:spacing w:before="40" w:after="40"/>
              <w:ind w:left="-108" w:right="-108"/>
              <w:jc w:val="center"/>
              <w:rPr>
                <w:rFonts w:cs="Arial"/>
              </w:rPr>
            </w:pPr>
            <w:r>
              <w:rPr>
                <w:rFonts w:cs="Arial"/>
              </w:rPr>
              <w:t xml:space="preserve">&gt; </w:t>
            </w:r>
            <w:r w:rsidRPr="00A02621">
              <w:rPr>
                <w:rFonts w:cs="Arial"/>
              </w:rPr>
              <w:t>70%</w:t>
            </w:r>
          </w:p>
        </w:tc>
        <w:tc>
          <w:tcPr>
            <w:tcW w:w="972" w:type="pct"/>
            <w:tcBorders>
              <w:top w:val="dotted" w:sz="4" w:space="0" w:color="auto"/>
              <w:left w:val="single" w:sz="4" w:space="0" w:color="auto"/>
              <w:bottom w:val="single" w:sz="4" w:space="0" w:color="auto"/>
              <w:right w:val="single" w:sz="2" w:space="0" w:color="auto"/>
            </w:tcBorders>
            <w:shd w:val="clear" w:color="auto" w:fill="F2F2F2"/>
          </w:tcPr>
          <w:p w14:paraId="64BCD139" w14:textId="77777777" w:rsidR="004D3339" w:rsidRPr="004C40A5" w:rsidRDefault="004D3339" w:rsidP="00F0374C">
            <w:pPr>
              <w:spacing w:before="40" w:after="40"/>
              <w:ind w:left="-108" w:right="-108"/>
              <w:jc w:val="center"/>
              <w:rPr>
                <w:rFonts w:cs="Arial"/>
                <w:b/>
              </w:rPr>
            </w:pPr>
            <w:r w:rsidRPr="004C40A5">
              <w:rPr>
                <w:rFonts w:cs="Arial"/>
                <w:b/>
              </w:rPr>
              <w:t>84%</w:t>
            </w:r>
          </w:p>
          <w:p w14:paraId="3AB35B23" w14:textId="77777777" w:rsidR="004D3339" w:rsidRPr="004C40A5" w:rsidRDefault="004D3339" w:rsidP="00F0374C">
            <w:pPr>
              <w:spacing w:before="40" w:after="40"/>
              <w:ind w:left="-108" w:right="-108"/>
              <w:jc w:val="center"/>
              <w:rPr>
                <w:rFonts w:cs="Arial"/>
                <w:bCs/>
              </w:rPr>
            </w:pPr>
            <w:r w:rsidRPr="004C40A5">
              <w:rPr>
                <w:rFonts w:cs="Arial"/>
                <w:bCs/>
              </w:rPr>
              <w:t>(488 / 581)</w:t>
            </w:r>
          </w:p>
        </w:tc>
        <w:tc>
          <w:tcPr>
            <w:tcW w:w="433" w:type="pct"/>
            <w:tcBorders>
              <w:top w:val="single" w:sz="4" w:space="0" w:color="auto"/>
              <w:bottom w:val="single" w:sz="4" w:space="0" w:color="auto"/>
              <w:right w:val="single" w:sz="12" w:space="0" w:color="auto"/>
            </w:tcBorders>
            <w:shd w:val="clear" w:color="auto" w:fill="92D050"/>
          </w:tcPr>
          <w:p w14:paraId="0DBC28FB" w14:textId="77777777" w:rsidR="004D3339" w:rsidRPr="00B577DC" w:rsidRDefault="004D3339" w:rsidP="00F0374C">
            <w:pPr>
              <w:spacing w:before="40" w:after="40"/>
              <w:jc w:val="center"/>
              <w:rPr>
                <w:b/>
                <w:bCs/>
              </w:rPr>
            </w:pPr>
            <w:r w:rsidRPr="00B577DC">
              <w:rPr>
                <w:b/>
                <w:bCs/>
                <w:sz w:val="40"/>
                <w:szCs w:val="40"/>
              </w:rPr>
              <w:sym w:font="Wingdings" w:char="F04A"/>
            </w:r>
          </w:p>
          <w:p w14:paraId="067CE1CE" w14:textId="77777777" w:rsidR="004D3339" w:rsidRPr="00B577DC" w:rsidRDefault="004D3339" w:rsidP="00F0374C">
            <w:pPr>
              <w:spacing w:before="40" w:after="40"/>
              <w:jc w:val="center"/>
              <w:rPr>
                <w:b/>
                <w:bCs/>
              </w:rPr>
            </w:pPr>
            <w:r w:rsidRPr="00B577DC">
              <w:rPr>
                <w:b/>
                <w:bCs/>
              </w:rPr>
              <w:t>Yes</w:t>
            </w:r>
          </w:p>
        </w:tc>
      </w:tr>
      <w:tr w:rsidR="004D3339" w:rsidRPr="00A02621" w14:paraId="291CB2E6" w14:textId="77777777" w:rsidTr="00F0374C">
        <w:trPr>
          <w:cantSplit/>
          <w:trHeight w:val="70"/>
        </w:trPr>
        <w:tc>
          <w:tcPr>
            <w:tcW w:w="1871" w:type="pct"/>
            <w:tcBorders>
              <w:top w:val="nil"/>
              <w:left w:val="single" w:sz="12" w:space="0" w:color="auto"/>
              <w:bottom w:val="single" w:sz="4" w:space="0" w:color="auto"/>
              <w:right w:val="single" w:sz="12" w:space="0" w:color="auto"/>
            </w:tcBorders>
            <w:shd w:val="clear" w:color="auto" w:fill="auto"/>
          </w:tcPr>
          <w:p w14:paraId="1A74E53B" w14:textId="77777777" w:rsidR="004D3339" w:rsidRPr="00E70F87" w:rsidRDefault="004D3339" w:rsidP="00F0374C">
            <w:pPr>
              <w:spacing w:before="40" w:after="40"/>
            </w:pPr>
            <w:r w:rsidRPr="00E70F87">
              <w:t>County Matters major planning applications: percentage of decisions subsequently allowed on appeal, over two year period</w:t>
            </w:r>
          </w:p>
        </w:tc>
        <w:tc>
          <w:tcPr>
            <w:tcW w:w="975" w:type="pct"/>
            <w:tcBorders>
              <w:top w:val="dotted" w:sz="4" w:space="0" w:color="auto"/>
              <w:left w:val="single" w:sz="12" w:space="0" w:color="auto"/>
              <w:bottom w:val="single" w:sz="4" w:space="0" w:color="auto"/>
              <w:right w:val="single" w:sz="12" w:space="0" w:color="auto"/>
            </w:tcBorders>
            <w:shd w:val="clear" w:color="auto" w:fill="F2F2F2"/>
          </w:tcPr>
          <w:p w14:paraId="118AB7B7" w14:textId="77777777" w:rsidR="004D3339" w:rsidRDefault="004D3339" w:rsidP="00F0374C">
            <w:pPr>
              <w:spacing w:before="40" w:after="40"/>
              <w:ind w:left="-108" w:right="-108"/>
              <w:jc w:val="center"/>
              <w:rPr>
                <w:rFonts w:cs="Arial"/>
                <w:b/>
              </w:rPr>
            </w:pPr>
            <w:r w:rsidRPr="006C7C75">
              <w:rPr>
                <w:rFonts w:cs="Arial"/>
                <w:b/>
              </w:rPr>
              <w:t>0%</w:t>
            </w:r>
          </w:p>
          <w:p w14:paraId="11B6B290" w14:textId="77777777" w:rsidR="004D3339" w:rsidRPr="00F01399" w:rsidRDefault="004D3339" w:rsidP="00F0374C">
            <w:pPr>
              <w:spacing w:before="40"/>
              <w:ind w:left="-108" w:right="-108"/>
              <w:jc w:val="center"/>
              <w:rPr>
                <w:rFonts w:cs="Arial"/>
                <w:bCs/>
              </w:rPr>
            </w:pPr>
            <w:r w:rsidRPr="00F01399">
              <w:rPr>
                <w:rFonts w:cs="Arial"/>
                <w:bCs/>
              </w:rPr>
              <w:t>(</w:t>
            </w:r>
            <w:r>
              <w:rPr>
                <w:rFonts w:cs="Arial"/>
                <w:bCs/>
              </w:rPr>
              <w:t>1</w:t>
            </w:r>
            <w:r w:rsidRPr="00F01399">
              <w:rPr>
                <w:rFonts w:cs="Arial"/>
                <w:bCs/>
              </w:rPr>
              <w:t xml:space="preserve"> decision</w:t>
            </w:r>
          </w:p>
          <w:p w14:paraId="28ECF1F1" w14:textId="77777777" w:rsidR="004D3339" w:rsidRPr="006C7C75" w:rsidRDefault="004D3339" w:rsidP="00F0374C">
            <w:pPr>
              <w:spacing w:after="40"/>
              <w:ind w:left="-108" w:right="-108"/>
              <w:jc w:val="center"/>
              <w:rPr>
                <w:rFonts w:cs="Arial"/>
                <w:b/>
              </w:rPr>
            </w:pPr>
            <w:r w:rsidRPr="00F01399">
              <w:rPr>
                <w:rFonts w:cs="Arial"/>
                <w:bCs/>
              </w:rPr>
              <w:t>made, 0 allowed on appeal)</w:t>
            </w:r>
          </w:p>
        </w:tc>
        <w:tc>
          <w:tcPr>
            <w:tcW w:w="749" w:type="pct"/>
            <w:tcBorders>
              <w:top w:val="dotted" w:sz="4" w:space="0" w:color="auto"/>
              <w:left w:val="single" w:sz="12" w:space="0" w:color="auto"/>
              <w:bottom w:val="single" w:sz="4" w:space="0" w:color="auto"/>
              <w:right w:val="single" w:sz="4" w:space="0" w:color="auto"/>
            </w:tcBorders>
            <w:shd w:val="clear" w:color="auto" w:fill="FFFFFF"/>
          </w:tcPr>
          <w:p w14:paraId="250A63CC" w14:textId="77777777" w:rsidR="004D3339" w:rsidRPr="00A02621" w:rsidRDefault="004D3339" w:rsidP="00F0374C">
            <w:pPr>
              <w:spacing w:before="40" w:after="40"/>
              <w:ind w:left="-108" w:right="-108"/>
              <w:jc w:val="center"/>
              <w:rPr>
                <w:rFonts w:cs="Arial"/>
              </w:rPr>
            </w:pPr>
            <w:r>
              <w:rPr>
                <w:rFonts w:cs="Arial"/>
              </w:rPr>
              <w:t>&lt; 10%</w:t>
            </w:r>
          </w:p>
        </w:tc>
        <w:tc>
          <w:tcPr>
            <w:tcW w:w="972" w:type="pct"/>
            <w:tcBorders>
              <w:top w:val="dotted" w:sz="4" w:space="0" w:color="auto"/>
              <w:left w:val="single" w:sz="4" w:space="0" w:color="auto"/>
              <w:bottom w:val="single" w:sz="4" w:space="0" w:color="auto"/>
              <w:right w:val="single" w:sz="2" w:space="0" w:color="auto"/>
            </w:tcBorders>
            <w:shd w:val="clear" w:color="auto" w:fill="F2F2F2"/>
          </w:tcPr>
          <w:p w14:paraId="1AA35A42" w14:textId="77777777" w:rsidR="004D3339" w:rsidRDefault="004D3339" w:rsidP="00F0374C">
            <w:pPr>
              <w:spacing w:before="40" w:after="40"/>
              <w:ind w:left="-108" w:right="-108"/>
              <w:jc w:val="center"/>
              <w:rPr>
                <w:rFonts w:cs="Arial"/>
                <w:b/>
              </w:rPr>
            </w:pPr>
            <w:r w:rsidRPr="006C7C75">
              <w:rPr>
                <w:rFonts w:cs="Arial"/>
                <w:b/>
              </w:rPr>
              <w:t>0%</w:t>
            </w:r>
          </w:p>
          <w:p w14:paraId="07CA64F4" w14:textId="77777777" w:rsidR="004D3339" w:rsidRDefault="004D3339" w:rsidP="00F0374C">
            <w:pPr>
              <w:spacing w:before="40"/>
              <w:ind w:left="-108" w:right="-108"/>
              <w:jc w:val="center"/>
              <w:rPr>
                <w:rFonts w:cs="Arial"/>
                <w:bCs/>
              </w:rPr>
            </w:pPr>
            <w:r w:rsidRPr="00634E9F">
              <w:rPr>
                <w:rFonts w:cs="Arial"/>
                <w:bCs/>
              </w:rPr>
              <w:t>(2 decisions</w:t>
            </w:r>
          </w:p>
          <w:p w14:paraId="7A8FA959" w14:textId="77777777" w:rsidR="004D3339" w:rsidRPr="00634E9F" w:rsidRDefault="004D3339" w:rsidP="00F0374C">
            <w:pPr>
              <w:spacing w:after="40"/>
              <w:ind w:left="-108" w:right="-108"/>
              <w:jc w:val="center"/>
              <w:rPr>
                <w:rFonts w:cs="Arial"/>
                <w:bCs/>
              </w:rPr>
            </w:pPr>
            <w:r w:rsidRPr="00634E9F">
              <w:rPr>
                <w:rFonts w:cs="Arial"/>
                <w:bCs/>
              </w:rPr>
              <w:t>made, 0 allowed on appeal)</w:t>
            </w:r>
          </w:p>
        </w:tc>
        <w:tc>
          <w:tcPr>
            <w:tcW w:w="433" w:type="pct"/>
            <w:tcBorders>
              <w:top w:val="single" w:sz="4" w:space="0" w:color="auto"/>
              <w:bottom w:val="single" w:sz="4" w:space="0" w:color="auto"/>
              <w:right w:val="single" w:sz="12" w:space="0" w:color="auto"/>
            </w:tcBorders>
            <w:shd w:val="clear" w:color="auto" w:fill="92D050"/>
          </w:tcPr>
          <w:p w14:paraId="7460AAD3" w14:textId="77777777" w:rsidR="004D3339" w:rsidRPr="006C7C75" w:rsidRDefault="004D3339" w:rsidP="00F0374C">
            <w:pPr>
              <w:spacing w:before="40" w:after="40"/>
              <w:jc w:val="center"/>
              <w:rPr>
                <w:b/>
                <w:bCs/>
              </w:rPr>
            </w:pPr>
            <w:r w:rsidRPr="006C7C75">
              <w:rPr>
                <w:b/>
                <w:bCs/>
                <w:sz w:val="40"/>
                <w:szCs w:val="40"/>
              </w:rPr>
              <w:sym w:font="Wingdings" w:char="F04A"/>
            </w:r>
          </w:p>
          <w:p w14:paraId="3B864548" w14:textId="77777777" w:rsidR="004D3339" w:rsidRPr="006C7C75" w:rsidRDefault="004D3339" w:rsidP="00F0374C">
            <w:pPr>
              <w:spacing w:before="40" w:after="40"/>
              <w:jc w:val="center"/>
              <w:rPr>
                <w:b/>
                <w:bCs/>
              </w:rPr>
            </w:pPr>
            <w:r w:rsidRPr="006C7C75">
              <w:rPr>
                <w:b/>
                <w:bCs/>
              </w:rPr>
              <w:t>Yes</w:t>
            </w:r>
          </w:p>
        </w:tc>
      </w:tr>
      <w:tr w:rsidR="004D3339" w:rsidRPr="00A02621" w14:paraId="2DC4BFE1" w14:textId="77777777" w:rsidTr="00F0374C">
        <w:trPr>
          <w:cantSplit/>
          <w:trHeight w:val="70"/>
        </w:trPr>
        <w:tc>
          <w:tcPr>
            <w:tcW w:w="1871" w:type="pct"/>
            <w:tcBorders>
              <w:top w:val="nil"/>
              <w:left w:val="single" w:sz="12" w:space="0" w:color="auto"/>
              <w:bottom w:val="single" w:sz="4" w:space="0" w:color="auto"/>
              <w:right w:val="single" w:sz="12" w:space="0" w:color="auto"/>
            </w:tcBorders>
            <w:shd w:val="clear" w:color="auto" w:fill="auto"/>
          </w:tcPr>
          <w:p w14:paraId="4D07EFEE" w14:textId="77777777" w:rsidR="004D3339" w:rsidRPr="00E70F87" w:rsidRDefault="004D3339" w:rsidP="00F0374C">
            <w:pPr>
              <w:spacing w:before="40" w:after="40"/>
            </w:pPr>
            <w:r w:rsidRPr="00E70F87">
              <w:t>District Matters major planning applications: percentage of decisions subsequently allowed on appeal, over two year period</w:t>
            </w:r>
          </w:p>
        </w:tc>
        <w:tc>
          <w:tcPr>
            <w:tcW w:w="975" w:type="pct"/>
            <w:tcBorders>
              <w:top w:val="dotted" w:sz="4" w:space="0" w:color="auto"/>
              <w:left w:val="single" w:sz="12" w:space="0" w:color="auto"/>
              <w:bottom w:val="single" w:sz="4" w:space="0" w:color="auto"/>
              <w:right w:val="single" w:sz="12" w:space="0" w:color="auto"/>
            </w:tcBorders>
            <w:shd w:val="clear" w:color="auto" w:fill="F2F2F2"/>
          </w:tcPr>
          <w:p w14:paraId="448C5726" w14:textId="77777777" w:rsidR="004D3339" w:rsidRDefault="004D3339" w:rsidP="00F0374C">
            <w:pPr>
              <w:spacing w:before="40" w:after="40"/>
              <w:ind w:left="-108" w:right="-108"/>
              <w:jc w:val="center"/>
              <w:rPr>
                <w:rFonts w:cs="Arial"/>
                <w:b/>
              </w:rPr>
            </w:pPr>
            <w:r w:rsidRPr="006C7C75">
              <w:rPr>
                <w:rFonts w:cs="Arial"/>
                <w:b/>
              </w:rPr>
              <w:t>4.3%</w:t>
            </w:r>
          </w:p>
          <w:p w14:paraId="56F836E7" w14:textId="77777777" w:rsidR="004D3339" w:rsidRPr="006C7C75" w:rsidRDefault="004D3339" w:rsidP="00F0374C">
            <w:pPr>
              <w:spacing w:before="40" w:after="40"/>
              <w:ind w:left="-108" w:right="-108"/>
              <w:jc w:val="center"/>
              <w:rPr>
                <w:rFonts w:cs="Arial"/>
                <w:b/>
              </w:rPr>
            </w:pPr>
            <w:r w:rsidRPr="00634E9F">
              <w:rPr>
                <w:rFonts w:cs="Arial"/>
                <w:bCs/>
              </w:rPr>
              <w:t>(</w:t>
            </w:r>
            <w:r>
              <w:rPr>
                <w:rFonts w:cs="Arial"/>
                <w:bCs/>
              </w:rPr>
              <w:t>47</w:t>
            </w:r>
            <w:r w:rsidRPr="00634E9F">
              <w:rPr>
                <w:rFonts w:cs="Arial"/>
                <w:bCs/>
              </w:rPr>
              <w:t xml:space="preserve"> decisions made, </w:t>
            </w:r>
            <w:r>
              <w:rPr>
                <w:rFonts w:cs="Arial"/>
                <w:bCs/>
              </w:rPr>
              <w:t>2</w:t>
            </w:r>
            <w:r w:rsidRPr="00634E9F">
              <w:rPr>
                <w:rFonts w:cs="Arial"/>
                <w:bCs/>
              </w:rPr>
              <w:t xml:space="preserve"> allowed on appeal)</w:t>
            </w:r>
          </w:p>
        </w:tc>
        <w:tc>
          <w:tcPr>
            <w:tcW w:w="749" w:type="pct"/>
            <w:tcBorders>
              <w:top w:val="dotted" w:sz="4" w:space="0" w:color="auto"/>
              <w:left w:val="single" w:sz="12" w:space="0" w:color="auto"/>
              <w:bottom w:val="single" w:sz="4" w:space="0" w:color="auto"/>
              <w:right w:val="single" w:sz="4" w:space="0" w:color="auto"/>
            </w:tcBorders>
            <w:shd w:val="clear" w:color="auto" w:fill="FFFFFF"/>
          </w:tcPr>
          <w:p w14:paraId="0B5F1D8E" w14:textId="77777777" w:rsidR="004D3339" w:rsidRPr="00A02621" w:rsidRDefault="004D3339" w:rsidP="00F0374C">
            <w:pPr>
              <w:spacing w:before="40" w:after="40"/>
              <w:ind w:left="-108" w:right="-108"/>
              <w:jc w:val="center"/>
              <w:rPr>
                <w:rFonts w:cs="Arial"/>
              </w:rPr>
            </w:pPr>
            <w:r>
              <w:rPr>
                <w:rFonts w:cs="Arial"/>
              </w:rPr>
              <w:t>&lt; 10%</w:t>
            </w:r>
          </w:p>
        </w:tc>
        <w:tc>
          <w:tcPr>
            <w:tcW w:w="972" w:type="pct"/>
            <w:tcBorders>
              <w:top w:val="dotted" w:sz="4" w:space="0" w:color="auto"/>
              <w:left w:val="single" w:sz="4" w:space="0" w:color="auto"/>
              <w:bottom w:val="single" w:sz="4" w:space="0" w:color="auto"/>
              <w:right w:val="single" w:sz="2" w:space="0" w:color="auto"/>
            </w:tcBorders>
            <w:shd w:val="clear" w:color="auto" w:fill="F2F2F2"/>
          </w:tcPr>
          <w:p w14:paraId="5AFD77B2" w14:textId="77777777" w:rsidR="004D3339" w:rsidRDefault="004D3339" w:rsidP="00F0374C">
            <w:pPr>
              <w:spacing w:before="40" w:after="40"/>
              <w:ind w:left="-108" w:right="-108"/>
              <w:jc w:val="center"/>
              <w:rPr>
                <w:rFonts w:cs="Arial"/>
                <w:b/>
              </w:rPr>
            </w:pPr>
            <w:r w:rsidRPr="00005D77">
              <w:rPr>
                <w:rFonts w:cs="Arial"/>
                <w:b/>
              </w:rPr>
              <w:t>0%</w:t>
            </w:r>
          </w:p>
          <w:p w14:paraId="48E5E0D3" w14:textId="77777777" w:rsidR="004D3339" w:rsidRPr="00634E9F" w:rsidRDefault="004D3339" w:rsidP="00F0374C">
            <w:pPr>
              <w:spacing w:before="40" w:after="40"/>
              <w:ind w:left="-108" w:right="-108"/>
              <w:jc w:val="center"/>
              <w:rPr>
                <w:rFonts w:cs="Arial"/>
                <w:bCs/>
                <w:highlight w:val="yellow"/>
              </w:rPr>
            </w:pPr>
            <w:r w:rsidRPr="00634E9F">
              <w:rPr>
                <w:rFonts w:cs="Arial"/>
                <w:bCs/>
              </w:rPr>
              <w:t>(34 decisions made, 0 allowed on appeal)</w:t>
            </w:r>
          </w:p>
        </w:tc>
        <w:tc>
          <w:tcPr>
            <w:tcW w:w="433" w:type="pct"/>
            <w:tcBorders>
              <w:top w:val="single" w:sz="4" w:space="0" w:color="auto"/>
              <w:bottom w:val="single" w:sz="4" w:space="0" w:color="auto"/>
              <w:right w:val="single" w:sz="12" w:space="0" w:color="auto"/>
            </w:tcBorders>
            <w:shd w:val="clear" w:color="auto" w:fill="92D050"/>
          </w:tcPr>
          <w:p w14:paraId="35EECD7A" w14:textId="77777777" w:rsidR="004D3339" w:rsidRPr="006C7C75" w:rsidRDefault="004D3339" w:rsidP="00F0374C">
            <w:pPr>
              <w:spacing w:before="40" w:after="40"/>
              <w:jc w:val="center"/>
              <w:rPr>
                <w:b/>
                <w:bCs/>
              </w:rPr>
            </w:pPr>
            <w:r w:rsidRPr="006C7C75">
              <w:rPr>
                <w:b/>
                <w:bCs/>
                <w:sz w:val="40"/>
                <w:szCs w:val="40"/>
              </w:rPr>
              <w:sym w:font="Wingdings" w:char="F04A"/>
            </w:r>
          </w:p>
          <w:p w14:paraId="254D9E75" w14:textId="77777777" w:rsidR="004D3339" w:rsidRPr="006C7C75" w:rsidRDefault="004D3339" w:rsidP="00F0374C">
            <w:pPr>
              <w:spacing w:before="40" w:after="40"/>
              <w:jc w:val="center"/>
              <w:rPr>
                <w:b/>
                <w:bCs/>
              </w:rPr>
            </w:pPr>
            <w:r w:rsidRPr="006C7C75">
              <w:rPr>
                <w:b/>
                <w:bCs/>
              </w:rPr>
              <w:t>Yes</w:t>
            </w:r>
          </w:p>
        </w:tc>
      </w:tr>
      <w:tr w:rsidR="004D3339" w:rsidRPr="00A02621" w14:paraId="7FEB2612" w14:textId="77777777" w:rsidTr="00F0374C">
        <w:trPr>
          <w:cantSplit/>
          <w:trHeight w:val="70"/>
        </w:trPr>
        <w:tc>
          <w:tcPr>
            <w:tcW w:w="1871" w:type="pct"/>
            <w:tcBorders>
              <w:top w:val="nil"/>
              <w:left w:val="single" w:sz="12" w:space="0" w:color="auto"/>
              <w:bottom w:val="single" w:sz="4" w:space="0" w:color="auto"/>
              <w:right w:val="single" w:sz="12" w:space="0" w:color="auto"/>
            </w:tcBorders>
            <w:shd w:val="clear" w:color="auto" w:fill="auto"/>
          </w:tcPr>
          <w:p w14:paraId="7001D840" w14:textId="77777777" w:rsidR="004D3339" w:rsidRPr="00E70F87" w:rsidRDefault="004D3339" w:rsidP="00F0374C">
            <w:pPr>
              <w:spacing w:before="40" w:after="40"/>
            </w:pPr>
            <w:r w:rsidRPr="00E70F87">
              <w:lastRenderedPageBreak/>
              <w:t>District Matters non-major planning applications: percentage of decisions subsequently allowed on appeal, over two year period</w:t>
            </w:r>
          </w:p>
        </w:tc>
        <w:tc>
          <w:tcPr>
            <w:tcW w:w="975" w:type="pct"/>
            <w:tcBorders>
              <w:top w:val="dotted" w:sz="4" w:space="0" w:color="auto"/>
              <w:left w:val="single" w:sz="12" w:space="0" w:color="auto"/>
              <w:bottom w:val="single" w:sz="4" w:space="0" w:color="auto"/>
              <w:right w:val="single" w:sz="12" w:space="0" w:color="auto"/>
            </w:tcBorders>
            <w:shd w:val="clear" w:color="auto" w:fill="F2F2F2"/>
          </w:tcPr>
          <w:p w14:paraId="11D21453" w14:textId="77777777" w:rsidR="004D3339" w:rsidRDefault="004D3339" w:rsidP="00F0374C">
            <w:pPr>
              <w:spacing w:before="40" w:after="40"/>
              <w:ind w:left="-108" w:right="-108"/>
              <w:jc w:val="center"/>
              <w:rPr>
                <w:rFonts w:cs="Arial"/>
                <w:b/>
              </w:rPr>
            </w:pPr>
            <w:r w:rsidRPr="006C7C75">
              <w:rPr>
                <w:rFonts w:cs="Arial"/>
                <w:b/>
              </w:rPr>
              <w:t>0.5%</w:t>
            </w:r>
          </w:p>
          <w:p w14:paraId="43627E68" w14:textId="77777777" w:rsidR="004D3339" w:rsidRPr="006C7C75" w:rsidRDefault="004D3339" w:rsidP="00F0374C">
            <w:pPr>
              <w:spacing w:before="40" w:after="40"/>
              <w:ind w:left="-108" w:right="-108"/>
              <w:jc w:val="center"/>
              <w:rPr>
                <w:rFonts w:cs="Arial"/>
                <w:b/>
              </w:rPr>
            </w:pPr>
            <w:r w:rsidRPr="00634E9F">
              <w:rPr>
                <w:rFonts w:cs="Arial"/>
                <w:bCs/>
              </w:rPr>
              <w:t>(</w:t>
            </w:r>
            <w:r>
              <w:rPr>
                <w:rFonts w:cs="Arial"/>
                <w:bCs/>
              </w:rPr>
              <w:t>2,181</w:t>
            </w:r>
            <w:r w:rsidRPr="00634E9F">
              <w:rPr>
                <w:rFonts w:cs="Arial"/>
                <w:bCs/>
              </w:rPr>
              <w:t xml:space="preserve"> decisions made, </w:t>
            </w:r>
            <w:r>
              <w:rPr>
                <w:rFonts w:cs="Arial"/>
                <w:bCs/>
              </w:rPr>
              <w:t>1</w:t>
            </w:r>
            <w:r w:rsidRPr="00634E9F">
              <w:rPr>
                <w:rFonts w:cs="Arial"/>
                <w:bCs/>
              </w:rPr>
              <w:t>0 allowed on appeal)</w:t>
            </w:r>
          </w:p>
        </w:tc>
        <w:tc>
          <w:tcPr>
            <w:tcW w:w="749" w:type="pct"/>
            <w:tcBorders>
              <w:top w:val="dotted" w:sz="4" w:space="0" w:color="auto"/>
              <w:left w:val="single" w:sz="12" w:space="0" w:color="auto"/>
              <w:bottom w:val="single" w:sz="4" w:space="0" w:color="auto"/>
              <w:right w:val="single" w:sz="4" w:space="0" w:color="auto"/>
            </w:tcBorders>
            <w:shd w:val="clear" w:color="auto" w:fill="FFFFFF"/>
          </w:tcPr>
          <w:p w14:paraId="349835D9" w14:textId="77777777" w:rsidR="004D3339" w:rsidRPr="00A02621" w:rsidRDefault="004D3339" w:rsidP="00F0374C">
            <w:pPr>
              <w:spacing w:before="40" w:after="40"/>
              <w:ind w:left="-108" w:right="-108"/>
              <w:jc w:val="center"/>
              <w:rPr>
                <w:rFonts w:cs="Arial"/>
              </w:rPr>
            </w:pPr>
            <w:r>
              <w:rPr>
                <w:rFonts w:cs="Arial"/>
              </w:rPr>
              <w:t>&lt; 10%</w:t>
            </w:r>
          </w:p>
        </w:tc>
        <w:tc>
          <w:tcPr>
            <w:tcW w:w="972" w:type="pct"/>
            <w:tcBorders>
              <w:top w:val="dotted" w:sz="4" w:space="0" w:color="auto"/>
              <w:left w:val="single" w:sz="4" w:space="0" w:color="auto"/>
              <w:bottom w:val="single" w:sz="4" w:space="0" w:color="auto"/>
              <w:right w:val="single" w:sz="2" w:space="0" w:color="auto"/>
            </w:tcBorders>
            <w:shd w:val="clear" w:color="auto" w:fill="F2F2F2"/>
          </w:tcPr>
          <w:p w14:paraId="4E56860C" w14:textId="77777777" w:rsidR="004D3339" w:rsidRDefault="004D3339" w:rsidP="00F0374C">
            <w:pPr>
              <w:spacing w:before="40" w:after="40"/>
              <w:ind w:left="-108" w:right="-108"/>
              <w:jc w:val="center"/>
              <w:rPr>
                <w:rFonts w:cs="Arial"/>
                <w:b/>
              </w:rPr>
            </w:pPr>
            <w:r w:rsidRPr="006C7C75">
              <w:rPr>
                <w:rFonts w:cs="Arial"/>
                <w:b/>
              </w:rPr>
              <w:t>0.5%</w:t>
            </w:r>
          </w:p>
          <w:p w14:paraId="68614762" w14:textId="77777777" w:rsidR="004D3339" w:rsidRPr="00634E9F" w:rsidRDefault="004D3339" w:rsidP="00F0374C">
            <w:pPr>
              <w:spacing w:before="40" w:after="40"/>
              <w:ind w:left="-108" w:right="-108"/>
              <w:jc w:val="center"/>
              <w:rPr>
                <w:rFonts w:cs="Arial"/>
                <w:bCs/>
              </w:rPr>
            </w:pPr>
            <w:r w:rsidRPr="00634E9F">
              <w:rPr>
                <w:rFonts w:cs="Arial"/>
                <w:bCs/>
              </w:rPr>
              <w:t>(</w:t>
            </w:r>
            <w:r>
              <w:rPr>
                <w:rFonts w:cs="Arial"/>
                <w:bCs/>
              </w:rPr>
              <w:t>2,065</w:t>
            </w:r>
            <w:r w:rsidRPr="00634E9F">
              <w:rPr>
                <w:rFonts w:cs="Arial"/>
                <w:bCs/>
              </w:rPr>
              <w:t xml:space="preserve"> decisions made, </w:t>
            </w:r>
            <w:r>
              <w:rPr>
                <w:rFonts w:cs="Arial"/>
                <w:bCs/>
              </w:rPr>
              <w:t>1</w:t>
            </w:r>
            <w:r w:rsidRPr="00634E9F">
              <w:rPr>
                <w:rFonts w:cs="Arial"/>
                <w:bCs/>
              </w:rPr>
              <w:t>0 allowed on appeal)</w:t>
            </w:r>
          </w:p>
        </w:tc>
        <w:tc>
          <w:tcPr>
            <w:tcW w:w="433" w:type="pct"/>
            <w:tcBorders>
              <w:top w:val="single" w:sz="4" w:space="0" w:color="auto"/>
              <w:bottom w:val="single" w:sz="4" w:space="0" w:color="auto"/>
              <w:right w:val="single" w:sz="12" w:space="0" w:color="auto"/>
            </w:tcBorders>
            <w:shd w:val="clear" w:color="auto" w:fill="92D050"/>
          </w:tcPr>
          <w:p w14:paraId="76FC7050" w14:textId="77777777" w:rsidR="004D3339" w:rsidRPr="006C7C75" w:rsidRDefault="004D3339" w:rsidP="00F0374C">
            <w:pPr>
              <w:spacing w:before="40" w:after="40"/>
              <w:jc w:val="center"/>
              <w:rPr>
                <w:b/>
                <w:bCs/>
              </w:rPr>
            </w:pPr>
            <w:r w:rsidRPr="006C7C75">
              <w:rPr>
                <w:b/>
                <w:bCs/>
                <w:sz w:val="40"/>
                <w:szCs w:val="40"/>
              </w:rPr>
              <w:sym w:font="Wingdings" w:char="F04A"/>
            </w:r>
          </w:p>
          <w:p w14:paraId="4D6D949D" w14:textId="77777777" w:rsidR="004D3339" w:rsidRPr="006C7C75" w:rsidRDefault="004D3339" w:rsidP="00F0374C">
            <w:pPr>
              <w:spacing w:before="40" w:after="40"/>
              <w:jc w:val="center"/>
              <w:rPr>
                <w:b/>
                <w:bCs/>
              </w:rPr>
            </w:pPr>
            <w:r w:rsidRPr="006C7C75">
              <w:rPr>
                <w:b/>
                <w:bCs/>
              </w:rPr>
              <w:t>Yes</w:t>
            </w:r>
          </w:p>
        </w:tc>
      </w:tr>
      <w:tr w:rsidR="004D3339" w:rsidRPr="00A02621" w14:paraId="27347F27" w14:textId="77777777" w:rsidTr="00F0374C">
        <w:trPr>
          <w:cantSplit/>
          <w:trHeight w:val="397"/>
        </w:trPr>
        <w:tc>
          <w:tcPr>
            <w:tcW w:w="5000" w:type="pct"/>
            <w:gridSpan w:val="5"/>
            <w:tcBorders>
              <w:top w:val="single" w:sz="12" w:space="0" w:color="auto"/>
              <w:left w:val="single" w:sz="12" w:space="0" w:color="auto"/>
              <w:bottom w:val="single" w:sz="2" w:space="0" w:color="auto"/>
              <w:right w:val="single" w:sz="12" w:space="0" w:color="auto"/>
            </w:tcBorders>
            <w:shd w:val="clear" w:color="auto" w:fill="F2F2F2"/>
            <w:vAlign w:val="center"/>
          </w:tcPr>
          <w:p w14:paraId="7B2074F9" w14:textId="77777777" w:rsidR="004D3339" w:rsidRPr="00A02621" w:rsidRDefault="004D3339" w:rsidP="00F0374C">
            <w:pPr>
              <w:spacing w:before="40" w:after="40"/>
              <w:rPr>
                <w:rFonts w:cs="Arial"/>
                <w:b/>
              </w:rPr>
            </w:pPr>
            <w:r w:rsidRPr="00A02621">
              <w:rPr>
                <w:rFonts w:cs="Arial"/>
                <w:b/>
              </w:rPr>
              <w:t>Vision Outcome: Contributing to World Class Visitor Experiences</w:t>
            </w:r>
          </w:p>
        </w:tc>
      </w:tr>
      <w:tr w:rsidR="004D3339" w:rsidRPr="00A02621" w14:paraId="31B187DD" w14:textId="77777777" w:rsidTr="00F0374C">
        <w:trPr>
          <w:cantSplit/>
          <w:trHeight w:val="918"/>
        </w:trPr>
        <w:tc>
          <w:tcPr>
            <w:tcW w:w="1871" w:type="pct"/>
            <w:tcBorders>
              <w:top w:val="single" w:sz="2" w:space="0" w:color="auto"/>
              <w:left w:val="single" w:sz="12" w:space="0" w:color="auto"/>
              <w:right w:val="single" w:sz="12" w:space="0" w:color="auto"/>
            </w:tcBorders>
            <w:shd w:val="clear" w:color="auto" w:fill="FFFFFF"/>
          </w:tcPr>
          <w:p w14:paraId="23FEB70A" w14:textId="77777777" w:rsidR="004D3339" w:rsidRPr="0024747D" w:rsidRDefault="004D3339" w:rsidP="00F0374C">
            <w:pPr>
              <w:spacing w:before="40" w:after="40"/>
            </w:pPr>
            <w:r w:rsidRPr="0024747D">
              <w:t>Rights of Way</w:t>
            </w:r>
            <w:r>
              <w:t>:</w:t>
            </w:r>
            <w:r w:rsidRPr="0024747D">
              <w:t xml:space="preserve"> </w:t>
            </w:r>
            <w:r>
              <w:t xml:space="preserve">percentage of </w:t>
            </w:r>
            <w:r w:rsidRPr="0024747D">
              <w:t>footpaths and other rights of way which are easy to use, even though they may not follow the definitive line</w:t>
            </w:r>
          </w:p>
        </w:tc>
        <w:tc>
          <w:tcPr>
            <w:tcW w:w="975" w:type="pct"/>
            <w:tcBorders>
              <w:top w:val="single" w:sz="2" w:space="0" w:color="auto"/>
              <w:left w:val="single" w:sz="4" w:space="0" w:color="auto"/>
              <w:right w:val="single" w:sz="4" w:space="0" w:color="auto"/>
            </w:tcBorders>
            <w:shd w:val="clear" w:color="auto" w:fill="F2F2F2"/>
          </w:tcPr>
          <w:p w14:paraId="7DC0B320" w14:textId="77777777" w:rsidR="004D3339" w:rsidRPr="004E5613" w:rsidRDefault="004D3339" w:rsidP="00F0374C">
            <w:pPr>
              <w:spacing w:before="40" w:after="40"/>
              <w:ind w:left="-108" w:right="-108"/>
              <w:jc w:val="center"/>
              <w:rPr>
                <w:rFonts w:cs="Arial"/>
                <w:b/>
              </w:rPr>
            </w:pPr>
            <w:r w:rsidRPr="00A02621">
              <w:rPr>
                <w:rFonts w:cs="Arial"/>
                <w:b/>
              </w:rPr>
              <w:t>56%</w:t>
            </w:r>
          </w:p>
        </w:tc>
        <w:tc>
          <w:tcPr>
            <w:tcW w:w="749" w:type="pct"/>
            <w:tcBorders>
              <w:top w:val="single" w:sz="2" w:space="0" w:color="auto"/>
              <w:left w:val="single" w:sz="12" w:space="0" w:color="auto"/>
              <w:bottom w:val="single" w:sz="4" w:space="0" w:color="auto"/>
              <w:right w:val="single" w:sz="4" w:space="0" w:color="auto"/>
            </w:tcBorders>
            <w:shd w:val="clear" w:color="auto" w:fill="auto"/>
          </w:tcPr>
          <w:p w14:paraId="64A4D12D" w14:textId="77777777" w:rsidR="004D3339" w:rsidRPr="00A02621" w:rsidRDefault="004D3339" w:rsidP="00F0374C">
            <w:pPr>
              <w:spacing w:before="40" w:after="40"/>
              <w:ind w:left="-108" w:right="-108"/>
              <w:jc w:val="center"/>
              <w:rPr>
                <w:rFonts w:cs="Arial"/>
                <w:b/>
                <w:sz w:val="16"/>
              </w:rPr>
            </w:pPr>
            <w:r>
              <w:rPr>
                <w:rFonts w:cs="Arial"/>
              </w:rPr>
              <w:t xml:space="preserve">&gt; </w:t>
            </w:r>
            <w:r w:rsidRPr="00A02621">
              <w:rPr>
                <w:rFonts w:cs="Arial"/>
              </w:rPr>
              <w:t>70%</w:t>
            </w:r>
          </w:p>
        </w:tc>
        <w:tc>
          <w:tcPr>
            <w:tcW w:w="972" w:type="pct"/>
            <w:tcBorders>
              <w:top w:val="single" w:sz="2" w:space="0" w:color="auto"/>
              <w:left w:val="single" w:sz="4" w:space="0" w:color="auto"/>
              <w:right w:val="single" w:sz="4" w:space="0" w:color="auto"/>
            </w:tcBorders>
            <w:shd w:val="clear" w:color="auto" w:fill="F2F2F2"/>
          </w:tcPr>
          <w:p w14:paraId="21F9A39C" w14:textId="77777777" w:rsidR="004D3339" w:rsidRPr="00A02621" w:rsidRDefault="004D3339" w:rsidP="00F0374C">
            <w:pPr>
              <w:spacing w:before="40" w:after="40"/>
              <w:ind w:left="-108" w:right="-108"/>
              <w:jc w:val="center"/>
              <w:rPr>
                <w:rFonts w:cs="Arial"/>
                <w:b/>
              </w:rPr>
            </w:pPr>
            <w:r w:rsidRPr="00A02621">
              <w:rPr>
                <w:rFonts w:cs="Arial"/>
                <w:b/>
              </w:rPr>
              <w:t>57%</w:t>
            </w:r>
          </w:p>
        </w:tc>
        <w:tc>
          <w:tcPr>
            <w:tcW w:w="433" w:type="pct"/>
            <w:tcBorders>
              <w:top w:val="single" w:sz="2" w:space="0" w:color="auto"/>
              <w:left w:val="single" w:sz="4" w:space="0" w:color="auto"/>
              <w:bottom w:val="single" w:sz="4" w:space="0" w:color="auto"/>
              <w:right w:val="single" w:sz="12" w:space="0" w:color="auto"/>
            </w:tcBorders>
            <w:shd w:val="clear" w:color="auto" w:fill="FF0000"/>
          </w:tcPr>
          <w:p w14:paraId="01065F9B" w14:textId="77777777" w:rsidR="004D3339" w:rsidRPr="00B577DC" w:rsidRDefault="004D3339" w:rsidP="00F0374C">
            <w:pPr>
              <w:spacing w:before="40" w:after="40"/>
              <w:ind w:left="-108" w:right="-108"/>
              <w:jc w:val="center"/>
              <w:rPr>
                <w:b/>
                <w:bCs/>
              </w:rPr>
            </w:pPr>
            <w:r w:rsidRPr="00B577DC">
              <w:rPr>
                <w:b/>
                <w:bCs/>
                <w:sz w:val="40"/>
                <w:szCs w:val="52"/>
              </w:rPr>
              <w:sym w:font="Wingdings" w:char="F04C"/>
            </w:r>
          </w:p>
          <w:p w14:paraId="6C8E7F2B" w14:textId="77777777" w:rsidR="004D3339" w:rsidRPr="00B577DC" w:rsidRDefault="004D3339" w:rsidP="00F0374C">
            <w:pPr>
              <w:spacing w:before="40" w:after="40"/>
              <w:ind w:left="-108" w:right="-108"/>
              <w:jc w:val="center"/>
              <w:rPr>
                <w:b/>
                <w:bCs/>
              </w:rPr>
            </w:pPr>
            <w:r w:rsidRPr="00B577DC">
              <w:rPr>
                <w:b/>
                <w:bCs/>
              </w:rPr>
              <w:t>No</w:t>
            </w:r>
          </w:p>
        </w:tc>
      </w:tr>
      <w:tr w:rsidR="004D3339" w:rsidRPr="00A02621" w14:paraId="26163302" w14:textId="77777777" w:rsidTr="00F0374C">
        <w:trPr>
          <w:cantSplit/>
          <w:trHeight w:val="629"/>
        </w:trPr>
        <w:tc>
          <w:tcPr>
            <w:tcW w:w="1871" w:type="pct"/>
            <w:tcBorders>
              <w:left w:val="single" w:sz="12" w:space="0" w:color="auto"/>
              <w:right w:val="single" w:sz="12" w:space="0" w:color="auto"/>
            </w:tcBorders>
            <w:shd w:val="clear" w:color="auto" w:fill="FFFFFF"/>
          </w:tcPr>
          <w:p w14:paraId="02B5F63E" w14:textId="77777777" w:rsidR="004D3339" w:rsidRPr="0024747D" w:rsidRDefault="004D3339" w:rsidP="00F0374C">
            <w:pPr>
              <w:spacing w:before="40" w:after="40"/>
            </w:pPr>
            <w:r w:rsidRPr="0024747D">
              <w:t>Miles without Stiles barrier-free routes</w:t>
            </w:r>
            <w:r>
              <w:t xml:space="preserve">: percentage </w:t>
            </w:r>
            <w:r w:rsidRPr="0024747D">
              <w:t>which meet their designation category of ‘For All’, ‘For Many’ or ‘For Some’</w:t>
            </w:r>
          </w:p>
        </w:tc>
        <w:tc>
          <w:tcPr>
            <w:tcW w:w="975" w:type="pct"/>
            <w:tcBorders>
              <w:left w:val="single" w:sz="12" w:space="0" w:color="auto"/>
              <w:right w:val="single" w:sz="12" w:space="0" w:color="auto"/>
            </w:tcBorders>
            <w:shd w:val="clear" w:color="auto" w:fill="F2F2F2"/>
          </w:tcPr>
          <w:p w14:paraId="19B44A8B" w14:textId="77777777" w:rsidR="004D3339" w:rsidRPr="00A02621" w:rsidRDefault="004D3339" w:rsidP="00F0374C">
            <w:pPr>
              <w:spacing w:before="40" w:after="40"/>
              <w:ind w:left="-108" w:right="-108"/>
              <w:jc w:val="center"/>
              <w:rPr>
                <w:rFonts w:cs="Arial"/>
                <w:b/>
              </w:rPr>
            </w:pPr>
            <w:r w:rsidRPr="00A02621">
              <w:rPr>
                <w:rFonts w:cs="Arial"/>
                <w:b/>
              </w:rPr>
              <w:t>50%</w:t>
            </w:r>
          </w:p>
          <w:p w14:paraId="349C7BCF" w14:textId="77777777" w:rsidR="004D3339" w:rsidRPr="00A02621" w:rsidRDefault="004D3339" w:rsidP="00F0374C">
            <w:pPr>
              <w:spacing w:before="40" w:after="40"/>
              <w:ind w:left="-108" w:right="-108"/>
              <w:jc w:val="center"/>
              <w:rPr>
                <w:rFonts w:cs="Arial"/>
              </w:rPr>
            </w:pPr>
            <w:r w:rsidRPr="00A02621">
              <w:rPr>
                <w:rFonts w:cs="Arial"/>
              </w:rPr>
              <w:t>(25 / 50)</w:t>
            </w:r>
          </w:p>
        </w:tc>
        <w:tc>
          <w:tcPr>
            <w:tcW w:w="749" w:type="pct"/>
            <w:tcBorders>
              <w:left w:val="single" w:sz="12" w:space="0" w:color="auto"/>
              <w:right w:val="single" w:sz="4" w:space="0" w:color="auto"/>
            </w:tcBorders>
            <w:shd w:val="clear" w:color="auto" w:fill="auto"/>
          </w:tcPr>
          <w:p w14:paraId="72467F59" w14:textId="77777777" w:rsidR="004D3339" w:rsidRPr="00A02621" w:rsidRDefault="004D3339" w:rsidP="00F0374C">
            <w:pPr>
              <w:spacing w:before="40" w:after="40"/>
              <w:ind w:left="-108" w:right="-108"/>
              <w:jc w:val="center"/>
              <w:rPr>
                <w:rFonts w:cs="Arial"/>
              </w:rPr>
            </w:pPr>
            <w:r>
              <w:rPr>
                <w:rFonts w:cs="Arial"/>
              </w:rPr>
              <w:t xml:space="preserve">&gt; </w:t>
            </w:r>
            <w:r w:rsidRPr="00A02621">
              <w:rPr>
                <w:rFonts w:cs="Arial"/>
              </w:rPr>
              <w:t>85%</w:t>
            </w:r>
          </w:p>
        </w:tc>
        <w:tc>
          <w:tcPr>
            <w:tcW w:w="972" w:type="pct"/>
            <w:tcBorders>
              <w:left w:val="single" w:sz="4" w:space="0" w:color="auto"/>
              <w:bottom w:val="single" w:sz="4" w:space="0" w:color="auto"/>
              <w:right w:val="single" w:sz="4" w:space="0" w:color="auto"/>
            </w:tcBorders>
            <w:shd w:val="clear" w:color="auto" w:fill="F2F2F2"/>
          </w:tcPr>
          <w:p w14:paraId="159080A8" w14:textId="77777777" w:rsidR="004D3339" w:rsidRPr="00A02621" w:rsidRDefault="004D3339" w:rsidP="00F0374C">
            <w:pPr>
              <w:spacing w:before="40" w:after="40"/>
              <w:ind w:left="-108" w:right="-108"/>
              <w:jc w:val="center"/>
              <w:rPr>
                <w:rFonts w:cs="Arial"/>
                <w:b/>
              </w:rPr>
            </w:pPr>
            <w:r w:rsidRPr="00A02621">
              <w:rPr>
                <w:rFonts w:cs="Arial"/>
                <w:b/>
              </w:rPr>
              <w:t>59%</w:t>
            </w:r>
          </w:p>
          <w:p w14:paraId="63A4624E" w14:textId="77777777" w:rsidR="004D3339" w:rsidRPr="00A02621" w:rsidRDefault="004D3339" w:rsidP="00F0374C">
            <w:pPr>
              <w:spacing w:before="40" w:after="40"/>
              <w:ind w:left="-108" w:right="-108"/>
              <w:jc w:val="center"/>
              <w:rPr>
                <w:rFonts w:cs="Arial"/>
              </w:rPr>
            </w:pPr>
            <w:r w:rsidRPr="00A02621">
              <w:rPr>
                <w:rFonts w:cs="Arial"/>
              </w:rPr>
              <w:t>(30 / 51)</w:t>
            </w:r>
          </w:p>
        </w:tc>
        <w:tc>
          <w:tcPr>
            <w:tcW w:w="433" w:type="pct"/>
            <w:tcBorders>
              <w:top w:val="single" w:sz="4" w:space="0" w:color="auto"/>
              <w:left w:val="single" w:sz="2" w:space="0" w:color="auto"/>
              <w:bottom w:val="single" w:sz="4" w:space="0" w:color="auto"/>
              <w:right w:val="single" w:sz="12" w:space="0" w:color="auto"/>
            </w:tcBorders>
            <w:shd w:val="clear" w:color="auto" w:fill="FF0000"/>
          </w:tcPr>
          <w:p w14:paraId="345C29CC" w14:textId="77777777" w:rsidR="004D3339" w:rsidRPr="00B577DC" w:rsidRDefault="004D3339" w:rsidP="00F0374C">
            <w:pPr>
              <w:spacing w:before="40" w:after="40"/>
              <w:jc w:val="center"/>
              <w:rPr>
                <w:b/>
                <w:bCs/>
              </w:rPr>
            </w:pPr>
            <w:r w:rsidRPr="00B577DC">
              <w:rPr>
                <w:b/>
                <w:bCs/>
                <w:sz w:val="40"/>
                <w:szCs w:val="52"/>
              </w:rPr>
              <w:sym w:font="Wingdings" w:char="F04C"/>
            </w:r>
          </w:p>
          <w:p w14:paraId="4EBC3A52" w14:textId="77777777" w:rsidR="004D3339" w:rsidRPr="00B577DC" w:rsidRDefault="004D3339" w:rsidP="00F0374C">
            <w:pPr>
              <w:spacing w:before="40" w:after="40"/>
              <w:ind w:left="-108" w:right="-108"/>
              <w:jc w:val="center"/>
              <w:rPr>
                <w:b/>
                <w:bCs/>
              </w:rPr>
            </w:pPr>
            <w:r w:rsidRPr="00B577DC">
              <w:rPr>
                <w:b/>
                <w:bCs/>
              </w:rPr>
              <w:t>No</w:t>
            </w:r>
          </w:p>
        </w:tc>
      </w:tr>
      <w:tr w:rsidR="004D3339" w:rsidRPr="00A02621" w14:paraId="2AAA9E4E" w14:textId="77777777" w:rsidTr="00F0374C">
        <w:trPr>
          <w:cantSplit/>
          <w:trHeight w:val="629"/>
        </w:trPr>
        <w:tc>
          <w:tcPr>
            <w:tcW w:w="1871" w:type="pct"/>
            <w:tcBorders>
              <w:left w:val="single" w:sz="12" w:space="0" w:color="auto"/>
              <w:right w:val="single" w:sz="12" w:space="0" w:color="auto"/>
            </w:tcBorders>
            <w:shd w:val="clear" w:color="auto" w:fill="FFFFFF"/>
          </w:tcPr>
          <w:p w14:paraId="3CAF97B0" w14:textId="77777777" w:rsidR="004D3339" w:rsidRPr="0024747D" w:rsidRDefault="004D3339" w:rsidP="00F0374C">
            <w:pPr>
              <w:spacing w:before="40" w:after="40"/>
            </w:pPr>
            <w:bookmarkStart w:id="39" w:name="_Hlk166573756"/>
            <w:r w:rsidRPr="00EA0763">
              <w:t>Number of visitors to Brockhole, Information Centres, Coniston Boating Centre, car parks and toilets</w:t>
            </w:r>
            <w:bookmarkEnd w:id="39"/>
          </w:p>
        </w:tc>
        <w:tc>
          <w:tcPr>
            <w:tcW w:w="975" w:type="pct"/>
            <w:tcBorders>
              <w:left w:val="single" w:sz="12" w:space="0" w:color="auto"/>
              <w:right w:val="single" w:sz="12" w:space="0" w:color="auto"/>
            </w:tcBorders>
            <w:shd w:val="clear" w:color="auto" w:fill="F2F2F2"/>
          </w:tcPr>
          <w:p w14:paraId="375B0B1D" w14:textId="77777777" w:rsidR="004D3339" w:rsidRPr="00A02621" w:rsidRDefault="004D3339" w:rsidP="00F0374C">
            <w:pPr>
              <w:spacing w:before="40" w:after="40"/>
              <w:ind w:left="-108" w:right="-108"/>
              <w:jc w:val="center"/>
              <w:rPr>
                <w:rFonts w:cs="Arial"/>
                <w:b/>
              </w:rPr>
            </w:pPr>
            <w:r w:rsidRPr="00815586">
              <w:rPr>
                <w:rFonts w:cs="Arial"/>
                <w:b/>
              </w:rPr>
              <w:t>1,408,000</w:t>
            </w:r>
          </w:p>
        </w:tc>
        <w:tc>
          <w:tcPr>
            <w:tcW w:w="749" w:type="pct"/>
            <w:tcBorders>
              <w:left w:val="single" w:sz="12" w:space="0" w:color="auto"/>
              <w:right w:val="single" w:sz="4" w:space="0" w:color="auto"/>
            </w:tcBorders>
            <w:shd w:val="clear" w:color="auto" w:fill="auto"/>
          </w:tcPr>
          <w:p w14:paraId="3AC618A6" w14:textId="77777777" w:rsidR="004D3339" w:rsidRPr="00A02621" w:rsidRDefault="004D3339" w:rsidP="00F0374C">
            <w:pPr>
              <w:spacing w:before="40" w:after="40"/>
              <w:ind w:left="-108" w:right="-108"/>
              <w:jc w:val="center"/>
              <w:rPr>
                <w:rFonts w:cs="Arial"/>
              </w:rPr>
            </w:pPr>
            <w:r>
              <w:rPr>
                <w:rFonts w:cs="Arial"/>
              </w:rPr>
              <w:t xml:space="preserve">&gt; </w:t>
            </w:r>
            <w:r w:rsidRPr="00815586">
              <w:rPr>
                <w:rFonts w:cs="Arial"/>
              </w:rPr>
              <w:t>1,619,</w:t>
            </w:r>
            <w:r>
              <w:rPr>
                <w:rFonts w:cs="Arial"/>
              </w:rPr>
              <w:t>0</w:t>
            </w:r>
            <w:r w:rsidRPr="00815586">
              <w:rPr>
                <w:rFonts w:cs="Arial"/>
              </w:rPr>
              <w:t>00</w:t>
            </w:r>
          </w:p>
        </w:tc>
        <w:tc>
          <w:tcPr>
            <w:tcW w:w="972" w:type="pct"/>
            <w:tcBorders>
              <w:left w:val="single" w:sz="4" w:space="0" w:color="auto"/>
              <w:bottom w:val="single" w:sz="4" w:space="0" w:color="auto"/>
              <w:right w:val="single" w:sz="4" w:space="0" w:color="auto"/>
            </w:tcBorders>
            <w:shd w:val="clear" w:color="auto" w:fill="F2F2F2"/>
          </w:tcPr>
          <w:p w14:paraId="5CAC6C39" w14:textId="77777777" w:rsidR="004D3339" w:rsidRPr="00A02621" w:rsidRDefault="004D3339" w:rsidP="00F0374C">
            <w:pPr>
              <w:spacing w:before="40" w:after="40"/>
              <w:ind w:left="-108" w:right="-108"/>
              <w:jc w:val="center"/>
              <w:rPr>
                <w:rFonts w:cs="Arial"/>
                <w:b/>
              </w:rPr>
            </w:pPr>
            <w:r w:rsidRPr="00815586">
              <w:rPr>
                <w:rFonts w:cs="Arial"/>
                <w:b/>
              </w:rPr>
              <w:t>1,497,</w:t>
            </w:r>
            <w:r>
              <w:rPr>
                <w:rFonts w:cs="Arial"/>
                <w:b/>
              </w:rPr>
              <w:t>00</w:t>
            </w:r>
            <w:r w:rsidRPr="00815586">
              <w:rPr>
                <w:rFonts w:cs="Arial"/>
                <w:b/>
              </w:rPr>
              <w:t>0</w:t>
            </w:r>
          </w:p>
        </w:tc>
        <w:tc>
          <w:tcPr>
            <w:tcW w:w="433" w:type="pct"/>
            <w:tcBorders>
              <w:top w:val="single" w:sz="4" w:space="0" w:color="auto"/>
              <w:left w:val="single" w:sz="2" w:space="0" w:color="auto"/>
              <w:bottom w:val="single" w:sz="4" w:space="0" w:color="auto"/>
              <w:right w:val="single" w:sz="12" w:space="0" w:color="auto"/>
            </w:tcBorders>
            <w:shd w:val="clear" w:color="auto" w:fill="FF0000"/>
          </w:tcPr>
          <w:p w14:paraId="5DC0B154" w14:textId="77777777" w:rsidR="004D3339" w:rsidRPr="00815586" w:rsidRDefault="004D3339" w:rsidP="00F0374C">
            <w:pPr>
              <w:spacing w:before="40" w:after="40"/>
              <w:jc w:val="center"/>
              <w:rPr>
                <w:b/>
                <w:bCs/>
              </w:rPr>
            </w:pPr>
            <w:r w:rsidRPr="00815586">
              <w:rPr>
                <w:b/>
                <w:bCs/>
                <w:sz w:val="40"/>
                <w:szCs w:val="40"/>
              </w:rPr>
              <w:sym w:font="Wingdings" w:char="F04C"/>
            </w:r>
          </w:p>
          <w:p w14:paraId="445FCF90" w14:textId="77777777" w:rsidR="004D3339" w:rsidRPr="00815586" w:rsidRDefault="004D3339" w:rsidP="00F0374C">
            <w:pPr>
              <w:spacing w:before="40" w:after="40"/>
              <w:jc w:val="center"/>
              <w:rPr>
                <w:b/>
                <w:bCs/>
              </w:rPr>
            </w:pPr>
            <w:r w:rsidRPr="00815586">
              <w:rPr>
                <w:b/>
                <w:bCs/>
              </w:rPr>
              <w:t>No</w:t>
            </w:r>
          </w:p>
        </w:tc>
      </w:tr>
      <w:tr w:rsidR="004D3339" w:rsidRPr="00A02621" w14:paraId="39C3F690" w14:textId="77777777" w:rsidTr="00F0374C">
        <w:trPr>
          <w:cantSplit/>
          <w:trHeight w:val="629"/>
        </w:trPr>
        <w:tc>
          <w:tcPr>
            <w:tcW w:w="1871" w:type="pct"/>
            <w:tcBorders>
              <w:left w:val="single" w:sz="12" w:space="0" w:color="auto"/>
              <w:right w:val="single" w:sz="12" w:space="0" w:color="auto"/>
            </w:tcBorders>
            <w:shd w:val="clear" w:color="auto" w:fill="FFFFFF"/>
          </w:tcPr>
          <w:p w14:paraId="6E87EBC0" w14:textId="77777777" w:rsidR="004D3339" w:rsidRPr="0024747D" w:rsidRDefault="004D3339" w:rsidP="00F0374C">
            <w:pPr>
              <w:spacing w:before="40" w:after="40"/>
              <w:rPr>
                <w:highlight w:val="cyan"/>
              </w:rPr>
            </w:pPr>
            <w:bookmarkStart w:id="40" w:name="_Hlk166573843"/>
            <w:r w:rsidRPr="00EA0763">
              <w:t>Customer engagement: number of users of the lakedistrict.gov.uk website</w:t>
            </w:r>
            <w:bookmarkEnd w:id="40"/>
          </w:p>
        </w:tc>
        <w:tc>
          <w:tcPr>
            <w:tcW w:w="975" w:type="pct"/>
            <w:tcBorders>
              <w:left w:val="single" w:sz="12" w:space="0" w:color="auto"/>
              <w:right w:val="single" w:sz="12" w:space="0" w:color="auto"/>
            </w:tcBorders>
            <w:shd w:val="clear" w:color="auto" w:fill="F2F2F2"/>
          </w:tcPr>
          <w:p w14:paraId="6F6C27A6" w14:textId="77777777" w:rsidR="004D3339" w:rsidRPr="00815586" w:rsidRDefault="004D3339" w:rsidP="00F0374C">
            <w:pPr>
              <w:spacing w:before="40" w:after="40"/>
              <w:ind w:left="-108" w:right="-108"/>
              <w:jc w:val="center"/>
              <w:rPr>
                <w:rFonts w:cs="Arial"/>
                <w:b/>
              </w:rPr>
            </w:pPr>
            <w:r w:rsidRPr="00875717">
              <w:rPr>
                <w:rFonts w:cs="Arial"/>
                <w:b/>
              </w:rPr>
              <w:t>1,669,</w:t>
            </w:r>
            <w:r>
              <w:rPr>
                <w:rFonts w:cs="Arial"/>
                <w:b/>
              </w:rPr>
              <w:t>000</w:t>
            </w:r>
          </w:p>
        </w:tc>
        <w:tc>
          <w:tcPr>
            <w:tcW w:w="749" w:type="pct"/>
            <w:tcBorders>
              <w:left w:val="single" w:sz="12" w:space="0" w:color="auto"/>
              <w:right w:val="single" w:sz="4" w:space="0" w:color="auto"/>
            </w:tcBorders>
            <w:shd w:val="clear" w:color="auto" w:fill="auto"/>
          </w:tcPr>
          <w:p w14:paraId="2339F1BC" w14:textId="77777777" w:rsidR="004D3339" w:rsidRDefault="004D3339" w:rsidP="00F0374C">
            <w:pPr>
              <w:spacing w:before="40" w:after="40"/>
              <w:ind w:left="-108" w:right="-108"/>
              <w:jc w:val="center"/>
              <w:rPr>
                <w:rFonts w:cs="Arial"/>
              </w:rPr>
            </w:pPr>
            <w:r>
              <w:rPr>
                <w:rFonts w:cs="Arial"/>
              </w:rPr>
              <w:t xml:space="preserve">&gt; </w:t>
            </w:r>
            <w:r w:rsidRPr="00875717">
              <w:rPr>
                <w:rFonts w:cs="Arial"/>
              </w:rPr>
              <w:t>1,75</w:t>
            </w:r>
            <w:r>
              <w:rPr>
                <w:rFonts w:cs="Arial"/>
              </w:rPr>
              <w:t>3</w:t>
            </w:r>
            <w:r w:rsidRPr="00875717">
              <w:rPr>
                <w:rFonts w:cs="Arial"/>
              </w:rPr>
              <w:t>,</w:t>
            </w:r>
            <w:r>
              <w:rPr>
                <w:rFonts w:cs="Arial"/>
              </w:rPr>
              <w:t>000</w:t>
            </w:r>
          </w:p>
        </w:tc>
        <w:tc>
          <w:tcPr>
            <w:tcW w:w="972" w:type="pct"/>
            <w:tcBorders>
              <w:left w:val="single" w:sz="4" w:space="0" w:color="auto"/>
              <w:bottom w:val="single" w:sz="4" w:space="0" w:color="auto"/>
              <w:right w:val="single" w:sz="4" w:space="0" w:color="auto"/>
            </w:tcBorders>
            <w:shd w:val="clear" w:color="auto" w:fill="F2F2F2"/>
          </w:tcPr>
          <w:p w14:paraId="00FB7877" w14:textId="77777777" w:rsidR="004D3339" w:rsidRPr="00815586" w:rsidRDefault="004D3339" w:rsidP="00F0374C">
            <w:pPr>
              <w:spacing w:before="40" w:after="40"/>
              <w:ind w:left="-108" w:right="-108"/>
              <w:jc w:val="center"/>
              <w:rPr>
                <w:rFonts w:cs="Arial"/>
                <w:b/>
              </w:rPr>
            </w:pPr>
            <w:r w:rsidRPr="00875717">
              <w:rPr>
                <w:rFonts w:cs="Arial"/>
                <w:b/>
              </w:rPr>
              <w:t>1,796,0</w:t>
            </w:r>
            <w:r>
              <w:rPr>
                <w:rFonts w:cs="Arial"/>
                <w:b/>
              </w:rPr>
              <w:t>00</w:t>
            </w:r>
          </w:p>
        </w:tc>
        <w:tc>
          <w:tcPr>
            <w:tcW w:w="433" w:type="pct"/>
            <w:tcBorders>
              <w:bottom w:val="single" w:sz="4" w:space="0" w:color="auto"/>
              <w:right w:val="single" w:sz="12" w:space="0" w:color="auto"/>
            </w:tcBorders>
            <w:shd w:val="clear" w:color="auto" w:fill="92D050"/>
          </w:tcPr>
          <w:p w14:paraId="4A49256D" w14:textId="77777777" w:rsidR="004D3339" w:rsidRPr="00875717" w:rsidRDefault="004D3339" w:rsidP="00F0374C">
            <w:pPr>
              <w:spacing w:before="40" w:after="40"/>
              <w:jc w:val="center"/>
              <w:rPr>
                <w:b/>
                <w:bCs/>
              </w:rPr>
            </w:pPr>
            <w:r w:rsidRPr="00875717">
              <w:rPr>
                <w:b/>
                <w:bCs/>
                <w:sz w:val="40"/>
                <w:szCs w:val="40"/>
              </w:rPr>
              <w:sym w:font="Wingdings" w:char="F04A"/>
            </w:r>
          </w:p>
          <w:p w14:paraId="732DA947" w14:textId="77777777" w:rsidR="004D3339" w:rsidRPr="00875717" w:rsidRDefault="004D3339" w:rsidP="00F0374C">
            <w:pPr>
              <w:spacing w:before="40" w:after="40"/>
              <w:jc w:val="center"/>
              <w:rPr>
                <w:b/>
                <w:bCs/>
              </w:rPr>
            </w:pPr>
            <w:r w:rsidRPr="00875717">
              <w:rPr>
                <w:b/>
                <w:bCs/>
              </w:rPr>
              <w:t>Yes</w:t>
            </w:r>
          </w:p>
        </w:tc>
      </w:tr>
      <w:tr w:rsidR="004D3339" w:rsidRPr="00A02621" w14:paraId="24FDFEDC" w14:textId="77777777" w:rsidTr="00F0374C">
        <w:trPr>
          <w:cantSplit/>
          <w:trHeight w:val="397"/>
        </w:trPr>
        <w:tc>
          <w:tcPr>
            <w:tcW w:w="5000" w:type="pct"/>
            <w:gridSpan w:val="5"/>
            <w:tcBorders>
              <w:top w:val="single" w:sz="12" w:space="0" w:color="auto"/>
              <w:left w:val="single" w:sz="12" w:space="0" w:color="auto"/>
              <w:bottom w:val="single" w:sz="2" w:space="0" w:color="auto"/>
              <w:right w:val="single" w:sz="12" w:space="0" w:color="auto"/>
            </w:tcBorders>
            <w:shd w:val="clear" w:color="auto" w:fill="F2F2F2"/>
            <w:vAlign w:val="center"/>
          </w:tcPr>
          <w:p w14:paraId="2DD6D033" w14:textId="77777777" w:rsidR="004D3339" w:rsidRPr="00A02621" w:rsidRDefault="004D3339" w:rsidP="00F0374C">
            <w:pPr>
              <w:spacing w:before="40" w:after="40"/>
              <w:rPr>
                <w:rFonts w:cs="Arial"/>
                <w:b/>
              </w:rPr>
            </w:pPr>
            <w:r w:rsidRPr="00A02621">
              <w:rPr>
                <w:rFonts w:cs="Arial"/>
                <w:b/>
              </w:rPr>
              <w:t>Vision Outcome: Contributing to Vibrant Communities</w:t>
            </w:r>
          </w:p>
        </w:tc>
      </w:tr>
      <w:tr w:rsidR="004D3339" w:rsidRPr="00A02621" w14:paraId="548C69E7" w14:textId="77777777" w:rsidTr="00F0374C">
        <w:trPr>
          <w:cantSplit/>
          <w:trHeight w:val="513"/>
        </w:trPr>
        <w:tc>
          <w:tcPr>
            <w:tcW w:w="1871" w:type="pct"/>
            <w:tcBorders>
              <w:left w:val="single" w:sz="12" w:space="0" w:color="auto"/>
              <w:bottom w:val="single" w:sz="4" w:space="0" w:color="auto"/>
              <w:right w:val="single" w:sz="12" w:space="0" w:color="auto"/>
            </w:tcBorders>
            <w:shd w:val="clear" w:color="auto" w:fill="FFFFFF"/>
          </w:tcPr>
          <w:p w14:paraId="3F26F897" w14:textId="77777777" w:rsidR="004D3339" w:rsidRPr="0024747D" w:rsidRDefault="004D3339" w:rsidP="00F0374C">
            <w:pPr>
              <w:spacing w:before="40" w:after="40"/>
            </w:pPr>
            <w:r w:rsidRPr="0024747D">
              <w:t>Local needs homes</w:t>
            </w:r>
            <w:r>
              <w:t>: number of units</w:t>
            </w:r>
            <w:r w:rsidRPr="0024747D">
              <w:t xml:space="preserve"> granted planning permission</w:t>
            </w:r>
          </w:p>
        </w:tc>
        <w:tc>
          <w:tcPr>
            <w:tcW w:w="975" w:type="pct"/>
            <w:tcBorders>
              <w:left w:val="single" w:sz="12" w:space="0" w:color="auto"/>
              <w:bottom w:val="single" w:sz="4" w:space="0" w:color="auto"/>
              <w:right w:val="single" w:sz="12" w:space="0" w:color="auto"/>
            </w:tcBorders>
            <w:shd w:val="clear" w:color="auto" w:fill="F2F2F2"/>
          </w:tcPr>
          <w:p w14:paraId="551B9B4F" w14:textId="77777777" w:rsidR="004D3339" w:rsidRPr="00A02621" w:rsidRDefault="004D3339" w:rsidP="00F0374C">
            <w:pPr>
              <w:spacing w:before="40" w:after="40"/>
              <w:ind w:left="-35" w:right="-93"/>
              <w:jc w:val="center"/>
              <w:rPr>
                <w:b/>
              </w:rPr>
            </w:pPr>
            <w:r w:rsidRPr="00A02621">
              <w:rPr>
                <w:b/>
              </w:rPr>
              <w:t>44</w:t>
            </w:r>
          </w:p>
        </w:tc>
        <w:tc>
          <w:tcPr>
            <w:tcW w:w="749" w:type="pct"/>
            <w:tcBorders>
              <w:left w:val="single" w:sz="12" w:space="0" w:color="auto"/>
              <w:bottom w:val="single" w:sz="4" w:space="0" w:color="auto"/>
              <w:right w:val="single" w:sz="4" w:space="0" w:color="auto"/>
            </w:tcBorders>
            <w:shd w:val="clear" w:color="auto" w:fill="FFFFFF"/>
          </w:tcPr>
          <w:p w14:paraId="1F221977" w14:textId="77777777" w:rsidR="004D3339" w:rsidRPr="00A02621" w:rsidRDefault="004D3339" w:rsidP="00F0374C">
            <w:pPr>
              <w:spacing w:before="40" w:after="40"/>
              <w:ind w:left="-108" w:right="-108"/>
              <w:jc w:val="center"/>
              <w:rPr>
                <w:b/>
              </w:rPr>
            </w:pPr>
            <w:r>
              <w:t xml:space="preserve">&gt; </w:t>
            </w:r>
            <w:r w:rsidRPr="00A02621">
              <w:t>40</w:t>
            </w:r>
          </w:p>
        </w:tc>
        <w:tc>
          <w:tcPr>
            <w:tcW w:w="972" w:type="pct"/>
            <w:tcBorders>
              <w:left w:val="single" w:sz="4" w:space="0" w:color="auto"/>
              <w:bottom w:val="single" w:sz="4" w:space="0" w:color="auto"/>
            </w:tcBorders>
            <w:shd w:val="clear" w:color="auto" w:fill="F2F2F2"/>
          </w:tcPr>
          <w:p w14:paraId="7A37B60E" w14:textId="77777777" w:rsidR="004D3339" w:rsidRPr="00A02621" w:rsidRDefault="004D3339" w:rsidP="00F0374C">
            <w:pPr>
              <w:spacing w:before="40" w:after="40"/>
              <w:ind w:left="-108" w:right="-108"/>
              <w:jc w:val="center"/>
              <w:rPr>
                <w:b/>
              </w:rPr>
            </w:pPr>
            <w:r w:rsidRPr="00A02621">
              <w:rPr>
                <w:b/>
              </w:rPr>
              <w:t>76</w:t>
            </w:r>
          </w:p>
        </w:tc>
        <w:tc>
          <w:tcPr>
            <w:tcW w:w="433" w:type="pct"/>
            <w:tcBorders>
              <w:bottom w:val="single" w:sz="4" w:space="0" w:color="auto"/>
              <w:right w:val="single" w:sz="12" w:space="0" w:color="auto"/>
            </w:tcBorders>
            <w:shd w:val="clear" w:color="auto" w:fill="92D050"/>
          </w:tcPr>
          <w:p w14:paraId="46503065" w14:textId="77777777" w:rsidR="004D3339" w:rsidRPr="00B577DC" w:rsidRDefault="004D3339" w:rsidP="00F0374C">
            <w:pPr>
              <w:spacing w:before="40" w:after="40"/>
              <w:jc w:val="center"/>
              <w:rPr>
                <w:b/>
                <w:bCs/>
              </w:rPr>
            </w:pPr>
            <w:r w:rsidRPr="00B577DC">
              <w:rPr>
                <w:b/>
                <w:bCs/>
                <w:sz w:val="40"/>
                <w:szCs w:val="52"/>
              </w:rPr>
              <w:sym w:font="Wingdings" w:char="F04A"/>
            </w:r>
          </w:p>
          <w:p w14:paraId="0D5D6F88" w14:textId="77777777" w:rsidR="004D3339" w:rsidRPr="00B577DC" w:rsidRDefault="004D3339" w:rsidP="00F0374C">
            <w:pPr>
              <w:spacing w:before="40" w:after="40"/>
              <w:ind w:left="-108" w:right="-108"/>
              <w:jc w:val="center"/>
              <w:rPr>
                <w:b/>
                <w:bCs/>
              </w:rPr>
            </w:pPr>
            <w:r w:rsidRPr="00B577DC">
              <w:rPr>
                <w:b/>
                <w:bCs/>
              </w:rPr>
              <w:t>Yes</w:t>
            </w:r>
          </w:p>
        </w:tc>
      </w:tr>
      <w:tr w:rsidR="004D3339" w:rsidRPr="00A02621" w14:paraId="2E7CBDD0" w14:textId="77777777" w:rsidTr="00F0374C">
        <w:trPr>
          <w:cantSplit/>
          <w:trHeight w:val="484"/>
        </w:trPr>
        <w:tc>
          <w:tcPr>
            <w:tcW w:w="1871" w:type="pct"/>
            <w:tcBorders>
              <w:top w:val="single" w:sz="4" w:space="0" w:color="auto"/>
              <w:left w:val="single" w:sz="12" w:space="0" w:color="auto"/>
              <w:bottom w:val="single" w:sz="12" w:space="0" w:color="auto"/>
              <w:right w:val="single" w:sz="12" w:space="0" w:color="auto"/>
            </w:tcBorders>
            <w:shd w:val="clear" w:color="auto" w:fill="FFFFFF"/>
          </w:tcPr>
          <w:p w14:paraId="29C7B749" w14:textId="77777777" w:rsidR="004D3339" w:rsidRPr="0024747D" w:rsidRDefault="004D3339" w:rsidP="00F0374C">
            <w:pPr>
              <w:spacing w:before="40" w:after="40"/>
            </w:pPr>
            <w:r w:rsidRPr="0024747D">
              <w:t>Affordable homes</w:t>
            </w:r>
            <w:r>
              <w:t>: number of units</w:t>
            </w:r>
            <w:r w:rsidRPr="0024747D">
              <w:t xml:space="preserve"> granted planning permission</w:t>
            </w:r>
          </w:p>
        </w:tc>
        <w:tc>
          <w:tcPr>
            <w:tcW w:w="975" w:type="pct"/>
            <w:tcBorders>
              <w:top w:val="single" w:sz="4" w:space="0" w:color="auto"/>
              <w:left w:val="single" w:sz="12" w:space="0" w:color="auto"/>
              <w:bottom w:val="single" w:sz="12" w:space="0" w:color="auto"/>
              <w:right w:val="single" w:sz="12" w:space="0" w:color="auto"/>
            </w:tcBorders>
            <w:shd w:val="clear" w:color="auto" w:fill="F2F2F2"/>
          </w:tcPr>
          <w:p w14:paraId="6DCF225D" w14:textId="77777777" w:rsidR="004D3339" w:rsidRPr="00A02621" w:rsidRDefault="004D3339" w:rsidP="00F0374C">
            <w:pPr>
              <w:spacing w:before="40" w:after="40"/>
              <w:ind w:left="-35" w:right="-93"/>
              <w:jc w:val="center"/>
              <w:rPr>
                <w:b/>
              </w:rPr>
            </w:pPr>
            <w:r w:rsidRPr="00A02621">
              <w:rPr>
                <w:b/>
              </w:rPr>
              <w:t>2</w:t>
            </w:r>
          </w:p>
        </w:tc>
        <w:tc>
          <w:tcPr>
            <w:tcW w:w="749" w:type="pct"/>
            <w:tcBorders>
              <w:left w:val="single" w:sz="12" w:space="0" w:color="auto"/>
              <w:bottom w:val="single" w:sz="12" w:space="0" w:color="auto"/>
              <w:right w:val="single" w:sz="4" w:space="0" w:color="auto"/>
            </w:tcBorders>
            <w:shd w:val="clear" w:color="auto" w:fill="FFFFFF"/>
          </w:tcPr>
          <w:p w14:paraId="3E66487D" w14:textId="77777777" w:rsidR="004D3339" w:rsidRPr="00A02621" w:rsidRDefault="004D3339" w:rsidP="00F0374C">
            <w:pPr>
              <w:spacing w:before="40" w:after="40"/>
              <w:ind w:left="-108" w:right="-108"/>
              <w:jc w:val="center"/>
              <w:rPr>
                <w:b/>
              </w:rPr>
            </w:pPr>
            <w:r>
              <w:t xml:space="preserve">&gt; </w:t>
            </w:r>
            <w:r w:rsidRPr="00A02621">
              <w:t>40</w:t>
            </w:r>
          </w:p>
        </w:tc>
        <w:tc>
          <w:tcPr>
            <w:tcW w:w="972" w:type="pct"/>
            <w:tcBorders>
              <w:top w:val="single" w:sz="4" w:space="0" w:color="auto"/>
              <w:left w:val="single" w:sz="4" w:space="0" w:color="auto"/>
              <w:bottom w:val="single" w:sz="12" w:space="0" w:color="auto"/>
            </w:tcBorders>
            <w:shd w:val="clear" w:color="auto" w:fill="F2F2F2"/>
          </w:tcPr>
          <w:p w14:paraId="74F7C33E" w14:textId="77777777" w:rsidR="004D3339" w:rsidRPr="00A02621" w:rsidRDefault="004D3339" w:rsidP="00F0374C">
            <w:pPr>
              <w:spacing w:before="40" w:after="40"/>
              <w:ind w:left="-108" w:right="-108"/>
              <w:jc w:val="center"/>
              <w:rPr>
                <w:b/>
              </w:rPr>
            </w:pPr>
            <w:r w:rsidRPr="00A02621">
              <w:rPr>
                <w:rFonts w:cs="Arial"/>
                <w:b/>
              </w:rPr>
              <w:t>46</w:t>
            </w:r>
          </w:p>
        </w:tc>
        <w:tc>
          <w:tcPr>
            <w:tcW w:w="433" w:type="pct"/>
            <w:tcBorders>
              <w:bottom w:val="single" w:sz="4" w:space="0" w:color="auto"/>
              <w:right w:val="single" w:sz="12" w:space="0" w:color="auto"/>
            </w:tcBorders>
            <w:shd w:val="clear" w:color="auto" w:fill="92D050"/>
          </w:tcPr>
          <w:p w14:paraId="600A0793" w14:textId="77777777" w:rsidR="004D3339" w:rsidRPr="00B577DC" w:rsidRDefault="004D3339" w:rsidP="00F0374C">
            <w:pPr>
              <w:spacing w:before="40" w:after="40"/>
              <w:jc w:val="center"/>
              <w:rPr>
                <w:b/>
                <w:bCs/>
              </w:rPr>
            </w:pPr>
            <w:r w:rsidRPr="00B577DC">
              <w:rPr>
                <w:b/>
                <w:bCs/>
                <w:sz w:val="40"/>
                <w:szCs w:val="52"/>
              </w:rPr>
              <w:sym w:font="Wingdings" w:char="F04A"/>
            </w:r>
          </w:p>
          <w:p w14:paraId="7BD17B86" w14:textId="77777777" w:rsidR="004D3339" w:rsidRPr="00B577DC" w:rsidRDefault="004D3339" w:rsidP="00F0374C">
            <w:pPr>
              <w:spacing w:before="40" w:after="40"/>
              <w:ind w:left="-108" w:right="-108"/>
              <w:jc w:val="center"/>
              <w:rPr>
                <w:b/>
                <w:bCs/>
              </w:rPr>
            </w:pPr>
            <w:r w:rsidRPr="00B577DC">
              <w:rPr>
                <w:b/>
                <w:bCs/>
              </w:rPr>
              <w:t>Yes</w:t>
            </w:r>
          </w:p>
        </w:tc>
      </w:tr>
      <w:tr w:rsidR="004D3339" w:rsidRPr="00A02621" w14:paraId="1DC471EB" w14:textId="77777777" w:rsidTr="00F0374C">
        <w:trPr>
          <w:cantSplit/>
          <w:trHeight w:val="397"/>
        </w:trPr>
        <w:tc>
          <w:tcPr>
            <w:tcW w:w="5000" w:type="pct"/>
            <w:gridSpan w:val="5"/>
            <w:tcBorders>
              <w:top w:val="single" w:sz="12" w:space="0" w:color="auto"/>
              <w:left w:val="single" w:sz="12" w:space="0" w:color="auto"/>
              <w:bottom w:val="single" w:sz="2" w:space="0" w:color="auto"/>
              <w:right w:val="single" w:sz="12" w:space="0" w:color="auto"/>
            </w:tcBorders>
            <w:shd w:val="clear" w:color="auto" w:fill="F2F2F2"/>
            <w:vAlign w:val="center"/>
          </w:tcPr>
          <w:p w14:paraId="028AB167" w14:textId="77777777" w:rsidR="004D3339" w:rsidRPr="00A02621" w:rsidRDefault="004D3339" w:rsidP="00F0374C">
            <w:pPr>
              <w:spacing w:before="40" w:after="40"/>
              <w:rPr>
                <w:rFonts w:cs="Arial"/>
                <w:b/>
              </w:rPr>
            </w:pPr>
            <w:r w:rsidRPr="00A02621">
              <w:rPr>
                <w:rFonts w:cs="Arial"/>
                <w:b/>
              </w:rPr>
              <w:t>Vision Outcome: Contributing to a Spectacular Landscape, Wildlife and Cultural Heritage</w:t>
            </w:r>
          </w:p>
        </w:tc>
      </w:tr>
      <w:tr w:rsidR="004D3339" w:rsidRPr="00A02621" w14:paraId="4B51499C" w14:textId="77777777" w:rsidTr="00F0374C">
        <w:trPr>
          <w:cantSplit/>
        </w:trPr>
        <w:tc>
          <w:tcPr>
            <w:tcW w:w="1871" w:type="pct"/>
            <w:tcBorders>
              <w:left w:val="single" w:sz="12" w:space="0" w:color="auto"/>
              <w:bottom w:val="single" w:sz="4" w:space="0" w:color="auto"/>
              <w:right w:val="single" w:sz="12" w:space="0" w:color="auto"/>
            </w:tcBorders>
            <w:shd w:val="clear" w:color="auto" w:fill="FFFFFF"/>
          </w:tcPr>
          <w:p w14:paraId="14531260" w14:textId="77777777" w:rsidR="004D3339" w:rsidRPr="0024747D" w:rsidRDefault="004D3339" w:rsidP="00F0374C">
            <w:pPr>
              <w:spacing w:before="40" w:after="40"/>
            </w:pPr>
            <w:r w:rsidRPr="0024747D">
              <w:t>Conservation areas</w:t>
            </w:r>
            <w:r>
              <w:t>:</w:t>
            </w:r>
            <w:r w:rsidRPr="0024747D">
              <w:t xml:space="preserve"> percentage in good condition</w:t>
            </w:r>
          </w:p>
        </w:tc>
        <w:tc>
          <w:tcPr>
            <w:tcW w:w="975" w:type="pct"/>
            <w:tcBorders>
              <w:left w:val="single" w:sz="12" w:space="0" w:color="auto"/>
              <w:bottom w:val="single" w:sz="4" w:space="0" w:color="auto"/>
              <w:right w:val="single" w:sz="12" w:space="0" w:color="auto"/>
            </w:tcBorders>
            <w:shd w:val="clear" w:color="auto" w:fill="F2F2F2"/>
          </w:tcPr>
          <w:p w14:paraId="51F4BABA" w14:textId="77777777" w:rsidR="004D3339" w:rsidRPr="00A02621" w:rsidRDefault="004D3339" w:rsidP="00F0374C">
            <w:pPr>
              <w:spacing w:before="40" w:after="40"/>
              <w:ind w:left="-108" w:right="-108"/>
              <w:jc w:val="center"/>
              <w:rPr>
                <w:rFonts w:cs="Arial"/>
                <w:b/>
              </w:rPr>
            </w:pPr>
            <w:r w:rsidRPr="00A02621">
              <w:rPr>
                <w:rFonts w:cs="Arial"/>
                <w:b/>
              </w:rPr>
              <w:t>74%</w:t>
            </w:r>
          </w:p>
          <w:p w14:paraId="34AC40D8" w14:textId="77777777" w:rsidR="004D3339" w:rsidRPr="00A02621" w:rsidRDefault="004D3339" w:rsidP="00F0374C">
            <w:pPr>
              <w:spacing w:before="40" w:after="40"/>
              <w:ind w:left="-108" w:right="-108"/>
              <w:jc w:val="center"/>
              <w:rPr>
                <w:rFonts w:cs="Arial"/>
                <w:bCs/>
              </w:rPr>
            </w:pPr>
            <w:r w:rsidRPr="00A02621">
              <w:rPr>
                <w:rFonts w:cs="Arial"/>
                <w:bCs/>
              </w:rPr>
              <w:t>(17 / 23)</w:t>
            </w:r>
          </w:p>
        </w:tc>
        <w:tc>
          <w:tcPr>
            <w:tcW w:w="749" w:type="pct"/>
            <w:tcBorders>
              <w:left w:val="single" w:sz="12" w:space="0" w:color="auto"/>
              <w:bottom w:val="single" w:sz="4" w:space="0" w:color="auto"/>
              <w:right w:val="single" w:sz="4" w:space="0" w:color="auto"/>
            </w:tcBorders>
            <w:shd w:val="clear" w:color="auto" w:fill="auto"/>
          </w:tcPr>
          <w:p w14:paraId="4F407F0D" w14:textId="77777777" w:rsidR="004D3339" w:rsidRPr="00A02621" w:rsidRDefault="004D3339" w:rsidP="00F0374C">
            <w:pPr>
              <w:spacing w:before="40" w:after="40"/>
              <w:ind w:left="-125" w:right="-108"/>
              <w:jc w:val="center"/>
              <w:rPr>
                <w:rFonts w:cs="Arial"/>
              </w:rPr>
            </w:pPr>
            <w:r>
              <w:rPr>
                <w:rFonts w:cs="Arial"/>
              </w:rPr>
              <w:t xml:space="preserve">&gt; </w:t>
            </w:r>
            <w:r w:rsidRPr="00A02621">
              <w:rPr>
                <w:rFonts w:cs="Arial"/>
              </w:rPr>
              <w:t>74%</w:t>
            </w:r>
          </w:p>
        </w:tc>
        <w:tc>
          <w:tcPr>
            <w:tcW w:w="972" w:type="pct"/>
            <w:tcBorders>
              <w:left w:val="single" w:sz="4" w:space="0" w:color="auto"/>
              <w:bottom w:val="single" w:sz="4" w:space="0" w:color="auto"/>
            </w:tcBorders>
            <w:shd w:val="clear" w:color="auto" w:fill="F2F2F2"/>
          </w:tcPr>
          <w:p w14:paraId="7856F4BB" w14:textId="77777777" w:rsidR="004D3339" w:rsidRPr="00A02621" w:rsidRDefault="004D3339" w:rsidP="00F0374C">
            <w:pPr>
              <w:spacing w:before="40" w:after="40"/>
              <w:ind w:left="-108" w:right="-108"/>
              <w:jc w:val="center"/>
              <w:rPr>
                <w:rFonts w:cs="Arial"/>
                <w:b/>
              </w:rPr>
            </w:pPr>
            <w:r w:rsidRPr="00A02621">
              <w:rPr>
                <w:rFonts w:cs="Arial"/>
                <w:b/>
              </w:rPr>
              <w:t>74%</w:t>
            </w:r>
          </w:p>
          <w:p w14:paraId="3AF79010" w14:textId="77777777" w:rsidR="004D3339" w:rsidRPr="00A02621" w:rsidRDefault="004D3339" w:rsidP="00F0374C">
            <w:pPr>
              <w:spacing w:before="40" w:after="40"/>
              <w:ind w:left="-108" w:right="-108"/>
              <w:jc w:val="center"/>
              <w:rPr>
                <w:rFonts w:cs="Arial"/>
                <w:bCs/>
              </w:rPr>
            </w:pPr>
            <w:r w:rsidRPr="00A02621">
              <w:rPr>
                <w:rFonts w:cs="Arial"/>
                <w:bCs/>
              </w:rPr>
              <w:t>(17 / 23)</w:t>
            </w:r>
          </w:p>
        </w:tc>
        <w:tc>
          <w:tcPr>
            <w:tcW w:w="433" w:type="pct"/>
            <w:tcBorders>
              <w:top w:val="single" w:sz="4" w:space="0" w:color="auto"/>
              <w:bottom w:val="single" w:sz="4" w:space="0" w:color="auto"/>
              <w:right w:val="single" w:sz="12" w:space="0" w:color="auto"/>
            </w:tcBorders>
            <w:shd w:val="clear" w:color="auto" w:fill="92D050"/>
          </w:tcPr>
          <w:p w14:paraId="465E7F78" w14:textId="77777777" w:rsidR="004D3339" w:rsidRPr="00B577DC" w:rsidRDefault="004D3339" w:rsidP="00F0374C">
            <w:pPr>
              <w:spacing w:before="40" w:after="40"/>
              <w:jc w:val="center"/>
              <w:rPr>
                <w:b/>
                <w:bCs/>
              </w:rPr>
            </w:pPr>
            <w:r w:rsidRPr="00B577DC">
              <w:rPr>
                <w:b/>
                <w:bCs/>
                <w:sz w:val="40"/>
                <w:szCs w:val="40"/>
              </w:rPr>
              <w:sym w:font="Wingdings" w:char="F04A"/>
            </w:r>
          </w:p>
          <w:p w14:paraId="324CE746" w14:textId="77777777" w:rsidR="004D3339" w:rsidRPr="00B577DC" w:rsidRDefault="004D3339" w:rsidP="00F0374C">
            <w:pPr>
              <w:spacing w:before="40" w:after="40"/>
              <w:jc w:val="center"/>
              <w:rPr>
                <w:b/>
                <w:bCs/>
              </w:rPr>
            </w:pPr>
            <w:r w:rsidRPr="00B577DC">
              <w:rPr>
                <w:b/>
                <w:bCs/>
              </w:rPr>
              <w:t>Yes</w:t>
            </w:r>
          </w:p>
        </w:tc>
      </w:tr>
      <w:tr w:rsidR="004D3339" w:rsidRPr="00A02621" w14:paraId="0D26BAF0" w14:textId="77777777" w:rsidTr="00F0374C">
        <w:trPr>
          <w:cantSplit/>
        </w:trPr>
        <w:tc>
          <w:tcPr>
            <w:tcW w:w="1871" w:type="pct"/>
            <w:tcBorders>
              <w:top w:val="single" w:sz="4" w:space="0" w:color="auto"/>
              <w:left w:val="single" w:sz="12" w:space="0" w:color="auto"/>
              <w:bottom w:val="single" w:sz="4" w:space="0" w:color="auto"/>
              <w:right w:val="single" w:sz="12" w:space="0" w:color="auto"/>
            </w:tcBorders>
            <w:shd w:val="clear" w:color="auto" w:fill="FFFFFF"/>
          </w:tcPr>
          <w:p w14:paraId="0881D611" w14:textId="77777777" w:rsidR="004D3339" w:rsidRPr="0024747D" w:rsidRDefault="004D3339" w:rsidP="00F0374C">
            <w:pPr>
              <w:spacing w:before="40" w:after="40"/>
            </w:pPr>
            <w:r w:rsidRPr="0024747D">
              <w:t>Scheduled monuments</w:t>
            </w:r>
            <w:r>
              <w:t>:</w:t>
            </w:r>
            <w:r w:rsidRPr="0024747D">
              <w:t xml:space="preserve"> number at risk</w:t>
            </w:r>
          </w:p>
        </w:tc>
        <w:tc>
          <w:tcPr>
            <w:tcW w:w="975" w:type="pct"/>
            <w:tcBorders>
              <w:top w:val="single" w:sz="4" w:space="0" w:color="auto"/>
              <w:left w:val="single" w:sz="12" w:space="0" w:color="auto"/>
              <w:bottom w:val="single" w:sz="4" w:space="0" w:color="auto"/>
              <w:right w:val="single" w:sz="12" w:space="0" w:color="auto"/>
            </w:tcBorders>
            <w:shd w:val="clear" w:color="auto" w:fill="F2F2F2"/>
          </w:tcPr>
          <w:p w14:paraId="77FE0F55" w14:textId="77777777" w:rsidR="004D3339" w:rsidRPr="00A02621" w:rsidRDefault="004D3339" w:rsidP="00F0374C">
            <w:pPr>
              <w:spacing w:before="40" w:after="40"/>
              <w:ind w:left="-108" w:right="-108"/>
              <w:jc w:val="center"/>
              <w:rPr>
                <w:rFonts w:cs="Arial"/>
                <w:b/>
              </w:rPr>
            </w:pPr>
            <w:r w:rsidRPr="00A02621">
              <w:rPr>
                <w:rFonts w:cs="Arial"/>
                <w:b/>
              </w:rPr>
              <w:t>20</w:t>
            </w:r>
          </w:p>
        </w:tc>
        <w:tc>
          <w:tcPr>
            <w:tcW w:w="749" w:type="pct"/>
            <w:tcBorders>
              <w:top w:val="single" w:sz="4" w:space="0" w:color="auto"/>
              <w:left w:val="single" w:sz="12" w:space="0" w:color="auto"/>
              <w:bottom w:val="single" w:sz="4" w:space="0" w:color="auto"/>
              <w:right w:val="single" w:sz="4" w:space="0" w:color="auto"/>
            </w:tcBorders>
            <w:shd w:val="clear" w:color="auto" w:fill="auto"/>
          </w:tcPr>
          <w:p w14:paraId="689F22D1" w14:textId="77777777" w:rsidR="004D3339" w:rsidRPr="00A02621" w:rsidRDefault="004D3339" w:rsidP="00F0374C">
            <w:pPr>
              <w:spacing w:before="40" w:after="40"/>
              <w:ind w:left="-123" w:right="-108"/>
              <w:jc w:val="center"/>
              <w:rPr>
                <w:rFonts w:cs="Arial"/>
                <w:bCs/>
              </w:rPr>
            </w:pPr>
            <w:r>
              <w:rPr>
                <w:rFonts w:cs="Arial"/>
                <w:bCs/>
              </w:rPr>
              <w:t xml:space="preserve">&lt; </w:t>
            </w:r>
            <w:r w:rsidRPr="00A02621">
              <w:rPr>
                <w:rFonts w:cs="Arial"/>
                <w:bCs/>
              </w:rPr>
              <w:t>20</w:t>
            </w:r>
          </w:p>
        </w:tc>
        <w:tc>
          <w:tcPr>
            <w:tcW w:w="972" w:type="pct"/>
            <w:tcBorders>
              <w:top w:val="single" w:sz="4" w:space="0" w:color="auto"/>
              <w:left w:val="single" w:sz="4" w:space="0" w:color="auto"/>
              <w:bottom w:val="single" w:sz="4" w:space="0" w:color="auto"/>
            </w:tcBorders>
            <w:shd w:val="clear" w:color="auto" w:fill="F2F2F2"/>
          </w:tcPr>
          <w:p w14:paraId="3C079E58" w14:textId="77777777" w:rsidR="004D3339" w:rsidRPr="00A02621" w:rsidRDefault="004D3339" w:rsidP="00F0374C">
            <w:pPr>
              <w:spacing w:before="40" w:after="40"/>
              <w:ind w:left="-108" w:right="-108"/>
              <w:jc w:val="center"/>
              <w:rPr>
                <w:rFonts w:cs="Arial"/>
                <w:b/>
              </w:rPr>
            </w:pPr>
            <w:r w:rsidRPr="00A02621">
              <w:rPr>
                <w:rFonts w:cs="Arial"/>
                <w:b/>
              </w:rPr>
              <w:t>20</w:t>
            </w:r>
          </w:p>
        </w:tc>
        <w:tc>
          <w:tcPr>
            <w:tcW w:w="433" w:type="pct"/>
            <w:tcBorders>
              <w:top w:val="single" w:sz="4" w:space="0" w:color="auto"/>
              <w:bottom w:val="single" w:sz="4" w:space="0" w:color="auto"/>
              <w:right w:val="single" w:sz="12" w:space="0" w:color="auto"/>
            </w:tcBorders>
            <w:shd w:val="clear" w:color="auto" w:fill="92D050"/>
          </w:tcPr>
          <w:p w14:paraId="0B525776" w14:textId="77777777" w:rsidR="004D3339" w:rsidRPr="00B577DC" w:rsidRDefault="004D3339" w:rsidP="00F0374C">
            <w:pPr>
              <w:spacing w:before="40" w:after="40"/>
              <w:jc w:val="center"/>
              <w:rPr>
                <w:b/>
                <w:bCs/>
              </w:rPr>
            </w:pPr>
            <w:r w:rsidRPr="00B577DC">
              <w:rPr>
                <w:b/>
                <w:bCs/>
                <w:sz w:val="40"/>
                <w:szCs w:val="52"/>
              </w:rPr>
              <w:sym w:font="Wingdings" w:char="F04A"/>
            </w:r>
          </w:p>
          <w:p w14:paraId="70F1F3E6" w14:textId="77777777" w:rsidR="004D3339" w:rsidRPr="00B577DC" w:rsidRDefault="004D3339" w:rsidP="00F0374C">
            <w:pPr>
              <w:spacing w:before="40" w:after="40"/>
              <w:ind w:left="-108" w:right="-108"/>
              <w:jc w:val="center"/>
              <w:rPr>
                <w:b/>
                <w:bCs/>
              </w:rPr>
            </w:pPr>
            <w:r w:rsidRPr="00B577DC">
              <w:rPr>
                <w:b/>
                <w:bCs/>
              </w:rPr>
              <w:t>Yes</w:t>
            </w:r>
          </w:p>
        </w:tc>
      </w:tr>
      <w:tr w:rsidR="004D3339" w:rsidRPr="00A02621" w14:paraId="48E5C0F0" w14:textId="77777777" w:rsidTr="00F0374C">
        <w:trPr>
          <w:cantSplit/>
          <w:trHeight w:val="771"/>
        </w:trPr>
        <w:tc>
          <w:tcPr>
            <w:tcW w:w="1871" w:type="pct"/>
            <w:tcBorders>
              <w:top w:val="single" w:sz="4" w:space="0" w:color="auto"/>
              <w:left w:val="single" w:sz="12" w:space="0" w:color="auto"/>
              <w:bottom w:val="single" w:sz="4" w:space="0" w:color="auto"/>
              <w:right w:val="single" w:sz="12" w:space="0" w:color="auto"/>
            </w:tcBorders>
            <w:shd w:val="clear" w:color="auto" w:fill="FFFFFF"/>
          </w:tcPr>
          <w:p w14:paraId="21DE50BF" w14:textId="77777777" w:rsidR="004D3339" w:rsidRPr="0024747D" w:rsidRDefault="004D3339" w:rsidP="00F0374C">
            <w:pPr>
              <w:spacing w:before="40" w:after="40"/>
            </w:pPr>
            <w:r w:rsidRPr="0024747D">
              <w:t>Listed buildings</w:t>
            </w:r>
            <w:r>
              <w:t>:</w:t>
            </w:r>
            <w:r w:rsidRPr="0024747D">
              <w:t xml:space="preserve"> percentage at risk</w:t>
            </w:r>
          </w:p>
        </w:tc>
        <w:tc>
          <w:tcPr>
            <w:tcW w:w="975" w:type="pct"/>
            <w:tcBorders>
              <w:top w:val="single" w:sz="4" w:space="0" w:color="auto"/>
              <w:left w:val="single" w:sz="12" w:space="0" w:color="auto"/>
              <w:bottom w:val="single" w:sz="4" w:space="0" w:color="auto"/>
              <w:right w:val="single" w:sz="12" w:space="0" w:color="auto"/>
            </w:tcBorders>
            <w:shd w:val="clear" w:color="auto" w:fill="F2F2F2"/>
          </w:tcPr>
          <w:p w14:paraId="68CC74C5" w14:textId="77777777" w:rsidR="004D3339" w:rsidRPr="00A02621" w:rsidRDefault="004D3339" w:rsidP="00F0374C">
            <w:pPr>
              <w:spacing w:before="40" w:after="40"/>
              <w:ind w:left="-108" w:right="-108"/>
              <w:jc w:val="center"/>
              <w:rPr>
                <w:rFonts w:cs="Arial"/>
                <w:b/>
              </w:rPr>
            </w:pPr>
            <w:r w:rsidRPr="00A02621">
              <w:rPr>
                <w:rFonts w:cs="Arial"/>
                <w:b/>
              </w:rPr>
              <w:t>4.4%</w:t>
            </w:r>
          </w:p>
          <w:p w14:paraId="06A88B0D" w14:textId="77777777" w:rsidR="004D3339" w:rsidRPr="00A02621" w:rsidRDefault="004D3339" w:rsidP="00F0374C">
            <w:pPr>
              <w:spacing w:before="40" w:after="40"/>
              <w:ind w:left="-108" w:right="-108"/>
              <w:jc w:val="center"/>
              <w:rPr>
                <w:rFonts w:cs="Arial"/>
              </w:rPr>
            </w:pPr>
            <w:r w:rsidRPr="00A02621">
              <w:rPr>
                <w:rFonts w:cs="Arial"/>
              </w:rPr>
              <w:t>(79 / 1,800)</w:t>
            </w:r>
          </w:p>
        </w:tc>
        <w:tc>
          <w:tcPr>
            <w:tcW w:w="749" w:type="pct"/>
            <w:tcBorders>
              <w:top w:val="single" w:sz="4" w:space="0" w:color="auto"/>
              <w:left w:val="single" w:sz="12" w:space="0" w:color="auto"/>
              <w:bottom w:val="single" w:sz="4" w:space="0" w:color="auto"/>
              <w:right w:val="single" w:sz="4" w:space="0" w:color="auto"/>
            </w:tcBorders>
            <w:shd w:val="clear" w:color="auto" w:fill="auto"/>
          </w:tcPr>
          <w:p w14:paraId="0AEB3144" w14:textId="77777777" w:rsidR="004D3339" w:rsidRPr="00A02621" w:rsidRDefault="004D3339" w:rsidP="00F0374C">
            <w:pPr>
              <w:spacing w:before="40" w:after="40"/>
              <w:ind w:left="-123" w:right="-108"/>
              <w:jc w:val="center"/>
              <w:rPr>
                <w:rFonts w:cs="Arial"/>
              </w:rPr>
            </w:pPr>
            <w:r>
              <w:rPr>
                <w:rFonts w:cs="Arial"/>
              </w:rPr>
              <w:t xml:space="preserve">&lt; </w:t>
            </w:r>
            <w:r w:rsidRPr="00A02621">
              <w:rPr>
                <w:rFonts w:cs="Arial"/>
              </w:rPr>
              <w:t>4.2%</w:t>
            </w:r>
          </w:p>
        </w:tc>
        <w:tc>
          <w:tcPr>
            <w:tcW w:w="972" w:type="pct"/>
            <w:tcBorders>
              <w:top w:val="single" w:sz="4" w:space="0" w:color="auto"/>
              <w:left w:val="single" w:sz="4" w:space="0" w:color="auto"/>
              <w:bottom w:val="single" w:sz="4" w:space="0" w:color="auto"/>
            </w:tcBorders>
            <w:shd w:val="clear" w:color="auto" w:fill="F2F2F2"/>
          </w:tcPr>
          <w:p w14:paraId="7BCDB260" w14:textId="77777777" w:rsidR="004D3339" w:rsidRPr="00A02621" w:rsidRDefault="004D3339" w:rsidP="00F0374C">
            <w:pPr>
              <w:spacing w:before="40" w:after="40"/>
              <w:ind w:left="-108" w:right="-108"/>
              <w:jc w:val="center"/>
              <w:rPr>
                <w:rFonts w:cs="Arial"/>
                <w:b/>
              </w:rPr>
            </w:pPr>
            <w:r w:rsidRPr="00A02621">
              <w:rPr>
                <w:rFonts w:cs="Arial"/>
                <w:b/>
              </w:rPr>
              <w:t>4.2%</w:t>
            </w:r>
          </w:p>
          <w:p w14:paraId="1D410151" w14:textId="77777777" w:rsidR="004D3339" w:rsidRPr="00A02621" w:rsidRDefault="004D3339" w:rsidP="00F0374C">
            <w:pPr>
              <w:spacing w:before="40" w:after="40"/>
              <w:ind w:left="-108" w:right="-108"/>
              <w:jc w:val="center"/>
              <w:rPr>
                <w:rFonts w:cs="Arial"/>
              </w:rPr>
            </w:pPr>
            <w:r w:rsidRPr="00A02621">
              <w:rPr>
                <w:rFonts w:cs="Arial"/>
              </w:rPr>
              <w:t>(75 / 1,797)</w:t>
            </w:r>
          </w:p>
        </w:tc>
        <w:tc>
          <w:tcPr>
            <w:tcW w:w="433" w:type="pct"/>
            <w:tcBorders>
              <w:top w:val="single" w:sz="4" w:space="0" w:color="auto"/>
              <w:bottom w:val="single" w:sz="4" w:space="0" w:color="auto"/>
              <w:right w:val="single" w:sz="12" w:space="0" w:color="auto"/>
            </w:tcBorders>
            <w:shd w:val="clear" w:color="auto" w:fill="92D050"/>
          </w:tcPr>
          <w:p w14:paraId="61DC3E64" w14:textId="77777777" w:rsidR="004D3339" w:rsidRPr="00B577DC" w:rsidRDefault="004D3339" w:rsidP="00F0374C">
            <w:pPr>
              <w:spacing w:before="40" w:after="40"/>
              <w:jc w:val="center"/>
              <w:rPr>
                <w:b/>
                <w:bCs/>
              </w:rPr>
            </w:pPr>
            <w:r w:rsidRPr="00B577DC">
              <w:rPr>
                <w:b/>
                <w:bCs/>
                <w:sz w:val="40"/>
                <w:szCs w:val="52"/>
              </w:rPr>
              <w:sym w:font="Wingdings" w:char="F04A"/>
            </w:r>
          </w:p>
          <w:p w14:paraId="5952647C" w14:textId="77777777" w:rsidR="004D3339" w:rsidRPr="00B577DC" w:rsidRDefault="004D3339" w:rsidP="00F0374C">
            <w:pPr>
              <w:spacing w:before="40" w:after="40"/>
              <w:ind w:left="-108" w:right="-108"/>
              <w:jc w:val="center"/>
              <w:rPr>
                <w:b/>
                <w:bCs/>
              </w:rPr>
            </w:pPr>
            <w:r w:rsidRPr="00B577DC">
              <w:rPr>
                <w:b/>
                <w:bCs/>
              </w:rPr>
              <w:t>Yes</w:t>
            </w:r>
          </w:p>
        </w:tc>
      </w:tr>
      <w:tr w:rsidR="004D3339" w:rsidRPr="00A02621" w14:paraId="68D5A706" w14:textId="77777777" w:rsidTr="00F0374C">
        <w:trPr>
          <w:cantSplit/>
          <w:trHeight w:val="868"/>
        </w:trPr>
        <w:tc>
          <w:tcPr>
            <w:tcW w:w="1871" w:type="pct"/>
            <w:tcBorders>
              <w:top w:val="single" w:sz="4" w:space="0" w:color="auto"/>
              <w:left w:val="single" w:sz="12" w:space="0" w:color="auto"/>
              <w:bottom w:val="single" w:sz="12" w:space="0" w:color="auto"/>
              <w:right w:val="single" w:sz="12" w:space="0" w:color="auto"/>
            </w:tcBorders>
            <w:shd w:val="clear" w:color="auto" w:fill="FFFFFF"/>
          </w:tcPr>
          <w:p w14:paraId="31279380" w14:textId="77777777" w:rsidR="004D3339" w:rsidRPr="0024747D" w:rsidRDefault="004D3339" w:rsidP="00F0374C">
            <w:pPr>
              <w:spacing w:before="40" w:after="40"/>
            </w:pPr>
            <w:bookmarkStart w:id="41" w:name="_Hlk166573876"/>
            <w:r>
              <w:t>Fix the Fells: percentage of u</w:t>
            </w:r>
            <w:r w:rsidRPr="00EA0763">
              <w:t>pland paths and associated landscape maintained on time</w:t>
            </w:r>
            <w:bookmarkEnd w:id="41"/>
          </w:p>
        </w:tc>
        <w:tc>
          <w:tcPr>
            <w:tcW w:w="975" w:type="pct"/>
            <w:tcBorders>
              <w:top w:val="single" w:sz="4" w:space="0" w:color="auto"/>
              <w:left w:val="single" w:sz="12" w:space="0" w:color="auto"/>
              <w:bottom w:val="single" w:sz="12" w:space="0" w:color="auto"/>
              <w:right w:val="single" w:sz="12" w:space="0" w:color="auto"/>
            </w:tcBorders>
            <w:shd w:val="clear" w:color="auto" w:fill="F2F2F2"/>
          </w:tcPr>
          <w:p w14:paraId="565266F2" w14:textId="77777777" w:rsidR="004D3339" w:rsidRPr="00A02621" w:rsidRDefault="004D3339" w:rsidP="00F0374C">
            <w:pPr>
              <w:spacing w:before="40" w:after="40"/>
              <w:ind w:left="-108" w:right="-108"/>
              <w:jc w:val="center"/>
              <w:rPr>
                <w:rFonts w:cs="Arial"/>
                <w:b/>
              </w:rPr>
            </w:pPr>
            <w:r>
              <w:rPr>
                <w:rFonts w:cs="Arial"/>
                <w:b/>
              </w:rPr>
              <w:t>97%</w:t>
            </w:r>
          </w:p>
        </w:tc>
        <w:tc>
          <w:tcPr>
            <w:tcW w:w="749" w:type="pct"/>
            <w:tcBorders>
              <w:top w:val="single" w:sz="4" w:space="0" w:color="auto"/>
              <w:left w:val="single" w:sz="12" w:space="0" w:color="auto"/>
              <w:bottom w:val="single" w:sz="12" w:space="0" w:color="auto"/>
              <w:right w:val="single" w:sz="4" w:space="0" w:color="auto"/>
            </w:tcBorders>
            <w:shd w:val="clear" w:color="auto" w:fill="auto"/>
          </w:tcPr>
          <w:p w14:paraId="32443CC3" w14:textId="77777777" w:rsidR="004D3339" w:rsidRPr="00A02621" w:rsidRDefault="004D3339" w:rsidP="00F0374C">
            <w:pPr>
              <w:spacing w:before="40" w:after="40"/>
              <w:ind w:left="-123" w:right="-108"/>
              <w:jc w:val="center"/>
              <w:rPr>
                <w:rFonts w:cs="Arial"/>
              </w:rPr>
            </w:pPr>
            <w:r>
              <w:rPr>
                <w:rFonts w:cs="Arial"/>
              </w:rPr>
              <w:t>&gt; 80%</w:t>
            </w:r>
          </w:p>
        </w:tc>
        <w:tc>
          <w:tcPr>
            <w:tcW w:w="972" w:type="pct"/>
            <w:tcBorders>
              <w:top w:val="single" w:sz="4" w:space="0" w:color="auto"/>
              <w:left w:val="single" w:sz="4" w:space="0" w:color="auto"/>
              <w:bottom w:val="single" w:sz="12" w:space="0" w:color="auto"/>
            </w:tcBorders>
            <w:shd w:val="clear" w:color="auto" w:fill="F2F2F2"/>
          </w:tcPr>
          <w:p w14:paraId="7EDBDF6D" w14:textId="77777777" w:rsidR="004D3339" w:rsidRPr="00A02621" w:rsidRDefault="004D3339" w:rsidP="00F0374C">
            <w:pPr>
              <w:spacing w:before="40" w:after="40"/>
              <w:ind w:left="-108" w:right="-108"/>
              <w:jc w:val="center"/>
              <w:rPr>
                <w:rFonts w:cs="Arial"/>
                <w:b/>
              </w:rPr>
            </w:pPr>
            <w:r>
              <w:rPr>
                <w:rFonts w:cs="Arial"/>
                <w:b/>
              </w:rPr>
              <w:t>96%</w:t>
            </w:r>
          </w:p>
        </w:tc>
        <w:tc>
          <w:tcPr>
            <w:tcW w:w="433" w:type="pct"/>
            <w:tcBorders>
              <w:top w:val="single" w:sz="4" w:space="0" w:color="auto"/>
              <w:bottom w:val="single" w:sz="4" w:space="0" w:color="auto"/>
              <w:right w:val="single" w:sz="12" w:space="0" w:color="auto"/>
            </w:tcBorders>
            <w:shd w:val="clear" w:color="auto" w:fill="92D050"/>
          </w:tcPr>
          <w:p w14:paraId="54174997" w14:textId="77777777" w:rsidR="004D3339" w:rsidRPr="009D583D" w:rsidRDefault="004D3339" w:rsidP="00F0374C">
            <w:pPr>
              <w:spacing w:before="40" w:after="40"/>
              <w:jc w:val="center"/>
              <w:rPr>
                <w:b/>
                <w:bCs/>
              </w:rPr>
            </w:pPr>
            <w:r w:rsidRPr="009D583D">
              <w:rPr>
                <w:b/>
                <w:bCs/>
                <w:sz w:val="40"/>
                <w:szCs w:val="40"/>
              </w:rPr>
              <w:sym w:font="Wingdings" w:char="F04A"/>
            </w:r>
          </w:p>
          <w:p w14:paraId="1C6EFC66" w14:textId="77777777" w:rsidR="004D3339" w:rsidRPr="009D583D" w:rsidRDefault="004D3339" w:rsidP="00F0374C">
            <w:pPr>
              <w:spacing w:before="40" w:after="40"/>
              <w:jc w:val="center"/>
              <w:rPr>
                <w:b/>
                <w:bCs/>
              </w:rPr>
            </w:pPr>
            <w:r w:rsidRPr="009D583D">
              <w:rPr>
                <w:b/>
                <w:bCs/>
              </w:rPr>
              <w:t>Yes</w:t>
            </w:r>
          </w:p>
        </w:tc>
      </w:tr>
      <w:tr w:rsidR="004D3339" w:rsidRPr="00A02621" w14:paraId="22B38128" w14:textId="77777777" w:rsidTr="00F0374C">
        <w:tblPrEx>
          <w:tblBorders>
            <w:top w:val="none" w:sz="0" w:space="0" w:color="auto"/>
            <w:bottom w:val="none" w:sz="0" w:space="0" w:color="auto"/>
            <w:insideH w:val="none" w:sz="0" w:space="0" w:color="auto"/>
            <w:insideV w:val="none" w:sz="0" w:space="0" w:color="auto"/>
          </w:tblBorders>
        </w:tblPrEx>
        <w:trPr>
          <w:cantSplit/>
          <w:trHeight w:val="397"/>
        </w:trPr>
        <w:tc>
          <w:tcPr>
            <w:tcW w:w="5000" w:type="pct"/>
            <w:gridSpan w:val="5"/>
            <w:tcBorders>
              <w:top w:val="single" w:sz="12" w:space="0" w:color="auto"/>
              <w:left w:val="single" w:sz="12" w:space="0" w:color="auto"/>
              <w:bottom w:val="single" w:sz="2" w:space="0" w:color="auto"/>
              <w:right w:val="single" w:sz="12" w:space="0" w:color="auto"/>
            </w:tcBorders>
            <w:shd w:val="clear" w:color="auto" w:fill="F2F2F2"/>
          </w:tcPr>
          <w:p w14:paraId="67758671" w14:textId="77777777" w:rsidR="004D3339" w:rsidRPr="00A02621" w:rsidRDefault="004D3339" w:rsidP="00F0374C">
            <w:pPr>
              <w:spacing w:before="40" w:after="40"/>
              <w:rPr>
                <w:rFonts w:cs="Arial"/>
                <w:b/>
              </w:rPr>
            </w:pPr>
            <w:r w:rsidRPr="00A02621">
              <w:rPr>
                <w:rFonts w:cs="Arial"/>
                <w:b/>
              </w:rPr>
              <w:lastRenderedPageBreak/>
              <w:t>LDNPA Outcome: Demonstrating a High Performance Culture</w:t>
            </w:r>
          </w:p>
        </w:tc>
      </w:tr>
      <w:tr w:rsidR="004D3339" w:rsidRPr="00A02621" w14:paraId="35BCD493" w14:textId="77777777" w:rsidTr="00F0374C">
        <w:trPr>
          <w:cantSplit/>
          <w:trHeight w:val="70"/>
        </w:trPr>
        <w:tc>
          <w:tcPr>
            <w:tcW w:w="1871" w:type="pct"/>
            <w:tcBorders>
              <w:top w:val="single" w:sz="4" w:space="0" w:color="auto"/>
              <w:left w:val="single" w:sz="12" w:space="0" w:color="auto"/>
              <w:bottom w:val="single" w:sz="4" w:space="0" w:color="auto"/>
              <w:right w:val="single" w:sz="12" w:space="0" w:color="auto"/>
            </w:tcBorders>
            <w:shd w:val="clear" w:color="auto" w:fill="FFFFFF"/>
          </w:tcPr>
          <w:p w14:paraId="5B6EA8C8" w14:textId="77777777" w:rsidR="004D3339" w:rsidRPr="0024747D" w:rsidRDefault="004D3339" w:rsidP="00F0374C">
            <w:pPr>
              <w:spacing w:before="40" w:after="40"/>
            </w:pPr>
            <w:r w:rsidRPr="0024747D">
              <w:t>Staff sickness absence</w:t>
            </w:r>
            <w:r>
              <w:t>:</w:t>
            </w:r>
            <w:r w:rsidRPr="0024747D">
              <w:t xml:space="preserve"> </w:t>
            </w:r>
            <w:r>
              <w:t xml:space="preserve">percentage of </w:t>
            </w:r>
            <w:r w:rsidRPr="0024747D">
              <w:t>staff working time lost due to sickness absence</w:t>
            </w:r>
          </w:p>
        </w:tc>
        <w:tc>
          <w:tcPr>
            <w:tcW w:w="975" w:type="pct"/>
            <w:tcBorders>
              <w:top w:val="single" w:sz="4" w:space="0" w:color="auto"/>
              <w:left w:val="single" w:sz="12" w:space="0" w:color="auto"/>
              <w:bottom w:val="single" w:sz="4" w:space="0" w:color="auto"/>
              <w:right w:val="single" w:sz="12" w:space="0" w:color="auto"/>
            </w:tcBorders>
            <w:shd w:val="clear" w:color="auto" w:fill="F2F2F2"/>
          </w:tcPr>
          <w:p w14:paraId="3F4DE4E9" w14:textId="77777777" w:rsidR="004D3339" w:rsidRPr="00A02621" w:rsidRDefault="004D3339" w:rsidP="00F0374C">
            <w:pPr>
              <w:spacing w:before="40" w:after="40"/>
              <w:ind w:left="-105" w:right="-119"/>
              <w:jc w:val="center"/>
              <w:rPr>
                <w:bCs/>
              </w:rPr>
            </w:pPr>
            <w:r w:rsidRPr="00A02621">
              <w:rPr>
                <w:bCs/>
              </w:rPr>
              <w:t>New indicator in 2023/24</w:t>
            </w:r>
          </w:p>
        </w:tc>
        <w:tc>
          <w:tcPr>
            <w:tcW w:w="749" w:type="pct"/>
            <w:tcBorders>
              <w:top w:val="single" w:sz="4" w:space="0" w:color="auto"/>
              <w:left w:val="single" w:sz="12" w:space="0" w:color="auto"/>
              <w:bottom w:val="single" w:sz="4" w:space="0" w:color="auto"/>
              <w:right w:val="single" w:sz="4" w:space="0" w:color="auto"/>
            </w:tcBorders>
            <w:shd w:val="clear" w:color="auto" w:fill="auto"/>
          </w:tcPr>
          <w:p w14:paraId="2A5399D5" w14:textId="77777777" w:rsidR="004D3339" w:rsidRPr="00A02621" w:rsidRDefault="004D3339" w:rsidP="00F0374C">
            <w:pPr>
              <w:spacing w:before="40" w:after="40"/>
              <w:ind w:left="-105" w:right="-117"/>
              <w:jc w:val="center"/>
              <w:rPr>
                <w:rFonts w:cs="Arial"/>
              </w:rPr>
            </w:pPr>
            <w:r>
              <w:rPr>
                <w:rFonts w:cs="Arial"/>
              </w:rPr>
              <w:t xml:space="preserve">&lt; </w:t>
            </w:r>
            <w:r w:rsidRPr="00A02621">
              <w:rPr>
                <w:rFonts w:cs="Arial"/>
              </w:rPr>
              <w:t>3.0%</w:t>
            </w:r>
          </w:p>
        </w:tc>
        <w:tc>
          <w:tcPr>
            <w:tcW w:w="972" w:type="pct"/>
            <w:tcBorders>
              <w:top w:val="single" w:sz="4" w:space="0" w:color="auto"/>
              <w:left w:val="single" w:sz="4" w:space="0" w:color="auto"/>
              <w:bottom w:val="single" w:sz="4" w:space="0" w:color="auto"/>
              <w:right w:val="single" w:sz="4" w:space="0" w:color="auto"/>
            </w:tcBorders>
            <w:shd w:val="clear" w:color="auto" w:fill="F2F2F2"/>
          </w:tcPr>
          <w:p w14:paraId="64415C64" w14:textId="77777777" w:rsidR="004D3339" w:rsidRPr="00A02621" w:rsidRDefault="004D3339" w:rsidP="00F0374C">
            <w:pPr>
              <w:spacing w:before="40" w:after="40"/>
              <w:jc w:val="center"/>
              <w:rPr>
                <w:b/>
              </w:rPr>
            </w:pPr>
            <w:r w:rsidRPr="00A02621">
              <w:rPr>
                <w:b/>
              </w:rPr>
              <w:t>2.3%</w:t>
            </w:r>
          </w:p>
        </w:tc>
        <w:tc>
          <w:tcPr>
            <w:tcW w:w="433" w:type="pct"/>
            <w:tcBorders>
              <w:top w:val="dotted" w:sz="4" w:space="0" w:color="auto"/>
              <w:left w:val="single" w:sz="2" w:space="0" w:color="auto"/>
              <w:bottom w:val="single" w:sz="4" w:space="0" w:color="auto"/>
              <w:right w:val="single" w:sz="12" w:space="0" w:color="auto"/>
            </w:tcBorders>
            <w:shd w:val="clear" w:color="auto" w:fill="92D050"/>
          </w:tcPr>
          <w:p w14:paraId="3A824444" w14:textId="77777777" w:rsidR="004D3339" w:rsidRPr="00B577DC" w:rsidRDefault="004D3339" w:rsidP="00F0374C">
            <w:pPr>
              <w:spacing w:before="40" w:after="40"/>
              <w:jc w:val="center"/>
              <w:rPr>
                <w:b/>
                <w:bCs/>
              </w:rPr>
            </w:pPr>
            <w:r w:rsidRPr="00B577DC">
              <w:rPr>
                <w:b/>
                <w:bCs/>
                <w:sz w:val="40"/>
                <w:szCs w:val="40"/>
              </w:rPr>
              <w:sym w:font="Wingdings" w:char="F04A"/>
            </w:r>
          </w:p>
          <w:p w14:paraId="3281B9AC" w14:textId="77777777" w:rsidR="004D3339" w:rsidRPr="00B577DC" w:rsidRDefault="004D3339" w:rsidP="00F0374C">
            <w:pPr>
              <w:spacing w:before="40" w:after="40"/>
              <w:jc w:val="center"/>
              <w:rPr>
                <w:b/>
                <w:bCs/>
              </w:rPr>
            </w:pPr>
            <w:r w:rsidRPr="00B577DC">
              <w:rPr>
                <w:b/>
                <w:bCs/>
              </w:rPr>
              <w:t>Yes</w:t>
            </w:r>
          </w:p>
        </w:tc>
      </w:tr>
      <w:tr w:rsidR="004D3339" w:rsidRPr="00A02621" w14:paraId="54514BD9" w14:textId="77777777" w:rsidTr="00F0374C">
        <w:trPr>
          <w:cantSplit/>
          <w:trHeight w:val="972"/>
        </w:trPr>
        <w:tc>
          <w:tcPr>
            <w:tcW w:w="1871" w:type="pct"/>
            <w:tcBorders>
              <w:top w:val="single" w:sz="4" w:space="0" w:color="auto"/>
              <w:left w:val="single" w:sz="12" w:space="0" w:color="auto"/>
              <w:bottom w:val="single" w:sz="4" w:space="0" w:color="auto"/>
              <w:right w:val="single" w:sz="12" w:space="0" w:color="auto"/>
            </w:tcBorders>
            <w:shd w:val="clear" w:color="auto" w:fill="FFFFFF"/>
          </w:tcPr>
          <w:p w14:paraId="2833E41F" w14:textId="77777777" w:rsidR="004D3339" w:rsidRDefault="004D3339" w:rsidP="00F0374C">
            <w:pPr>
              <w:spacing w:before="40"/>
            </w:pPr>
            <w:r w:rsidRPr="0024747D">
              <w:t>Health and safety</w:t>
            </w:r>
            <w:r>
              <w:t xml:space="preserve">: </w:t>
            </w:r>
            <w:r w:rsidRPr="0024747D">
              <w:t>number of internal accidents reported per 100,000 working hours</w:t>
            </w:r>
          </w:p>
          <w:p w14:paraId="69C32F22" w14:textId="77777777" w:rsidR="004D3339" w:rsidRPr="0024747D" w:rsidRDefault="004D3339" w:rsidP="00F0374C">
            <w:pPr>
              <w:spacing w:after="40"/>
            </w:pPr>
            <w:r w:rsidRPr="0024747D">
              <w:t>(12 month rolling average)</w:t>
            </w:r>
          </w:p>
        </w:tc>
        <w:tc>
          <w:tcPr>
            <w:tcW w:w="975" w:type="pct"/>
            <w:tcBorders>
              <w:top w:val="single" w:sz="4" w:space="0" w:color="auto"/>
              <w:left w:val="single" w:sz="12" w:space="0" w:color="auto"/>
              <w:bottom w:val="single" w:sz="4" w:space="0" w:color="auto"/>
              <w:right w:val="single" w:sz="12" w:space="0" w:color="auto"/>
            </w:tcBorders>
            <w:shd w:val="clear" w:color="auto" w:fill="F2F2F2"/>
          </w:tcPr>
          <w:p w14:paraId="7FF41C31" w14:textId="77777777" w:rsidR="004D3339" w:rsidRPr="00A02621" w:rsidRDefault="004D3339" w:rsidP="00F0374C">
            <w:pPr>
              <w:spacing w:before="40" w:after="40"/>
              <w:ind w:left="-176" w:right="-113"/>
              <w:jc w:val="center"/>
              <w:rPr>
                <w:b/>
              </w:rPr>
            </w:pPr>
            <w:r w:rsidRPr="00A02621">
              <w:rPr>
                <w:rFonts w:cs="Arial"/>
                <w:b/>
              </w:rPr>
              <w:t>2.9</w:t>
            </w:r>
          </w:p>
        </w:tc>
        <w:tc>
          <w:tcPr>
            <w:tcW w:w="749" w:type="pct"/>
            <w:tcBorders>
              <w:top w:val="single" w:sz="4" w:space="0" w:color="auto"/>
              <w:left w:val="single" w:sz="12" w:space="0" w:color="auto"/>
              <w:bottom w:val="single" w:sz="4" w:space="0" w:color="auto"/>
              <w:right w:val="single" w:sz="4" w:space="0" w:color="auto"/>
            </w:tcBorders>
            <w:shd w:val="clear" w:color="auto" w:fill="auto"/>
          </w:tcPr>
          <w:p w14:paraId="52EA72C5" w14:textId="77777777" w:rsidR="004D3339" w:rsidRPr="00A02621" w:rsidRDefault="004D3339" w:rsidP="00F0374C">
            <w:pPr>
              <w:spacing w:before="40" w:after="40"/>
              <w:jc w:val="center"/>
            </w:pPr>
            <w:r>
              <w:rPr>
                <w:rFonts w:cs="Arial"/>
              </w:rPr>
              <w:t xml:space="preserve">&lt; </w:t>
            </w:r>
            <w:r w:rsidRPr="00A02621">
              <w:rPr>
                <w:rFonts w:cs="Arial"/>
              </w:rPr>
              <w:t>4.0</w:t>
            </w:r>
          </w:p>
        </w:tc>
        <w:tc>
          <w:tcPr>
            <w:tcW w:w="972" w:type="pct"/>
            <w:tcBorders>
              <w:top w:val="single" w:sz="4" w:space="0" w:color="auto"/>
              <w:left w:val="single" w:sz="4" w:space="0" w:color="auto"/>
              <w:bottom w:val="single" w:sz="4" w:space="0" w:color="auto"/>
              <w:right w:val="single" w:sz="4" w:space="0" w:color="auto"/>
            </w:tcBorders>
            <w:shd w:val="clear" w:color="auto" w:fill="F2F2F2"/>
          </w:tcPr>
          <w:p w14:paraId="0741C9DC" w14:textId="77777777" w:rsidR="004D3339" w:rsidRPr="00A02621" w:rsidRDefault="004D3339" w:rsidP="00F0374C">
            <w:pPr>
              <w:spacing w:before="40" w:after="40"/>
              <w:ind w:left="-135" w:right="-113"/>
              <w:jc w:val="center"/>
              <w:rPr>
                <w:b/>
              </w:rPr>
            </w:pPr>
            <w:r w:rsidRPr="00A02621">
              <w:rPr>
                <w:b/>
              </w:rPr>
              <w:t>3.6</w:t>
            </w:r>
          </w:p>
        </w:tc>
        <w:tc>
          <w:tcPr>
            <w:tcW w:w="433" w:type="pct"/>
            <w:tcBorders>
              <w:top w:val="single" w:sz="4" w:space="0" w:color="auto"/>
              <w:bottom w:val="single" w:sz="4" w:space="0" w:color="auto"/>
              <w:right w:val="single" w:sz="12" w:space="0" w:color="auto"/>
            </w:tcBorders>
            <w:shd w:val="clear" w:color="auto" w:fill="92D050"/>
          </w:tcPr>
          <w:p w14:paraId="01E9ABAE" w14:textId="77777777" w:rsidR="004D3339" w:rsidRPr="00B577DC" w:rsidRDefault="004D3339" w:rsidP="00F0374C">
            <w:pPr>
              <w:spacing w:before="40" w:after="40"/>
              <w:jc w:val="center"/>
              <w:rPr>
                <w:b/>
                <w:bCs/>
              </w:rPr>
            </w:pPr>
            <w:r w:rsidRPr="00B577DC">
              <w:rPr>
                <w:b/>
                <w:bCs/>
                <w:sz w:val="40"/>
                <w:szCs w:val="52"/>
              </w:rPr>
              <w:sym w:font="Wingdings" w:char="F04A"/>
            </w:r>
          </w:p>
          <w:p w14:paraId="7C6BF2DF" w14:textId="77777777" w:rsidR="004D3339" w:rsidRPr="00B577DC" w:rsidRDefault="004D3339" w:rsidP="00F0374C">
            <w:pPr>
              <w:spacing w:before="40" w:after="40"/>
              <w:ind w:left="-108" w:right="-108"/>
              <w:jc w:val="center"/>
              <w:rPr>
                <w:b/>
                <w:bCs/>
              </w:rPr>
            </w:pPr>
            <w:r w:rsidRPr="00B577DC">
              <w:rPr>
                <w:b/>
                <w:bCs/>
              </w:rPr>
              <w:t>Yes</w:t>
            </w:r>
          </w:p>
        </w:tc>
      </w:tr>
      <w:tr w:rsidR="004D3339" w:rsidRPr="00A02621" w14:paraId="437C3AD6" w14:textId="77777777" w:rsidTr="00F0374C">
        <w:trPr>
          <w:cantSplit/>
          <w:trHeight w:val="487"/>
        </w:trPr>
        <w:tc>
          <w:tcPr>
            <w:tcW w:w="1871" w:type="pct"/>
            <w:tcBorders>
              <w:top w:val="single" w:sz="4" w:space="0" w:color="auto"/>
              <w:left w:val="single" w:sz="12" w:space="0" w:color="auto"/>
              <w:bottom w:val="single" w:sz="4" w:space="0" w:color="auto"/>
              <w:right w:val="single" w:sz="12" w:space="0" w:color="auto"/>
            </w:tcBorders>
            <w:shd w:val="clear" w:color="auto" w:fill="FFFFFF"/>
          </w:tcPr>
          <w:p w14:paraId="4DD7B7E5" w14:textId="77777777" w:rsidR="004D3339" w:rsidRPr="0024747D" w:rsidRDefault="004D3339" w:rsidP="00F0374C">
            <w:pPr>
              <w:spacing w:before="40" w:after="40"/>
            </w:pPr>
            <w:r w:rsidRPr="0024747D">
              <w:t>Staff survey results</w:t>
            </w:r>
            <w:r>
              <w:t>:</w:t>
            </w:r>
            <w:r w:rsidRPr="0024747D">
              <w:t xml:space="preserve"> </w:t>
            </w:r>
            <w:r>
              <w:t xml:space="preserve">percentage of </w:t>
            </w:r>
            <w:r w:rsidRPr="0024747D">
              <w:t>staff who are satisfied working for the LDNPA</w:t>
            </w:r>
          </w:p>
        </w:tc>
        <w:tc>
          <w:tcPr>
            <w:tcW w:w="975" w:type="pct"/>
            <w:tcBorders>
              <w:top w:val="single" w:sz="4" w:space="0" w:color="auto"/>
              <w:left w:val="single" w:sz="12" w:space="0" w:color="auto"/>
              <w:bottom w:val="single" w:sz="4" w:space="0" w:color="auto"/>
              <w:right w:val="single" w:sz="12" w:space="0" w:color="auto"/>
            </w:tcBorders>
            <w:shd w:val="clear" w:color="auto" w:fill="F2F2F2"/>
          </w:tcPr>
          <w:p w14:paraId="67B6B3E4" w14:textId="77777777" w:rsidR="004D3339" w:rsidRPr="00A02621" w:rsidRDefault="004D3339" w:rsidP="00F0374C">
            <w:pPr>
              <w:spacing w:before="40" w:after="40"/>
              <w:jc w:val="center"/>
              <w:rPr>
                <w:b/>
              </w:rPr>
            </w:pPr>
            <w:r w:rsidRPr="00A02621">
              <w:rPr>
                <w:b/>
              </w:rPr>
              <w:t>82%</w:t>
            </w:r>
          </w:p>
          <w:p w14:paraId="67201AA7" w14:textId="77777777" w:rsidR="004D3339" w:rsidRPr="00A02621" w:rsidRDefault="004D3339" w:rsidP="00F0374C">
            <w:pPr>
              <w:spacing w:before="40" w:after="40"/>
              <w:jc w:val="center"/>
            </w:pPr>
            <w:r w:rsidRPr="00A02621">
              <w:t>(85 / 104)</w:t>
            </w:r>
          </w:p>
        </w:tc>
        <w:tc>
          <w:tcPr>
            <w:tcW w:w="749" w:type="pct"/>
            <w:tcBorders>
              <w:top w:val="single" w:sz="4" w:space="0" w:color="auto"/>
              <w:left w:val="single" w:sz="12" w:space="0" w:color="auto"/>
              <w:bottom w:val="single" w:sz="4" w:space="0" w:color="auto"/>
              <w:right w:val="single" w:sz="4" w:space="0" w:color="auto"/>
            </w:tcBorders>
            <w:shd w:val="clear" w:color="auto" w:fill="auto"/>
          </w:tcPr>
          <w:p w14:paraId="55AB56ED" w14:textId="77777777" w:rsidR="004D3339" w:rsidRPr="00A02621" w:rsidRDefault="004D3339" w:rsidP="00F0374C">
            <w:pPr>
              <w:spacing w:before="40" w:after="40"/>
              <w:jc w:val="center"/>
              <w:rPr>
                <w:rFonts w:cs="Arial"/>
              </w:rPr>
            </w:pPr>
            <w:r>
              <w:rPr>
                <w:rFonts w:cs="Arial"/>
              </w:rPr>
              <w:t xml:space="preserve">&gt; </w:t>
            </w:r>
            <w:r w:rsidRPr="00A02621">
              <w:rPr>
                <w:rFonts w:cs="Arial"/>
              </w:rPr>
              <w:t>80%</w:t>
            </w:r>
          </w:p>
        </w:tc>
        <w:tc>
          <w:tcPr>
            <w:tcW w:w="972" w:type="pct"/>
            <w:tcBorders>
              <w:top w:val="single" w:sz="4" w:space="0" w:color="auto"/>
              <w:left w:val="single" w:sz="4" w:space="0" w:color="auto"/>
              <w:bottom w:val="single" w:sz="4" w:space="0" w:color="auto"/>
              <w:right w:val="single" w:sz="4" w:space="0" w:color="auto"/>
            </w:tcBorders>
            <w:shd w:val="clear" w:color="auto" w:fill="F2F2F2"/>
          </w:tcPr>
          <w:p w14:paraId="2932AF45" w14:textId="77777777" w:rsidR="004D3339" w:rsidRPr="00A02621" w:rsidRDefault="004D3339" w:rsidP="00F0374C">
            <w:pPr>
              <w:spacing w:before="40" w:after="40"/>
              <w:jc w:val="center"/>
              <w:rPr>
                <w:b/>
              </w:rPr>
            </w:pPr>
            <w:r w:rsidRPr="00A02621">
              <w:rPr>
                <w:b/>
              </w:rPr>
              <w:t>87%</w:t>
            </w:r>
          </w:p>
          <w:p w14:paraId="187AB67F" w14:textId="77777777" w:rsidR="004D3339" w:rsidRPr="00A02621" w:rsidRDefault="004D3339" w:rsidP="00F0374C">
            <w:pPr>
              <w:spacing w:before="40" w:after="40"/>
              <w:jc w:val="center"/>
            </w:pPr>
            <w:r w:rsidRPr="00A02621">
              <w:t>(101 / 116)</w:t>
            </w:r>
          </w:p>
        </w:tc>
        <w:tc>
          <w:tcPr>
            <w:tcW w:w="433" w:type="pct"/>
            <w:tcBorders>
              <w:top w:val="single" w:sz="4" w:space="0" w:color="auto"/>
              <w:bottom w:val="single" w:sz="4" w:space="0" w:color="auto"/>
              <w:right w:val="single" w:sz="12" w:space="0" w:color="auto"/>
            </w:tcBorders>
            <w:shd w:val="clear" w:color="auto" w:fill="92D050"/>
          </w:tcPr>
          <w:p w14:paraId="36B7E41A" w14:textId="77777777" w:rsidR="004D3339" w:rsidRPr="00B577DC" w:rsidRDefault="004D3339" w:rsidP="00F0374C">
            <w:pPr>
              <w:spacing w:before="40" w:after="40"/>
              <w:jc w:val="center"/>
              <w:rPr>
                <w:b/>
                <w:bCs/>
              </w:rPr>
            </w:pPr>
            <w:r w:rsidRPr="00B577DC">
              <w:rPr>
                <w:b/>
                <w:bCs/>
                <w:sz w:val="40"/>
                <w:szCs w:val="40"/>
              </w:rPr>
              <w:sym w:font="Wingdings" w:char="F04A"/>
            </w:r>
          </w:p>
          <w:p w14:paraId="47B69B9A" w14:textId="77777777" w:rsidR="004D3339" w:rsidRPr="00B577DC" w:rsidRDefault="004D3339" w:rsidP="00F0374C">
            <w:pPr>
              <w:spacing w:before="40" w:after="40"/>
              <w:ind w:left="-108" w:right="-108"/>
              <w:jc w:val="center"/>
              <w:rPr>
                <w:b/>
                <w:bCs/>
              </w:rPr>
            </w:pPr>
            <w:r w:rsidRPr="00B577DC">
              <w:rPr>
                <w:b/>
                <w:bCs/>
              </w:rPr>
              <w:t>Yes</w:t>
            </w:r>
          </w:p>
        </w:tc>
      </w:tr>
      <w:tr w:rsidR="004D3339" w:rsidRPr="00A02621" w14:paraId="1FF8CDE7" w14:textId="77777777" w:rsidTr="00F0374C">
        <w:trPr>
          <w:cantSplit/>
          <w:trHeight w:val="445"/>
        </w:trPr>
        <w:tc>
          <w:tcPr>
            <w:tcW w:w="1871" w:type="pct"/>
            <w:tcBorders>
              <w:top w:val="single" w:sz="4" w:space="0" w:color="auto"/>
              <w:left w:val="single" w:sz="12" w:space="0" w:color="auto"/>
              <w:bottom w:val="single" w:sz="4" w:space="0" w:color="auto"/>
              <w:right w:val="single" w:sz="12" w:space="0" w:color="auto"/>
            </w:tcBorders>
            <w:shd w:val="clear" w:color="auto" w:fill="FFFFFF"/>
          </w:tcPr>
          <w:p w14:paraId="0FEA000F" w14:textId="77777777" w:rsidR="004D3339" w:rsidRPr="0024747D" w:rsidRDefault="004D3339" w:rsidP="00F0374C">
            <w:pPr>
              <w:spacing w:before="40" w:after="40"/>
            </w:pPr>
            <w:r w:rsidRPr="0024747D">
              <w:t>Staff survey results</w:t>
            </w:r>
            <w:r>
              <w:t>:</w:t>
            </w:r>
            <w:r w:rsidRPr="0024747D">
              <w:t xml:space="preserve"> </w:t>
            </w:r>
            <w:r>
              <w:t xml:space="preserve">percentage of </w:t>
            </w:r>
            <w:r w:rsidRPr="0024747D">
              <w:t>staff likely to recommend the LDNPA as a place to work</w:t>
            </w:r>
          </w:p>
        </w:tc>
        <w:tc>
          <w:tcPr>
            <w:tcW w:w="975" w:type="pct"/>
            <w:tcBorders>
              <w:top w:val="single" w:sz="4" w:space="0" w:color="auto"/>
              <w:left w:val="single" w:sz="12" w:space="0" w:color="auto"/>
              <w:bottom w:val="single" w:sz="4" w:space="0" w:color="auto"/>
              <w:right w:val="single" w:sz="12" w:space="0" w:color="auto"/>
            </w:tcBorders>
            <w:shd w:val="clear" w:color="auto" w:fill="F2F2F2"/>
          </w:tcPr>
          <w:p w14:paraId="1F10EA89" w14:textId="77777777" w:rsidR="004D3339" w:rsidRPr="00A02621" w:rsidRDefault="004D3339" w:rsidP="00F0374C">
            <w:pPr>
              <w:spacing w:before="40" w:after="40"/>
              <w:jc w:val="center"/>
              <w:rPr>
                <w:b/>
              </w:rPr>
            </w:pPr>
            <w:r w:rsidRPr="00A02621">
              <w:rPr>
                <w:b/>
              </w:rPr>
              <w:t>82%</w:t>
            </w:r>
          </w:p>
          <w:p w14:paraId="67024E40" w14:textId="77777777" w:rsidR="004D3339" w:rsidRDefault="004D3339" w:rsidP="00F0374C">
            <w:pPr>
              <w:spacing w:before="40" w:after="40"/>
              <w:jc w:val="center"/>
            </w:pPr>
            <w:r w:rsidRPr="00A02621">
              <w:t>(83 / 101)</w:t>
            </w:r>
          </w:p>
          <w:p w14:paraId="5E80EE33" w14:textId="77777777" w:rsidR="004D3339" w:rsidRPr="00A02621" w:rsidRDefault="004D3339" w:rsidP="00F0374C">
            <w:pPr>
              <w:spacing w:before="40" w:after="40"/>
              <w:jc w:val="center"/>
            </w:pPr>
            <w:r w:rsidRPr="00A02621">
              <w:rPr>
                <w:sz w:val="20"/>
                <w:szCs w:val="20"/>
              </w:rPr>
              <w:t>[2021/22 data]</w:t>
            </w:r>
          </w:p>
        </w:tc>
        <w:tc>
          <w:tcPr>
            <w:tcW w:w="749" w:type="pct"/>
            <w:tcBorders>
              <w:top w:val="single" w:sz="4" w:space="0" w:color="auto"/>
              <w:left w:val="single" w:sz="12" w:space="0" w:color="auto"/>
              <w:bottom w:val="single" w:sz="4" w:space="0" w:color="auto"/>
              <w:right w:val="single" w:sz="4" w:space="0" w:color="auto"/>
            </w:tcBorders>
            <w:shd w:val="clear" w:color="auto" w:fill="auto"/>
          </w:tcPr>
          <w:p w14:paraId="133F0B86" w14:textId="77777777" w:rsidR="004D3339" w:rsidRPr="00A02621" w:rsidRDefault="004D3339" w:rsidP="00F0374C">
            <w:pPr>
              <w:spacing w:before="40" w:after="40"/>
              <w:jc w:val="center"/>
              <w:rPr>
                <w:rFonts w:cs="Arial"/>
              </w:rPr>
            </w:pPr>
            <w:r>
              <w:rPr>
                <w:rFonts w:cs="Arial"/>
              </w:rPr>
              <w:t xml:space="preserve">&gt; </w:t>
            </w:r>
            <w:r w:rsidRPr="00A02621">
              <w:rPr>
                <w:rFonts w:cs="Arial"/>
              </w:rPr>
              <w:t>80%</w:t>
            </w:r>
          </w:p>
        </w:tc>
        <w:tc>
          <w:tcPr>
            <w:tcW w:w="972" w:type="pct"/>
            <w:tcBorders>
              <w:top w:val="single" w:sz="4" w:space="0" w:color="auto"/>
              <w:left w:val="single" w:sz="4" w:space="0" w:color="auto"/>
              <w:bottom w:val="single" w:sz="4" w:space="0" w:color="auto"/>
              <w:right w:val="single" w:sz="4" w:space="0" w:color="auto"/>
            </w:tcBorders>
            <w:shd w:val="clear" w:color="auto" w:fill="F2F2F2"/>
          </w:tcPr>
          <w:p w14:paraId="74A9C3DB" w14:textId="77777777" w:rsidR="004D3339" w:rsidRPr="00A02621" w:rsidRDefault="004D3339" w:rsidP="00F0374C">
            <w:pPr>
              <w:spacing w:before="40" w:after="40"/>
              <w:jc w:val="center"/>
              <w:rPr>
                <w:b/>
              </w:rPr>
            </w:pPr>
            <w:r w:rsidRPr="00A02621">
              <w:rPr>
                <w:b/>
              </w:rPr>
              <w:t>78%</w:t>
            </w:r>
          </w:p>
          <w:p w14:paraId="2FCBA0E5" w14:textId="77777777" w:rsidR="004D3339" w:rsidRPr="00A02621" w:rsidRDefault="004D3339" w:rsidP="00F0374C">
            <w:pPr>
              <w:spacing w:before="40" w:after="40"/>
              <w:jc w:val="center"/>
              <w:rPr>
                <w:bCs/>
              </w:rPr>
            </w:pPr>
            <w:r w:rsidRPr="00A02621">
              <w:t>(91 / 116)</w:t>
            </w:r>
          </w:p>
        </w:tc>
        <w:tc>
          <w:tcPr>
            <w:tcW w:w="433" w:type="pct"/>
            <w:tcBorders>
              <w:top w:val="single" w:sz="2" w:space="0" w:color="auto"/>
              <w:left w:val="single" w:sz="4" w:space="0" w:color="auto"/>
              <w:bottom w:val="single" w:sz="4" w:space="0" w:color="auto"/>
              <w:right w:val="single" w:sz="12" w:space="0" w:color="auto"/>
            </w:tcBorders>
            <w:shd w:val="clear" w:color="auto" w:fill="FF0000"/>
          </w:tcPr>
          <w:p w14:paraId="31E8403E" w14:textId="77777777" w:rsidR="004D3339" w:rsidRPr="00B577DC" w:rsidRDefault="004D3339" w:rsidP="00F0374C">
            <w:pPr>
              <w:spacing w:before="40" w:after="40"/>
              <w:ind w:left="-108" w:right="-108"/>
              <w:jc w:val="center"/>
              <w:rPr>
                <w:b/>
                <w:bCs/>
              </w:rPr>
            </w:pPr>
            <w:r w:rsidRPr="00B577DC">
              <w:rPr>
                <w:b/>
                <w:bCs/>
                <w:sz w:val="40"/>
                <w:szCs w:val="40"/>
              </w:rPr>
              <w:sym w:font="Wingdings" w:char="F04C"/>
            </w:r>
          </w:p>
          <w:p w14:paraId="35F55634" w14:textId="77777777" w:rsidR="004D3339" w:rsidRPr="00B577DC" w:rsidRDefault="004D3339" w:rsidP="00F0374C">
            <w:pPr>
              <w:spacing w:before="40" w:after="40"/>
              <w:ind w:left="-108" w:right="-108"/>
              <w:jc w:val="center"/>
              <w:rPr>
                <w:b/>
                <w:bCs/>
              </w:rPr>
            </w:pPr>
            <w:r w:rsidRPr="00B577DC">
              <w:rPr>
                <w:b/>
                <w:bCs/>
              </w:rPr>
              <w:t>No</w:t>
            </w:r>
          </w:p>
        </w:tc>
      </w:tr>
      <w:tr w:rsidR="004D3339" w:rsidRPr="00A02621" w14:paraId="03131D05" w14:textId="77777777" w:rsidTr="00F0374C">
        <w:trPr>
          <w:cantSplit/>
          <w:trHeight w:val="303"/>
        </w:trPr>
        <w:tc>
          <w:tcPr>
            <w:tcW w:w="1871" w:type="pct"/>
            <w:tcBorders>
              <w:top w:val="single" w:sz="4" w:space="0" w:color="auto"/>
              <w:left w:val="single" w:sz="12" w:space="0" w:color="auto"/>
              <w:bottom w:val="single" w:sz="12" w:space="0" w:color="auto"/>
              <w:right w:val="single" w:sz="12" w:space="0" w:color="auto"/>
            </w:tcBorders>
            <w:shd w:val="clear" w:color="auto" w:fill="FFFFFF"/>
          </w:tcPr>
          <w:p w14:paraId="26FFD58F" w14:textId="77777777" w:rsidR="004D3339" w:rsidRPr="0024747D" w:rsidRDefault="004D3339" w:rsidP="00F0374C">
            <w:pPr>
              <w:spacing w:before="40" w:after="40"/>
            </w:pPr>
            <w:r w:rsidRPr="0024747D">
              <w:t>Carbon emissions</w:t>
            </w:r>
            <w:r>
              <w:t>:</w:t>
            </w:r>
            <w:r w:rsidRPr="0024747D">
              <w:t xml:space="preserve"> annual greenhouse gas emissions from our operations</w:t>
            </w:r>
            <w:r>
              <w:t xml:space="preserve"> (tonnes)</w:t>
            </w:r>
          </w:p>
        </w:tc>
        <w:tc>
          <w:tcPr>
            <w:tcW w:w="975" w:type="pct"/>
            <w:tcBorders>
              <w:top w:val="single" w:sz="4" w:space="0" w:color="auto"/>
              <w:left w:val="single" w:sz="12" w:space="0" w:color="auto"/>
              <w:bottom w:val="single" w:sz="12" w:space="0" w:color="auto"/>
              <w:right w:val="single" w:sz="12" w:space="0" w:color="auto"/>
            </w:tcBorders>
            <w:shd w:val="clear" w:color="auto" w:fill="F2F2F2"/>
          </w:tcPr>
          <w:p w14:paraId="3FB0A318" w14:textId="77777777" w:rsidR="004D3339" w:rsidRPr="00A02621" w:rsidRDefault="004D3339" w:rsidP="00F0374C">
            <w:pPr>
              <w:spacing w:before="40" w:after="40"/>
              <w:ind w:left="-108" w:right="-113"/>
              <w:jc w:val="center"/>
            </w:pPr>
            <w:r w:rsidRPr="00A02621">
              <w:rPr>
                <w:b/>
              </w:rPr>
              <w:t>267.97 t</w:t>
            </w:r>
          </w:p>
        </w:tc>
        <w:tc>
          <w:tcPr>
            <w:tcW w:w="749" w:type="pct"/>
            <w:tcBorders>
              <w:top w:val="single" w:sz="4" w:space="0" w:color="auto"/>
              <w:left w:val="single" w:sz="12" w:space="0" w:color="auto"/>
              <w:bottom w:val="single" w:sz="12" w:space="0" w:color="auto"/>
              <w:right w:val="single" w:sz="4" w:space="0" w:color="auto"/>
            </w:tcBorders>
            <w:shd w:val="clear" w:color="auto" w:fill="auto"/>
          </w:tcPr>
          <w:p w14:paraId="766DA8E1" w14:textId="77777777" w:rsidR="004D3339" w:rsidRPr="00A02621" w:rsidRDefault="004D3339" w:rsidP="00F0374C">
            <w:pPr>
              <w:spacing w:before="40" w:after="40"/>
              <w:jc w:val="center"/>
              <w:rPr>
                <w:rFonts w:cs="Arial"/>
              </w:rPr>
            </w:pPr>
            <w:r>
              <w:rPr>
                <w:rFonts w:cs="Arial"/>
              </w:rPr>
              <w:t xml:space="preserve">&lt; </w:t>
            </w:r>
            <w:r w:rsidRPr="00A02621">
              <w:rPr>
                <w:rFonts w:cs="Arial"/>
              </w:rPr>
              <w:t>250.02 t</w:t>
            </w:r>
          </w:p>
        </w:tc>
        <w:tc>
          <w:tcPr>
            <w:tcW w:w="972" w:type="pct"/>
            <w:tcBorders>
              <w:top w:val="single" w:sz="4" w:space="0" w:color="auto"/>
              <w:left w:val="single" w:sz="4" w:space="0" w:color="auto"/>
              <w:bottom w:val="single" w:sz="12" w:space="0" w:color="auto"/>
              <w:right w:val="single" w:sz="4" w:space="0" w:color="auto"/>
            </w:tcBorders>
            <w:shd w:val="clear" w:color="auto" w:fill="F2F2F2"/>
          </w:tcPr>
          <w:p w14:paraId="67F4C5C8" w14:textId="77777777" w:rsidR="004D3339" w:rsidRPr="00A02621" w:rsidRDefault="004D3339" w:rsidP="00F0374C">
            <w:pPr>
              <w:spacing w:before="40" w:after="40"/>
              <w:ind w:left="-108" w:right="-113"/>
              <w:jc w:val="center"/>
              <w:rPr>
                <w:sz w:val="20"/>
              </w:rPr>
            </w:pPr>
            <w:r w:rsidRPr="00A02621">
              <w:rPr>
                <w:b/>
              </w:rPr>
              <w:t>250.65 t</w:t>
            </w:r>
          </w:p>
        </w:tc>
        <w:tc>
          <w:tcPr>
            <w:tcW w:w="433" w:type="pct"/>
            <w:tcBorders>
              <w:top w:val="single" w:sz="4" w:space="0" w:color="auto"/>
              <w:left w:val="single" w:sz="4" w:space="0" w:color="auto"/>
              <w:bottom w:val="single" w:sz="12" w:space="0" w:color="auto"/>
              <w:right w:val="single" w:sz="12" w:space="0" w:color="auto"/>
            </w:tcBorders>
            <w:shd w:val="clear" w:color="auto" w:fill="FF0000"/>
          </w:tcPr>
          <w:p w14:paraId="34548836" w14:textId="77777777" w:rsidR="004D3339" w:rsidRPr="00B577DC" w:rsidRDefault="004D3339" w:rsidP="00F0374C">
            <w:pPr>
              <w:spacing w:before="40" w:after="40"/>
              <w:ind w:left="-108" w:right="-108"/>
              <w:jc w:val="center"/>
              <w:rPr>
                <w:b/>
                <w:bCs/>
              </w:rPr>
            </w:pPr>
            <w:r w:rsidRPr="00B577DC">
              <w:rPr>
                <w:b/>
                <w:bCs/>
                <w:sz w:val="40"/>
                <w:szCs w:val="52"/>
              </w:rPr>
              <w:sym w:font="Wingdings" w:char="F04C"/>
            </w:r>
          </w:p>
          <w:p w14:paraId="29FA5171" w14:textId="77777777" w:rsidR="004D3339" w:rsidRPr="00B577DC" w:rsidRDefault="004D3339" w:rsidP="00F0374C">
            <w:pPr>
              <w:spacing w:before="40" w:after="40"/>
              <w:ind w:left="-108" w:right="-108"/>
              <w:jc w:val="center"/>
              <w:rPr>
                <w:b/>
                <w:bCs/>
              </w:rPr>
            </w:pPr>
            <w:r w:rsidRPr="00B577DC">
              <w:rPr>
                <w:b/>
                <w:bCs/>
              </w:rPr>
              <w:t>No</w:t>
            </w:r>
          </w:p>
        </w:tc>
      </w:tr>
    </w:tbl>
    <w:p w14:paraId="0F4CE870" w14:textId="77777777" w:rsidR="004D3339" w:rsidRPr="00BB6834" w:rsidRDefault="004D3339" w:rsidP="004D3339">
      <w:pPr>
        <w:autoSpaceDE w:val="0"/>
        <w:autoSpaceDN w:val="0"/>
        <w:adjustRightInd w:val="0"/>
        <w:rPr>
          <w:rFonts w:cs="Arial"/>
          <w:bCs/>
        </w:rPr>
      </w:pPr>
    </w:p>
    <w:p w14:paraId="2861FCFB" w14:textId="77777777" w:rsidR="00F61C2C" w:rsidRPr="00ED2D62" w:rsidRDefault="00F61C2C" w:rsidP="007055C3"/>
    <w:p w14:paraId="1049CAD0" w14:textId="77777777" w:rsidR="003662C5" w:rsidRPr="002B5035" w:rsidRDefault="003662C5" w:rsidP="000644FA">
      <w:pPr>
        <w:pStyle w:val="Heading2"/>
      </w:pPr>
      <w:bookmarkStart w:id="42" w:name="_Toc156820524"/>
      <w:bookmarkStart w:id="43" w:name="_Toc165295266"/>
      <w:bookmarkStart w:id="44" w:name="_Toc167965764"/>
      <w:r w:rsidRPr="002B5035">
        <w:t>Going Concern</w:t>
      </w:r>
      <w:bookmarkEnd w:id="42"/>
      <w:bookmarkEnd w:id="43"/>
      <w:bookmarkEnd w:id="44"/>
    </w:p>
    <w:p w14:paraId="79F64648" w14:textId="77777777" w:rsidR="003662C5" w:rsidRPr="002B5035" w:rsidRDefault="003662C5" w:rsidP="007055C3"/>
    <w:p w14:paraId="19A1464D" w14:textId="77777777" w:rsidR="00A1482A" w:rsidRDefault="003662C5" w:rsidP="007055C3">
      <w:r w:rsidRPr="002B5035">
        <w:t xml:space="preserve">The Authority’s accounts have been prepared on the basis that the Authority continues to operate as a going concern for the foreseeable future. This is judged to be reasonable </w:t>
      </w:r>
      <w:r>
        <w:t>mainly based on the Medium Term Financial Strategy (MTFS) which was approved in March 202</w:t>
      </w:r>
      <w:r w:rsidR="0034243A">
        <w:t>4</w:t>
      </w:r>
      <w:r>
        <w:t>. This projected a balanced budget position</w:t>
      </w:r>
      <w:r w:rsidR="0034243A">
        <w:t xml:space="preserve"> for 2024/25 with circa £700k of savings (or </w:t>
      </w:r>
      <w:r w:rsidR="008E3C63">
        <w:t>c</w:t>
      </w:r>
      <w:r w:rsidR="0034243A">
        <w:t>£</w:t>
      </w:r>
      <w:r w:rsidR="008E3C63">
        <w:t>175k/pa recurring for 2025/26 onwards)</w:t>
      </w:r>
      <w:r w:rsidR="0034243A">
        <w:t xml:space="preserve"> required over the life of the MTFS to bring the General Fund and the Trading Reserve up to target balance.</w:t>
      </w:r>
      <w:r w:rsidR="008E3C63">
        <w:t xml:space="preserve"> </w:t>
      </w:r>
    </w:p>
    <w:p w14:paraId="78AF50C5" w14:textId="77777777" w:rsidR="00A1482A" w:rsidRDefault="00A1482A" w:rsidP="007055C3"/>
    <w:p w14:paraId="77F32540" w14:textId="6BADBBF8" w:rsidR="003662C5" w:rsidRDefault="008E3C63" w:rsidP="007055C3">
      <w:r>
        <w:t xml:space="preserve">The bulk of the £700k was required to bring the Trading Reserve back up its target of £500k. Since the MTFS was approved, the Authority has had a successful VAT claim which has </w:t>
      </w:r>
      <w:r w:rsidR="00A1482A">
        <w:t>fully replenished the Trading Reserve</w:t>
      </w:r>
      <w:r>
        <w:t>. In addition, the ongoing benefit of the change in VAT treatment of sports and leisure supplies should result in a greater level of retained income, sufficient to cover the residual £200k of savings required over the MTFS period. This means that the MTFS is now effectively balanced. Key controls including regular budget monitoring will continue to keep the MTFS updated to ensure that if budget assumptions are not met, corrective action can be taken in a timely manner.</w:t>
      </w:r>
    </w:p>
    <w:p w14:paraId="14E83F11" w14:textId="77777777" w:rsidR="003662C5" w:rsidRDefault="003662C5" w:rsidP="007055C3">
      <w:pPr>
        <w:rPr>
          <w:b/>
        </w:rPr>
      </w:pPr>
    </w:p>
    <w:p w14:paraId="38D431BA" w14:textId="77777777" w:rsidR="0082644A" w:rsidRPr="006F69E5" w:rsidRDefault="0082644A" w:rsidP="000644FA">
      <w:pPr>
        <w:pStyle w:val="Heading2"/>
      </w:pPr>
      <w:bookmarkStart w:id="45" w:name="_Toc156820525"/>
      <w:bookmarkStart w:id="46" w:name="_Toc165295267"/>
      <w:bookmarkStart w:id="47" w:name="_Toc167965765"/>
      <w:r w:rsidRPr="006F69E5">
        <w:t>Changes to Accounting Policies and Accounting statements</w:t>
      </w:r>
      <w:bookmarkEnd w:id="45"/>
      <w:bookmarkEnd w:id="46"/>
      <w:bookmarkEnd w:id="47"/>
    </w:p>
    <w:p w14:paraId="3F847C4B" w14:textId="77777777" w:rsidR="0082644A" w:rsidRPr="00512BAB" w:rsidRDefault="0082644A" w:rsidP="007055C3"/>
    <w:p w14:paraId="58A12D46" w14:textId="5F45DBEF" w:rsidR="0082644A" w:rsidRPr="00512BAB" w:rsidRDefault="0082644A" w:rsidP="007055C3">
      <w:pPr>
        <w:rPr>
          <w:rFonts w:cs="Arial"/>
        </w:rPr>
      </w:pPr>
      <w:r w:rsidRPr="00512BAB">
        <w:t>The 202</w:t>
      </w:r>
      <w:r w:rsidR="008E3C63">
        <w:t>3</w:t>
      </w:r>
      <w:r w:rsidRPr="00512BAB">
        <w:t>/</w:t>
      </w:r>
      <w:r w:rsidR="008E3C63">
        <w:t>24</w:t>
      </w:r>
      <w:r w:rsidRPr="00512BAB">
        <w:t xml:space="preserve"> Code did not introduce any significant changes, which require a change to our accounting policies. The statements are structured to comply with the disclosure requirements of the Code and in an order judged to provide the most logical sequence, with reference to the significance of the main statements and supporting notes.</w:t>
      </w:r>
    </w:p>
    <w:p w14:paraId="5C133FEF" w14:textId="77777777" w:rsidR="0082644A" w:rsidRDefault="0082644A" w:rsidP="007055C3">
      <w:pPr>
        <w:rPr>
          <w:b/>
        </w:rPr>
      </w:pPr>
    </w:p>
    <w:p w14:paraId="39C617DE" w14:textId="77777777" w:rsidR="0082644A" w:rsidRDefault="0082644A" w:rsidP="007055C3">
      <w:pPr>
        <w:rPr>
          <w:b/>
        </w:rPr>
      </w:pPr>
    </w:p>
    <w:p w14:paraId="2CC83190" w14:textId="6988A245" w:rsidR="003662C5" w:rsidRPr="007D0045" w:rsidRDefault="003662C5" w:rsidP="000644FA">
      <w:pPr>
        <w:pStyle w:val="Heading2"/>
      </w:pPr>
      <w:bookmarkStart w:id="48" w:name="_Toc156820526"/>
      <w:bookmarkStart w:id="49" w:name="_Toc165295268"/>
      <w:bookmarkStart w:id="50" w:name="_Toc167965766"/>
      <w:r w:rsidRPr="007D0045">
        <w:lastRenderedPageBreak/>
        <w:t>Governance Arrangements</w:t>
      </w:r>
      <w:bookmarkEnd w:id="48"/>
      <w:bookmarkEnd w:id="49"/>
      <w:bookmarkEnd w:id="50"/>
    </w:p>
    <w:p w14:paraId="1722389B" w14:textId="77777777" w:rsidR="003662C5" w:rsidRPr="007D0045" w:rsidRDefault="003662C5" w:rsidP="007055C3"/>
    <w:p w14:paraId="696A794A" w14:textId="3BD225D5" w:rsidR="003662C5" w:rsidRDefault="003662C5" w:rsidP="007055C3">
      <w:r w:rsidRPr="007D0045">
        <w:t xml:space="preserve">There were no significant changes to the underlying governance arrangements in year. </w:t>
      </w:r>
      <w:r>
        <w:t>The Annual Governance Statement for 202</w:t>
      </w:r>
      <w:r w:rsidR="008E3C63">
        <w:t>3</w:t>
      </w:r>
      <w:r>
        <w:t>/2</w:t>
      </w:r>
      <w:r w:rsidR="008E3C63">
        <w:t>4</w:t>
      </w:r>
      <w:r>
        <w:t>, including the action plan of potential improvements, is included within this document.</w:t>
      </w:r>
    </w:p>
    <w:p w14:paraId="2A6B1939" w14:textId="77777777" w:rsidR="003662C5" w:rsidRDefault="003662C5" w:rsidP="007055C3">
      <w:pPr>
        <w:rPr>
          <w:rFonts w:cs="Arial"/>
          <w:b/>
        </w:rPr>
      </w:pPr>
    </w:p>
    <w:p w14:paraId="58A48B7B" w14:textId="77777777" w:rsidR="008E3C63" w:rsidRDefault="008E3C63" w:rsidP="007055C3">
      <w:pPr>
        <w:rPr>
          <w:rFonts w:cs="Arial"/>
          <w:b/>
        </w:rPr>
      </w:pPr>
    </w:p>
    <w:p w14:paraId="77A52355" w14:textId="34BBF9CE" w:rsidR="00A87029" w:rsidRPr="00A87029" w:rsidRDefault="00A87029" w:rsidP="000644FA">
      <w:pPr>
        <w:pStyle w:val="Heading2"/>
        <w:rPr>
          <w:sz w:val="24"/>
          <w:szCs w:val="24"/>
        </w:rPr>
      </w:pPr>
      <w:bookmarkStart w:id="51" w:name="_Toc156820527"/>
      <w:bookmarkStart w:id="52" w:name="_Toc165295269"/>
      <w:bookmarkStart w:id="53" w:name="_Toc167965767"/>
      <w:r w:rsidRPr="00A87029">
        <w:t>Cash flows and Other Issues</w:t>
      </w:r>
      <w:bookmarkEnd w:id="51"/>
      <w:bookmarkEnd w:id="52"/>
      <w:bookmarkEnd w:id="53"/>
    </w:p>
    <w:p w14:paraId="154970A4" w14:textId="77777777" w:rsidR="00A87029" w:rsidRPr="00A87029" w:rsidRDefault="00A87029" w:rsidP="007055C3">
      <w:pPr>
        <w:rPr>
          <w:rFonts w:cs="Arial"/>
        </w:rPr>
      </w:pPr>
    </w:p>
    <w:p w14:paraId="3D72F841" w14:textId="1EE47CED" w:rsidR="00A87029" w:rsidRPr="00A87029" w:rsidRDefault="00A87029" w:rsidP="007055C3">
      <w:pPr>
        <w:rPr>
          <w:rFonts w:cs="Arial"/>
        </w:rPr>
      </w:pPr>
      <w:r w:rsidRPr="00A87029">
        <w:rPr>
          <w:rFonts w:cs="Arial"/>
        </w:rPr>
        <w:t>The Authority held only non-material provisions at 31 March 202</w:t>
      </w:r>
      <w:r w:rsidR="008E3C63">
        <w:rPr>
          <w:rFonts w:cs="Arial"/>
        </w:rPr>
        <w:t>4</w:t>
      </w:r>
      <w:r w:rsidRPr="00A87029">
        <w:rPr>
          <w:rFonts w:cs="Arial"/>
        </w:rPr>
        <w:t>. During 202</w:t>
      </w:r>
      <w:r w:rsidR="008E3C63">
        <w:rPr>
          <w:rFonts w:cs="Arial"/>
        </w:rPr>
        <w:t>3</w:t>
      </w:r>
      <w:r w:rsidRPr="00A87029">
        <w:rPr>
          <w:rFonts w:cs="Arial"/>
        </w:rPr>
        <w:t>/2</w:t>
      </w:r>
      <w:r w:rsidR="008E3C63">
        <w:rPr>
          <w:rFonts w:cs="Arial"/>
        </w:rPr>
        <w:t>4</w:t>
      </w:r>
      <w:r w:rsidRPr="00A87029">
        <w:rPr>
          <w:rFonts w:cs="Arial"/>
        </w:rPr>
        <w:t xml:space="preserve"> there were no </w:t>
      </w:r>
      <w:r>
        <w:rPr>
          <w:rFonts w:cs="Arial"/>
        </w:rPr>
        <w:t xml:space="preserve">significant </w:t>
      </w:r>
      <w:r w:rsidRPr="00A87029">
        <w:rPr>
          <w:rFonts w:cs="Arial"/>
        </w:rPr>
        <w:t xml:space="preserve">debt write offs. </w:t>
      </w:r>
    </w:p>
    <w:p w14:paraId="7EAAA3AF" w14:textId="77777777" w:rsidR="00A87029" w:rsidRPr="004D5CA8" w:rsidRDefault="00A87029" w:rsidP="007055C3">
      <w:pPr>
        <w:rPr>
          <w:rFonts w:cs="Arial"/>
          <w:highlight w:val="yellow"/>
        </w:rPr>
      </w:pPr>
    </w:p>
    <w:p w14:paraId="73567B1D" w14:textId="636710A4" w:rsidR="00A87029" w:rsidRPr="00A87029" w:rsidRDefault="00A87029" w:rsidP="007055C3">
      <w:r w:rsidRPr="00A87029">
        <w:rPr>
          <w:rFonts w:cs="Arial"/>
        </w:rPr>
        <w:t xml:space="preserve">Cash flows during the year were managed within existing resources and there was no need for temporary borrowing. </w:t>
      </w:r>
      <w:r w:rsidRPr="00A87029">
        <w:t>Both revenue and capital funds were monitored and re-projected on a frequent basis. Cash flows were well managed during 202</w:t>
      </w:r>
      <w:r w:rsidR="008E3C63">
        <w:t>3</w:t>
      </w:r>
      <w:r w:rsidRPr="00A87029">
        <w:t>/2</w:t>
      </w:r>
      <w:r w:rsidR="008E3C63">
        <w:t>4</w:t>
      </w:r>
      <w:r w:rsidRPr="00A87029">
        <w:t xml:space="preserve"> and there were no significant issues to report. No cash flow difficulties are forecast within our existing planning horizons</w:t>
      </w:r>
      <w:r w:rsidR="008E3C63">
        <w:t xml:space="preserve">, with a good level of cash backed reserves held in highly liquid, high quality investment counterparties along with a </w:t>
      </w:r>
      <w:r w:rsidR="0012019C">
        <w:t xml:space="preserve">broadly </w:t>
      </w:r>
      <w:r w:rsidR="008E3C63">
        <w:t>balanced MTFS</w:t>
      </w:r>
      <w:r w:rsidR="0012019C">
        <w:t xml:space="preserve"> position</w:t>
      </w:r>
      <w:r w:rsidR="008E3C63">
        <w:t>.</w:t>
      </w:r>
    </w:p>
    <w:p w14:paraId="57BE0231" w14:textId="77777777" w:rsidR="00A87029" w:rsidRPr="004D5CA8" w:rsidRDefault="00A87029" w:rsidP="007055C3">
      <w:pPr>
        <w:rPr>
          <w:rFonts w:cs="Arial"/>
          <w:highlight w:val="yellow"/>
        </w:rPr>
      </w:pPr>
    </w:p>
    <w:p w14:paraId="2F66F8FA" w14:textId="77777777" w:rsidR="00A87029" w:rsidRPr="00A87029" w:rsidRDefault="00A87029" w:rsidP="007055C3">
      <w:pPr>
        <w:rPr>
          <w:rFonts w:cs="Arial"/>
        </w:rPr>
      </w:pPr>
      <w:r w:rsidRPr="00A87029">
        <w:rPr>
          <w:rFonts w:cs="Arial"/>
        </w:rPr>
        <w:t xml:space="preserve">The Authority considers its staff and its positive working relationships with the other members of the Lake District National Park Partnership to be key strengths and drivers for its success and performance. Reserve balances are appropriate and not excessive. There were no material events after the reporting date.  </w:t>
      </w:r>
    </w:p>
    <w:p w14:paraId="0222445C" w14:textId="77777777" w:rsidR="00A87029" w:rsidRPr="004D5CA8" w:rsidRDefault="00A87029" w:rsidP="007055C3">
      <w:pPr>
        <w:rPr>
          <w:highlight w:val="yellow"/>
        </w:rPr>
      </w:pPr>
    </w:p>
    <w:p w14:paraId="5B4E5A77" w14:textId="77777777" w:rsidR="00A01E56" w:rsidRPr="00512BAB" w:rsidRDefault="00A01E56" w:rsidP="000644FA">
      <w:pPr>
        <w:pStyle w:val="Heading2"/>
      </w:pPr>
      <w:bookmarkStart w:id="54" w:name="_Toc156820528"/>
      <w:bookmarkStart w:id="55" w:name="_Toc165295270"/>
      <w:bookmarkStart w:id="56" w:name="_Toc167965768"/>
      <w:r w:rsidRPr="00512BAB">
        <w:t>Materiality and Roundings</w:t>
      </w:r>
      <w:bookmarkEnd w:id="54"/>
      <w:bookmarkEnd w:id="55"/>
      <w:bookmarkEnd w:id="56"/>
    </w:p>
    <w:p w14:paraId="67F17C44" w14:textId="77777777" w:rsidR="00A01E56" w:rsidRPr="00512BAB" w:rsidRDefault="00A01E56" w:rsidP="007055C3">
      <w:pPr>
        <w:rPr>
          <w:iCs/>
          <w:szCs w:val="20"/>
        </w:rPr>
      </w:pPr>
    </w:p>
    <w:p w14:paraId="36393244" w14:textId="49CB92F3" w:rsidR="00A01E56" w:rsidRPr="00512BAB" w:rsidRDefault="00A01E56" w:rsidP="007055C3">
      <w:pPr>
        <w:rPr>
          <w:iCs/>
          <w:szCs w:val="20"/>
        </w:rPr>
      </w:pPr>
      <w:r w:rsidRPr="00512BAB">
        <w:rPr>
          <w:iCs/>
          <w:szCs w:val="20"/>
        </w:rPr>
        <w:t>The financial statements are prepared and presented based on material grounds taking into account a materiality threshold of £</w:t>
      </w:r>
      <w:r w:rsidR="007253C5" w:rsidRPr="00512BAB">
        <w:rPr>
          <w:iCs/>
          <w:szCs w:val="20"/>
        </w:rPr>
        <w:t>3</w:t>
      </w:r>
      <w:r w:rsidR="0012019C">
        <w:rPr>
          <w:iCs/>
          <w:szCs w:val="20"/>
        </w:rPr>
        <w:t>67</w:t>
      </w:r>
      <w:r w:rsidR="007253C5" w:rsidRPr="00512BAB">
        <w:rPr>
          <w:iCs/>
          <w:szCs w:val="20"/>
        </w:rPr>
        <w:t>k</w:t>
      </w:r>
      <w:r w:rsidR="00512BAB" w:rsidRPr="00512BAB">
        <w:rPr>
          <w:iCs/>
          <w:szCs w:val="20"/>
        </w:rPr>
        <w:t>, which is consistent with external audit’s planning materiality</w:t>
      </w:r>
      <w:r w:rsidRPr="00512BAB">
        <w:rPr>
          <w:iCs/>
          <w:szCs w:val="20"/>
        </w:rPr>
        <w:t>.</w:t>
      </w:r>
      <w:r w:rsidR="00103388">
        <w:rPr>
          <w:iCs/>
          <w:szCs w:val="20"/>
        </w:rPr>
        <w:t xml:space="preserve"> </w:t>
      </w:r>
    </w:p>
    <w:p w14:paraId="4B4A3451" w14:textId="77777777" w:rsidR="00A01E56" w:rsidRPr="00512BAB" w:rsidRDefault="00A01E56" w:rsidP="007055C3">
      <w:pPr>
        <w:rPr>
          <w:iCs/>
          <w:szCs w:val="20"/>
        </w:rPr>
      </w:pPr>
    </w:p>
    <w:p w14:paraId="78C5EA8E" w14:textId="77777777" w:rsidR="00A01E56" w:rsidRPr="00512BAB" w:rsidRDefault="00A01E56" w:rsidP="007055C3">
      <w:pPr>
        <w:rPr>
          <w:iCs/>
          <w:szCs w:val="20"/>
        </w:rPr>
      </w:pPr>
      <w:r w:rsidRPr="00512BAB">
        <w:rPr>
          <w:iCs/>
          <w:szCs w:val="20"/>
        </w:rPr>
        <w:t>The Authority uses rounding to the nearest thousand pounds in the financial statements. Our accounting policies allow for small rounding differences in the accounts. These do not detract from the reader’s overall understanding of the Authority’s financial performance.</w:t>
      </w:r>
    </w:p>
    <w:p w14:paraId="4CAE71BE" w14:textId="77777777" w:rsidR="00A01E56" w:rsidRPr="004D5CA8" w:rsidRDefault="00A01E56" w:rsidP="007055C3">
      <w:pPr>
        <w:rPr>
          <w:highlight w:val="yellow"/>
        </w:rPr>
      </w:pPr>
    </w:p>
    <w:p w14:paraId="59D389CC" w14:textId="4988232A" w:rsidR="00BA639D" w:rsidRDefault="00BA639D" w:rsidP="007055C3">
      <w:pPr>
        <w:rPr>
          <w:rFonts w:ascii="Brush Script MT" w:hAnsi="Brush Script MT"/>
          <w:b/>
          <w:bCs/>
          <w:i/>
          <w:iCs/>
          <w:noProof/>
          <w:sz w:val="48"/>
          <w:szCs w:val="48"/>
        </w:rPr>
      </w:pPr>
    </w:p>
    <w:p w14:paraId="25A4A114" w14:textId="5251BFF8" w:rsidR="0009290C" w:rsidRPr="0009290C" w:rsidRDefault="0009290C" w:rsidP="007055C3">
      <w:pPr>
        <w:rPr>
          <w:rFonts w:ascii="Times New Roman" w:hAnsi="Times New Roman"/>
          <w:sz w:val="24"/>
          <w:szCs w:val="24"/>
          <w:highlight w:val="yellow"/>
        </w:rPr>
      </w:pPr>
    </w:p>
    <w:p w14:paraId="1092D06C" w14:textId="77777777" w:rsidR="00BA639D" w:rsidRPr="004D5CA8" w:rsidRDefault="00BA639D" w:rsidP="007055C3">
      <w:pPr>
        <w:rPr>
          <w:highlight w:val="yellow"/>
        </w:rPr>
      </w:pPr>
    </w:p>
    <w:p w14:paraId="485A43D8" w14:textId="7C450402" w:rsidR="002A09D6" w:rsidRPr="00103388" w:rsidRDefault="000A5E97" w:rsidP="007055C3">
      <w:r w:rsidRPr="00103388">
        <w:t>Jane Fretwell</w:t>
      </w:r>
    </w:p>
    <w:p w14:paraId="5B0A8E88" w14:textId="3CB7FCDB" w:rsidR="00352B82" w:rsidRPr="00103388" w:rsidRDefault="000A5E97" w:rsidP="007055C3">
      <w:r w:rsidRPr="00103388">
        <w:t>Head of Resources</w:t>
      </w:r>
      <w:r w:rsidR="00352B82" w:rsidRPr="00103388">
        <w:t xml:space="preserve"> (S151</w:t>
      </w:r>
      <w:r w:rsidR="002D1266">
        <w:t xml:space="preserve"> Officer</w:t>
      </w:r>
      <w:r w:rsidR="00352B82" w:rsidRPr="00103388">
        <w:t>)</w:t>
      </w:r>
    </w:p>
    <w:p w14:paraId="422C8EB3" w14:textId="29F04317" w:rsidR="00352B82" w:rsidRPr="00103388" w:rsidRDefault="002D7495" w:rsidP="007055C3">
      <w:pPr>
        <w:rPr>
          <w:b/>
          <w:sz w:val="28"/>
          <w:szCs w:val="28"/>
        </w:rPr>
      </w:pPr>
      <w:r>
        <w:t>Date</w:t>
      </w:r>
      <w:r w:rsidR="00A1113D">
        <w:t xml:space="preserve"> </w:t>
      </w:r>
      <w:r w:rsidR="00CC287D">
        <w:t>3</w:t>
      </w:r>
      <w:r w:rsidR="00757709">
        <w:t>1</w:t>
      </w:r>
      <w:r w:rsidR="00CC287D">
        <w:t xml:space="preserve"> May 2024</w:t>
      </w:r>
    </w:p>
    <w:p w14:paraId="4228F256" w14:textId="77777777" w:rsidR="005221AC" w:rsidRPr="004D5CA8" w:rsidRDefault="005221AC" w:rsidP="00DD4157">
      <w:pPr>
        <w:tabs>
          <w:tab w:val="left" w:pos="0"/>
        </w:tabs>
        <w:jc w:val="center"/>
        <w:rPr>
          <w:b/>
          <w:sz w:val="28"/>
          <w:szCs w:val="28"/>
          <w:highlight w:val="yellow"/>
        </w:rPr>
      </w:pPr>
    </w:p>
    <w:p w14:paraId="268D4DCE" w14:textId="77777777" w:rsidR="00103388" w:rsidRDefault="00103388" w:rsidP="00D34473">
      <w:pPr>
        <w:pStyle w:val="HEADING"/>
        <w:jc w:val="center"/>
        <w:rPr>
          <w:sz w:val="28"/>
          <w:szCs w:val="28"/>
        </w:rPr>
        <w:sectPr w:rsidR="00103388" w:rsidSect="00397A5D">
          <w:headerReference w:type="even" r:id="rId12"/>
          <w:headerReference w:type="default" r:id="rId13"/>
          <w:footerReference w:type="default" r:id="rId14"/>
          <w:headerReference w:type="first" r:id="rId15"/>
          <w:pgSz w:w="11906" w:h="16838" w:code="9"/>
          <w:pgMar w:top="1135" w:right="991" w:bottom="993" w:left="1276" w:header="709" w:footer="403" w:gutter="0"/>
          <w:cols w:space="708"/>
          <w:docGrid w:linePitch="360"/>
        </w:sectPr>
      </w:pPr>
    </w:p>
    <w:p w14:paraId="485A43DF" w14:textId="37272987" w:rsidR="008A14A3" w:rsidRPr="00BA639D" w:rsidRDefault="008A14A3" w:rsidP="00C01DC6">
      <w:pPr>
        <w:pStyle w:val="Heading1"/>
      </w:pPr>
      <w:bookmarkStart w:id="57" w:name="_Toc167965769"/>
      <w:r w:rsidRPr="00BA639D">
        <w:lastRenderedPageBreak/>
        <w:t>S</w:t>
      </w:r>
      <w:bookmarkEnd w:id="1"/>
      <w:bookmarkEnd w:id="2"/>
      <w:bookmarkEnd w:id="3"/>
      <w:bookmarkEnd w:id="4"/>
      <w:r w:rsidR="009C5A0E">
        <w:t>tatement of Responsibilities</w:t>
      </w:r>
      <w:bookmarkEnd w:id="57"/>
    </w:p>
    <w:p w14:paraId="485A43E0" w14:textId="77777777" w:rsidR="006206A8" w:rsidRPr="00BA639D" w:rsidRDefault="006206A8" w:rsidP="000644FA"/>
    <w:p w14:paraId="485A43E1" w14:textId="77777777" w:rsidR="008A14A3" w:rsidRPr="000644FA" w:rsidRDefault="008A14A3" w:rsidP="000644FA">
      <w:pPr>
        <w:rPr>
          <w:b/>
          <w:bCs/>
        </w:rPr>
      </w:pPr>
      <w:bookmarkStart w:id="58" w:name="_Toc156816126"/>
      <w:bookmarkStart w:id="59" w:name="_Toc156818262"/>
      <w:r w:rsidRPr="000644FA">
        <w:rPr>
          <w:b/>
          <w:bCs/>
        </w:rPr>
        <w:t>The Authority’s Responsibilities</w:t>
      </w:r>
      <w:bookmarkEnd w:id="58"/>
      <w:bookmarkEnd w:id="59"/>
    </w:p>
    <w:p w14:paraId="485A43E2" w14:textId="77777777" w:rsidR="008A14A3" w:rsidRPr="00BA639D" w:rsidRDefault="008A14A3" w:rsidP="000644FA"/>
    <w:p w14:paraId="485A43E3" w14:textId="77777777" w:rsidR="008A14A3" w:rsidRPr="00BA639D" w:rsidRDefault="008A14A3" w:rsidP="000644FA">
      <w:pPr>
        <w:rPr>
          <w:b/>
          <w:bCs/>
        </w:rPr>
      </w:pPr>
      <w:bookmarkStart w:id="60" w:name="_Toc156816127"/>
      <w:bookmarkStart w:id="61" w:name="_Toc156818263"/>
      <w:r w:rsidRPr="00BA639D">
        <w:t>The Authority is required:</w:t>
      </w:r>
      <w:bookmarkEnd w:id="60"/>
      <w:bookmarkEnd w:id="61"/>
    </w:p>
    <w:p w14:paraId="485A43E4" w14:textId="77777777" w:rsidR="008A14A3" w:rsidRPr="000644FA" w:rsidRDefault="008A14A3" w:rsidP="000644FA"/>
    <w:p w14:paraId="485A43E5" w14:textId="32AE3471" w:rsidR="008A14A3" w:rsidRPr="000644FA" w:rsidRDefault="008A14A3" w:rsidP="000644FA">
      <w:pPr>
        <w:pStyle w:val="ListParagraph"/>
        <w:numPr>
          <w:ilvl w:val="0"/>
          <w:numId w:val="48"/>
        </w:numPr>
        <w:rPr>
          <w:b/>
          <w:bCs/>
          <w:u w:val="none"/>
        </w:rPr>
      </w:pPr>
      <w:bookmarkStart w:id="62" w:name="_Toc156816128"/>
      <w:bookmarkStart w:id="63" w:name="_Toc156818264"/>
      <w:r w:rsidRPr="000644FA">
        <w:rPr>
          <w:u w:val="none"/>
        </w:rPr>
        <w:t>To make arrangements for the proper administration of its financial affairs and to secure that one of its officers has the responsibility for the administration of those affairs.</w:t>
      </w:r>
      <w:r w:rsidR="00D95903" w:rsidRPr="000644FA">
        <w:rPr>
          <w:u w:val="none"/>
        </w:rPr>
        <w:t xml:space="preserve"> </w:t>
      </w:r>
      <w:r w:rsidRPr="000644FA">
        <w:rPr>
          <w:u w:val="none"/>
        </w:rPr>
        <w:t xml:space="preserve">In this Authority that officer is the </w:t>
      </w:r>
      <w:r w:rsidR="00736CB0" w:rsidRPr="000644FA">
        <w:rPr>
          <w:u w:val="none"/>
        </w:rPr>
        <w:t>Head of Resources</w:t>
      </w:r>
      <w:r w:rsidR="002D1266" w:rsidRPr="000644FA">
        <w:rPr>
          <w:u w:val="none"/>
        </w:rPr>
        <w:t xml:space="preserve"> (S151 Officer)</w:t>
      </w:r>
      <w:r w:rsidR="00DF363E" w:rsidRPr="000644FA">
        <w:rPr>
          <w:u w:val="none"/>
        </w:rPr>
        <w:t>.</w:t>
      </w:r>
      <w:bookmarkEnd w:id="62"/>
      <w:bookmarkEnd w:id="63"/>
    </w:p>
    <w:p w14:paraId="485A43E6" w14:textId="77777777" w:rsidR="008A14A3" w:rsidRPr="00BA639D" w:rsidRDefault="008A14A3" w:rsidP="00DE7EB9">
      <w:pPr>
        <w:numPr>
          <w:ilvl w:val="0"/>
          <w:numId w:val="1"/>
        </w:numPr>
        <w:tabs>
          <w:tab w:val="clear" w:pos="360"/>
        </w:tabs>
      </w:pPr>
      <w:r w:rsidRPr="00BA639D">
        <w:t>To manage its affairs to secure economic, efficient and effective use of resources and safeguard assets.</w:t>
      </w:r>
    </w:p>
    <w:p w14:paraId="485A43E7" w14:textId="77777777" w:rsidR="008A14A3" w:rsidRDefault="008A14A3" w:rsidP="00DE7EB9">
      <w:pPr>
        <w:numPr>
          <w:ilvl w:val="0"/>
          <w:numId w:val="1"/>
        </w:numPr>
        <w:tabs>
          <w:tab w:val="clear" w:pos="360"/>
        </w:tabs>
      </w:pPr>
      <w:r w:rsidRPr="00BA639D">
        <w:t xml:space="preserve">To </w:t>
      </w:r>
      <w:r w:rsidR="0002536D" w:rsidRPr="00BA639D">
        <w:t>a</w:t>
      </w:r>
      <w:r w:rsidRPr="00BA639D">
        <w:t xml:space="preserve">pprove the </w:t>
      </w:r>
      <w:r w:rsidR="009521B4" w:rsidRPr="00BA639D">
        <w:t>S</w:t>
      </w:r>
      <w:r w:rsidRPr="00BA639D">
        <w:t xml:space="preserve">tatement of </w:t>
      </w:r>
      <w:r w:rsidR="009521B4" w:rsidRPr="00BA639D">
        <w:t>A</w:t>
      </w:r>
      <w:r w:rsidRPr="00BA639D">
        <w:t>ccounts</w:t>
      </w:r>
      <w:r w:rsidR="0002536D" w:rsidRPr="00BA639D">
        <w:tab/>
      </w:r>
      <w:r w:rsidRPr="00BA639D">
        <w:t>.</w:t>
      </w:r>
    </w:p>
    <w:p w14:paraId="398F8083" w14:textId="77777777" w:rsidR="00D3524A" w:rsidRDefault="00D3524A" w:rsidP="00D3524A"/>
    <w:p w14:paraId="34FB5264" w14:textId="77777777" w:rsidR="00D3524A" w:rsidRDefault="00D3524A" w:rsidP="00D3524A"/>
    <w:p w14:paraId="6858A8B9" w14:textId="2C9EC2BD" w:rsidR="00D3524A" w:rsidRDefault="00D3524A" w:rsidP="00D3524A">
      <w:r>
        <w:t>The Authority approves the Statement of Accounts for the period 1 April 202</w:t>
      </w:r>
      <w:r w:rsidR="000644FA">
        <w:t>3</w:t>
      </w:r>
      <w:r>
        <w:t xml:space="preserve"> to 31 March 202</w:t>
      </w:r>
      <w:r w:rsidR="000644FA">
        <w:t>4</w:t>
      </w:r>
    </w:p>
    <w:p w14:paraId="051C21F7" w14:textId="77777777" w:rsidR="00D3524A" w:rsidRDefault="00D3524A" w:rsidP="00D3524A"/>
    <w:p w14:paraId="0B6641F7" w14:textId="77777777" w:rsidR="0009290C" w:rsidRDefault="0009290C" w:rsidP="00D3524A">
      <w:pPr>
        <w:rPr>
          <w:noProof/>
        </w:rPr>
      </w:pPr>
    </w:p>
    <w:p w14:paraId="3CF3B18B" w14:textId="219EDBCF" w:rsidR="00D3524A" w:rsidRPr="0009290C" w:rsidRDefault="00D3524A" w:rsidP="00D3524A">
      <w:pPr>
        <w:rPr>
          <w:rFonts w:ascii="Times New Roman" w:hAnsi="Times New Roman"/>
          <w:noProof/>
          <w:sz w:val="24"/>
          <w:szCs w:val="24"/>
        </w:rPr>
      </w:pPr>
    </w:p>
    <w:p w14:paraId="57437315" w14:textId="22B3B5F5" w:rsidR="0009290C" w:rsidRPr="00B77C6D" w:rsidRDefault="00B77C6D" w:rsidP="00B77C6D">
      <w:pPr>
        <w:jc w:val="center"/>
        <w:rPr>
          <w:b/>
          <w:bCs/>
          <w:sz w:val="28"/>
          <w:szCs w:val="28"/>
        </w:rPr>
      </w:pPr>
      <w:r w:rsidRPr="00B77C6D">
        <w:rPr>
          <w:b/>
          <w:bCs/>
          <w:sz w:val="28"/>
          <w:szCs w:val="28"/>
          <w:highlight w:val="yellow"/>
        </w:rPr>
        <w:t>TO BE SIGNED ON COMPLETION OF AUDIT</w:t>
      </w:r>
    </w:p>
    <w:p w14:paraId="4B71B54D" w14:textId="77777777" w:rsidR="00D3524A" w:rsidRDefault="00D3524A" w:rsidP="00D3524A"/>
    <w:p w14:paraId="4AC79B10" w14:textId="674711AE" w:rsidR="00D3524A" w:rsidRDefault="00D3524A" w:rsidP="00D3524A">
      <w:r>
        <w:t>Name…</w:t>
      </w:r>
    </w:p>
    <w:p w14:paraId="1499A888" w14:textId="77777777" w:rsidR="00D3524A" w:rsidRDefault="00D3524A" w:rsidP="00D3524A"/>
    <w:p w14:paraId="565ECA2F" w14:textId="77777777" w:rsidR="00D3524A" w:rsidRDefault="00D3524A" w:rsidP="00D3524A"/>
    <w:p w14:paraId="73C33581" w14:textId="2DCA59A0" w:rsidR="00D3524A" w:rsidRDefault="00D3524A" w:rsidP="00D3524A">
      <w:r>
        <w:t>Date…</w:t>
      </w:r>
    </w:p>
    <w:p w14:paraId="6D11A440" w14:textId="77777777" w:rsidR="00D3524A" w:rsidRDefault="00D3524A" w:rsidP="00D3524A"/>
    <w:p w14:paraId="0D8EB191" w14:textId="7EF21FAA" w:rsidR="00D3524A" w:rsidRPr="00D3524A" w:rsidRDefault="00D3524A" w:rsidP="00D3524A">
      <w:pPr>
        <w:rPr>
          <w:b/>
          <w:bCs/>
        </w:rPr>
      </w:pPr>
      <w:r w:rsidRPr="00D3524A">
        <w:rPr>
          <w:b/>
          <w:bCs/>
        </w:rPr>
        <w:t>Chair of Governance Committee</w:t>
      </w:r>
    </w:p>
    <w:p w14:paraId="485A43E8" w14:textId="77777777" w:rsidR="008A14A3" w:rsidRDefault="008A14A3" w:rsidP="006D2EED">
      <w:pPr>
        <w:rPr>
          <w:highlight w:val="yellow"/>
        </w:rPr>
      </w:pPr>
    </w:p>
    <w:p w14:paraId="594FE013" w14:textId="77777777" w:rsidR="00D3524A" w:rsidRDefault="00D3524A" w:rsidP="006D2EED">
      <w:pPr>
        <w:rPr>
          <w:highlight w:val="yellow"/>
        </w:rPr>
      </w:pPr>
    </w:p>
    <w:p w14:paraId="485A43E9" w14:textId="61A2546A" w:rsidR="008A14A3" w:rsidRPr="004D5CA8" w:rsidRDefault="008A14A3" w:rsidP="00D34473">
      <w:pPr>
        <w:jc w:val="center"/>
        <w:rPr>
          <w:highlight w:val="yellow"/>
        </w:rPr>
      </w:pPr>
    </w:p>
    <w:p w14:paraId="485A43EA" w14:textId="09F928CB" w:rsidR="008A14A3" w:rsidRPr="004D5CA8" w:rsidRDefault="008A14A3" w:rsidP="00D34473">
      <w:pPr>
        <w:jc w:val="center"/>
        <w:rPr>
          <w:highlight w:val="yellow"/>
        </w:rPr>
      </w:pPr>
    </w:p>
    <w:p w14:paraId="485A43EB" w14:textId="3857E4C5" w:rsidR="008A14A3" w:rsidRPr="004D5CA8" w:rsidRDefault="008A14A3" w:rsidP="004562A9">
      <w:pPr>
        <w:rPr>
          <w:highlight w:val="yellow"/>
        </w:rPr>
      </w:pPr>
    </w:p>
    <w:p w14:paraId="485A43EC" w14:textId="77777777" w:rsidR="008A14A3" w:rsidRDefault="008A14A3" w:rsidP="00D34473">
      <w:pPr>
        <w:jc w:val="center"/>
        <w:rPr>
          <w:highlight w:val="yellow"/>
        </w:rPr>
      </w:pPr>
    </w:p>
    <w:p w14:paraId="21532E3C" w14:textId="77777777" w:rsidR="00D3524A" w:rsidRPr="004D5CA8" w:rsidRDefault="00D3524A" w:rsidP="00D34473">
      <w:pPr>
        <w:jc w:val="center"/>
        <w:rPr>
          <w:highlight w:val="yellow"/>
        </w:rPr>
      </w:pPr>
    </w:p>
    <w:p w14:paraId="485A43ED" w14:textId="77777777" w:rsidR="008A14A3" w:rsidRPr="004D5CA8" w:rsidRDefault="008A14A3" w:rsidP="00D34473">
      <w:pPr>
        <w:jc w:val="center"/>
        <w:rPr>
          <w:highlight w:val="yellow"/>
        </w:rPr>
      </w:pPr>
    </w:p>
    <w:p w14:paraId="485A43EE" w14:textId="77777777" w:rsidR="008A14A3" w:rsidRPr="004D5CA8" w:rsidRDefault="008A14A3" w:rsidP="00D34473">
      <w:pPr>
        <w:jc w:val="center"/>
        <w:rPr>
          <w:highlight w:val="yellow"/>
        </w:rPr>
      </w:pPr>
    </w:p>
    <w:p w14:paraId="485A43EF" w14:textId="77777777" w:rsidR="008A14A3" w:rsidRPr="004D5CA8" w:rsidRDefault="008A14A3" w:rsidP="00D34473">
      <w:pPr>
        <w:jc w:val="center"/>
        <w:rPr>
          <w:highlight w:val="yellow"/>
        </w:rPr>
      </w:pPr>
    </w:p>
    <w:p w14:paraId="485A43F0" w14:textId="77777777" w:rsidR="008A14A3" w:rsidRPr="004D5CA8" w:rsidRDefault="008A14A3" w:rsidP="00D34473">
      <w:pPr>
        <w:jc w:val="center"/>
        <w:rPr>
          <w:highlight w:val="yellow"/>
        </w:rPr>
      </w:pPr>
    </w:p>
    <w:p w14:paraId="485A43F1" w14:textId="77777777" w:rsidR="008A14A3" w:rsidRPr="004D5CA8" w:rsidRDefault="008A14A3" w:rsidP="00D34473">
      <w:pPr>
        <w:jc w:val="center"/>
        <w:rPr>
          <w:highlight w:val="yellow"/>
        </w:rPr>
      </w:pPr>
    </w:p>
    <w:p w14:paraId="485A43F2" w14:textId="77777777" w:rsidR="008A14A3" w:rsidRPr="004D5CA8" w:rsidRDefault="008A14A3" w:rsidP="00D34473">
      <w:pPr>
        <w:jc w:val="center"/>
        <w:rPr>
          <w:highlight w:val="yellow"/>
        </w:rPr>
      </w:pPr>
    </w:p>
    <w:p w14:paraId="485A43F3" w14:textId="77777777" w:rsidR="008A14A3" w:rsidRPr="004D5CA8" w:rsidRDefault="008A14A3" w:rsidP="00D34473">
      <w:pPr>
        <w:jc w:val="center"/>
        <w:rPr>
          <w:highlight w:val="yellow"/>
        </w:rPr>
      </w:pPr>
    </w:p>
    <w:p w14:paraId="485A43F4" w14:textId="71802FA1" w:rsidR="008A14A3" w:rsidRPr="004D5CA8" w:rsidRDefault="008A14A3" w:rsidP="00D34473">
      <w:pPr>
        <w:jc w:val="center"/>
        <w:rPr>
          <w:highlight w:val="yellow"/>
        </w:rPr>
      </w:pPr>
    </w:p>
    <w:p w14:paraId="485A43F5" w14:textId="77777777" w:rsidR="008A14A3" w:rsidRPr="004D5CA8" w:rsidRDefault="008A14A3" w:rsidP="00D34473">
      <w:pPr>
        <w:jc w:val="center"/>
        <w:rPr>
          <w:highlight w:val="yellow"/>
        </w:rPr>
      </w:pPr>
    </w:p>
    <w:p w14:paraId="485A43F6" w14:textId="77777777" w:rsidR="008A14A3" w:rsidRPr="004D5CA8" w:rsidRDefault="008A14A3" w:rsidP="00D34473">
      <w:pPr>
        <w:jc w:val="center"/>
        <w:rPr>
          <w:highlight w:val="yellow"/>
        </w:rPr>
      </w:pPr>
    </w:p>
    <w:p w14:paraId="485A43F7" w14:textId="77777777" w:rsidR="002023CB" w:rsidRPr="004D5CA8" w:rsidRDefault="002023CB" w:rsidP="00D34473">
      <w:pPr>
        <w:jc w:val="center"/>
        <w:rPr>
          <w:highlight w:val="yellow"/>
        </w:rPr>
      </w:pPr>
    </w:p>
    <w:p w14:paraId="485A43F8" w14:textId="77777777" w:rsidR="002023CB" w:rsidRPr="004D5CA8" w:rsidRDefault="002023CB" w:rsidP="00D34473">
      <w:pPr>
        <w:jc w:val="center"/>
        <w:rPr>
          <w:highlight w:val="yellow"/>
        </w:rPr>
      </w:pPr>
    </w:p>
    <w:p w14:paraId="485A43F9" w14:textId="77777777" w:rsidR="002023CB" w:rsidRPr="004D5CA8" w:rsidRDefault="002023CB" w:rsidP="00D34473">
      <w:pPr>
        <w:jc w:val="center"/>
        <w:rPr>
          <w:highlight w:val="yellow"/>
        </w:rPr>
      </w:pPr>
    </w:p>
    <w:p w14:paraId="485A43FA" w14:textId="63334961" w:rsidR="002023CB" w:rsidRPr="004D5CA8" w:rsidRDefault="002023CB" w:rsidP="00D34473">
      <w:pPr>
        <w:jc w:val="center"/>
        <w:rPr>
          <w:highlight w:val="yellow"/>
        </w:rPr>
      </w:pPr>
    </w:p>
    <w:p w14:paraId="485A43FB" w14:textId="77777777" w:rsidR="002023CB" w:rsidRPr="004D5CA8" w:rsidRDefault="002023CB" w:rsidP="00D34473">
      <w:pPr>
        <w:jc w:val="center"/>
        <w:rPr>
          <w:highlight w:val="yellow"/>
        </w:rPr>
      </w:pPr>
    </w:p>
    <w:p w14:paraId="485A43FC" w14:textId="77777777" w:rsidR="002023CB" w:rsidRPr="004D5CA8" w:rsidRDefault="002023CB" w:rsidP="00D34473">
      <w:pPr>
        <w:jc w:val="center"/>
        <w:rPr>
          <w:highlight w:val="yellow"/>
        </w:rPr>
      </w:pPr>
    </w:p>
    <w:p w14:paraId="485A43FD" w14:textId="77777777" w:rsidR="002023CB" w:rsidRPr="004D5CA8" w:rsidRDefault="002023CB" w:rsidP="00D34473">
      <w:pPr>
        <w:jc w:val="center"/>
        <w:rPr>
          <w:highlight w:val="yellow"/>
        </w:rPr>
      </w:pPr>
    </w:p>
    <w:p w14:paraId="485A43FE" w14:textId="77777777" w:rsidR="002023CB" w:rsidRPr="004D5CA8" w:rsidRDefault="002023CB" w:rsidP="00D34473">
      <w:pPr>
        <w:jc w:val="center"/>
        <w:rPr>
          <w:highlight w:val="yellow"/>
        </w:rPr>
      </w:pPr>
    </w:p>
    <w:p w14:paraId="485A43FF" w14:textId="77777777" w:rsidR="002023CB" w:rsidRPr="004D5CA8" w:rsidRDefault="002023CB" w:rsidP="00D34473">
      <w:pPr>
        <w:jc w:val="center"/>
        <w:rPr>
          <w:highlight w:val="yellow"/>
        </w:rPr>
      </w:pPr>
    </w:p>
    <w:p w14:paraId="485A4400" w14:textId="77777777" w:rsidR="002023CB" w:rsidRPr="004D5CA8" w:rsidRDefault="002023CB" w:rsidP="00D34473">
      <w:pPr>
        <w:jc w:val="center"/>
        <w:rPr>
          <w:highlight w:val="yellow"/>
        </w:rPr>
      </w:pPr>
    </w:p>
    <w:p w14:paraId="485A4401" w14:textId="77777777" w:rsidR="002023CB" w:rsidRPr="004D5CA8" w:rsidRDefault="002023CB" w:rsidP="00D34473">
      <w:pPr>
        <w:jc w:val="center"/>
        <w:rPr>
          <w:highlight w:val="yellow"/>
        </w:rPr>
      </w:pPr>
    </w:p>
    <w:p w14:paraId="485A4414" w14:textId="1EEC0221" w:rsidR="008A14A3" w:rsidRPr="00BA639D" w:rsidRDefault="008A14A3" w:rsidP="00C01DC6">
      <w:pPr>
        <w:pStyle w:val="Heading1"/>
        <w:jc w:val="left"/>
      </w:pPr>
      <w:bookmarkStart w:id="64" w:name="_Toc167965770"/>
      <w:r w:rsidRPr="00BA639D">
        <w:t xml:space="preserve">The </w:t>
      </w:r>
      <w:r w:rsidR="002D1266">
        <w:t>Head of Resources’ (</w:t>
      </w:r>
      <w:r w:rsidR="00C54E21" w:rsidRPr="00BA639D">
        <w:t>S151 Officer</w:t>
      </w:r>
      <w:r w:rsidR="002D1266">
        <w:t>)</w:t>
      </w:r>
      <w:r w:rsidRPr="00BA639D">
        <w:t xml:space="preserve"> Responsibilities</w:t>
      </w:r>
      <w:bookmarkEnd w:id="64"/>
    </w:p>
    <w:p w14:paraId="485A4415" w14:textId="77777777" w:rsidR="008A14A3" w:rsidRPr="00BA639D" w:rsidRDefault="008A14A3" w:rsidP="006D2EED"/>
    <w:p w14:paraId="485A4416" w14:textId="2CEB2735" w:rsidR="008A14A3" w:rsidRPr="00BA639D" w:rsidRDefault="008A14A3" w:rsidP="006D2EED">
      <w:r w:rsidRPr="00BA639D">
        <w:t xml:space="preserve">The </w:t>
      </w:r>
      <w:r w:rsidR="002D1266">
        <w:t>Head of Resources (</w:t>
      </w:r>
      <w:r w:rsidR="00C54E21" w:rsidRPr="00BA639D">
        <w:t>S151 Officer</w:t>
      </w:r>
      <w:r w:rsidR="002D1266">
        <w:t>)</w:t>
      </w:r>
      <w:r w:rsidRPr="00BA639D">
        <w:t xml:space="preserve"> is responsible for the preparation of the Authority’s Statement of Accounts</w:t>
      </w:r>
      <w:r w:rsidR="009521B4" w:rsidRPr="00BA639D">
        <w:t xml:space="preserve"> in accordance with proper practices as set out in the CIPFA/LASAAC Code of Practice on Local Authority Accounting in the United Kingdom</w:t>
      </w:r>
      <w:r w:rsidR="00F50920" w:rsidRPr="00BA639D">
        <w:t xml:space="preserve"> 20</w:t>
      </w:r>
      <w:r w:rsidR="00A66674" w:rsidRPr="00BA639D">
        <w:t>2</w:t>
      </w:r>
      <w:r w:rsidR="000644FA">
        <w:t>3</w:t>
      </w:r>
      <w:r w:rsidR="007A215B" w:rsidRPr="00BA639D">
        <w:t>/</w:t>
      </w:r>
      <w:r w:rsidR="00DB5A6F" w:rsidRPr="00BA639D">
        <w:t>2</w:t>
      </w:r>
      <w:r w:rsidR="000644FA">
        <w:t>4</w:t>
      </w:r>
      <w:r w:rsidR="007D1AA1" w:rsidRPr="00BA639D">
        <w:t xml:space="preserve"> (the Code)</w:t>
      </w:r>
      <w:r w:rsidRPr="00BA639D">
        <w:t>.</w:t>
      </w:r>
      <w:r w:rsidR="00D95903" w:rsidRPr="00BA639D">
        <w:t xml:space="preserve"> </w:t>
      </w:r>
      <w:r w:rsidRPr="00BA639D">
        <w:t>In preparing this Statement of Accounts, the</w:t>
      </w:r>
      <w:r w:rsidR="002D1266">
        <w:t xml:space="preserve"> Head of Resources</w:t>
      </w:r>
      <w:r w:rsidRPr="00BA639D">
        <w:t xml:space="preserve"> </w:t>
      </w:r>
      <w:r w:rsidR="002D1266">
        <w:t>(</w:t>
      </w:r>
      <w:r w:rsidR="00C54E21" w:rsidRPr="00BA639D">
        <w:t>S151 Officer</w:t>
      </w:r>
      <w:r w:rsidR="002D1266">
        <w:t>)</w:t>
      </w:r>
      <w:r w:rsidRPr="00BA639D">
        <w:t xml:space="preserve"> has:</w:t>
      </w:r>
    </w:p>
    <w:p w14:paraId="485A4417" w14:textId="77777777" w:rsidR="00022585" w:rsidRPr="00BA639D" w:rsidRDefault="00022585" w:rsidP="006D2EED"/>
    <w:p w14:paraId="485A4418" w14:textId="77777777" w:rsidR="008A14A3" w:rsidRPr="00BA639D" w:rsidRDefault="008A14A3" w:rsidP="006D2EED">
      <w:pPr>
        <w:numPr>
          <w:ilvl w:val="0"/>
          <w:numId w:val="2"/>
        </w:numPr>
      </w:pPr>
      <w:r w:rsidRPr="00BA639D">
        <w:t>Selected suitable accounting policies and then applied them consistently</w:t>
      </w:r>
      <w:r w:rsidR="00642588" w:rsidRPr="00BA639D">
        <w:t>.</w:t>
      </w:r>
    </w:p>
    <w:p w14:paraId="485A4419" w14:textId="77777777" w:rsidR="008A14A3" w:rsidRPr="00BA639D" w:rsidRDefault="008A14A3" w:rsidP="006D2EED">
      <w:pPr>
        <w:numPr>
          <w:ilvl w:val="0"/>
          <w:numId w:val="2"/>
        </w:numPr>
      </w:pPr>
      <w:r w:rsidRPr="00BA639D">
        <w:t>Made judgements and estimates that were reasonable and prudent</w:t>
      </w:r>
      <w:r w:rsidR="00642588" w:rsidRPr="00BA639D">
        <w:t>.</w:t>
      </w:r>
    </w:p>
    <w:p w14:paraId="485A441A" w14:textId="77777777" w:rsidR="008A14A3" w:rsidRPr="00BA639D" w:rsidRDefault="008A14A3" w:rsidP="006D2EED">
      <w:pPr>
        <w:numPr>
          <w:ilvl w:val="0"/>
          <w:numId w:val="2"/>
        </w:numPr>
      </w:pPr>
      <w:r w:rsidRPr="00BA639D">
        <w:t xml:space="preserve">Complied with the </w:t>
      </w:r>
      <w:r w:rsidR="007E25E5" w:rsidRPr="00BA639D">
        <w:t xml:space="preserve">requirements of the </w:t>
      </w:r>
      <w:r w:rsidR="009521B4" w:rsidRPr="00BA639D">
        <w:t xml:space="preserve">local authority </w:t>
      </w:r>
      <w:r w:rsidRPr="00BA639D">
        <w:t>Code of Practice</w:t>
      </w:r>
      <w:r w:rsidR="00642588" w:rsidRPr="00BA639D">
        <w:t>.</w:t>
      </w:r>
    </w:p>
    <w:p w14:paraId="485A441B" w14:textId="77777777" w:rsidR="008A14A3" w:rsidRPr="00BA639D" w:rsidRDefault="00022585" w:rsidP="006D2EED">
      <w:pPr>
        <w:numPr>
          <w:ilvl w:val="0"/>
          <w:numId w:val="2"/>
        </w:numPr>
      </w:pPr>
      <w:r w:rsidRPr="00BA639D">
        <w:t>Kept financial records and accounts</w:t>
      </w:r>
      <w:r w:rsidR="008A14A3" w:rsidRPr="00BA639D">
        <w:t xml:space="preserve"> which were up to date</w:t>
      </w:r>
      <w:r w:rsidR="00642588" w:rsidRPr="00BA639D">
        <w:t>.</w:t>
      </w:r>
    </w:p>
    <w:p w14:paraId="2E10EED5" w14:textId="77777777" w:rsidR="00F831D4" w:rsidRPr="00BA639D" w:rsidRDefault="008A14A3" w:rsidP="000A7028">
      <w:pPr>
        <w:numPr>
          <w:ilvl w:val="0"/>
          <w:numId w:val="2"/>
        </w:numPr>
      </w:pPr>
      <w:r w:rsidRPr="00BA639D">
        <w:t>Taken reasonable steps for the prevention and detection of fr</w:t>
      </w:r>
      <w:r w:rsidR="00022585" w:rsidRPr="00BA639D">
        <w:t>aud and other irregularities</w:t>
      </w:r>
      <w:r w:rsidR="00642588" w:rsidRPr="00BA639D">
        <w:t>.</w:t>
      </w:r>
    </w:p>
    <w:p w14:paraId="58E5EF90" w14:textId="77777777" w:rsidR="00F831D4" w:rsidRPr="00BA639D" w:rsidRDefault="00F831D4" w:rsidP="00F831D4">
      <w:pPr>
        <w:ind w:left="340"/>
      </w:pPr>
    </w:p>
    <w:p w14:paraId="485A441C" w14:textId="37EF6163" w:rsidR="008A14A3" w:rsidRPr="00BA639D" w:rsidRDefault="008A14A3" w:rsidP="00F831D4">
      <w:r w:rsidRPr="00BA639D">
        <w:t>These</w:t>
      </w:r>
      <w:r w:rsidR="005253C3" w:rsidRPr="00BA639D">
        <w:t xml:space="preserve"> </w:t>
      </w:r>
      <w:r w:rsidRPr="00BA639D">
        <w:t>accounts were</w:t>
      </w:r>
      <w:r w:rsidR="002D7495">
        <w:t xml:space="preserve"> </w:t>
      </w:r>
      <w:r w:rsidRPr="00BA639D">
        <w:t xml:space="preserve">authorised for issue </w:t>
      </w:r>
      <w:r w:rsidR="000A7028" w:rsidRPr="00BA639D">
        <w:t xml:space="preserve">on the </w:t>
      </w:r>
      <w:r w:rsidR="00BA639D">
        <w:t>31 May</w:t>
      </w:r>
      <w:r w:rsidR="000A7028" w:rsidRPr="00BA639D">
        <w:t xml:space="preserve"> </w:t>
      </w:r>
      <w:r w:rsidR="00F831D4" w:rsidRPr="00BA639D">
        <w:t>202</w:t>
      </w:r>
      <w:r w:rsidR="000644FA">
        <w:t>4</w:t>
      </w:r>
      <w:r w:rsidR="002D7495">
        <w:t xml:space="preserve">. </w:t>
      </w:r>
      <w:r w:rsidR="00601BA6">
        <w:t>This</w:t>
      </w:r>
      <w:r w:rsidRPr="00BA639D">
        <w:t xml:space="preserve"> the date up to which events after the balance sheet date have been considered.</w:t>
      </w:r>
    </w:p>
    <w:p w14:paraId="485A441D" w14:textId="77777777" w:rsidR="008A14A3" w:rsidRPr="004D5CA8" w:rsidRDefault="008A14A3" w:rsidP="00D34473">
      <w:pPr>
        <w:jc w:val="center"/>
        <w:rPr>
          <w:highlight w:val="yellow"/>
        </w:rPr>
      </w:pPr>
    </w:p>
    <w:p w14:paraId="485A441E" w14:textId="62B72F9E" w:rsidR="008A14A3" w:rsidRPr="004D5CA8" w:rsidRDefault="008A18DE" w:rsidP="00D34473">
      <w:pPr>
        <w:jc w:val="center"/>
        <w:rPr>
          <w:highlight w:val="yellow"/>
        </w:rPr>
      </w:pPr>
      <w:r w:rsidRPr="004D5CA8">
        <w:rPr>
          <w:noProof/>
          <w:sz w:val="20"/>
          <w:highlight w:val="yellow"/>
          <w:lang w:eastAsia="en-GB"/>
        </w:rPr>
        <mc:AlternateContent>
          <mc:Choice Requires="wps">
            <w:drawing>
              <wp:anchor distT="0" distB="0" distL="114300" distR="114300" simplePos="0" relativeHeight="251654656" behindDoc="0" locked="0" layoutInCell="1" allowOverlap="1" wp14:anchorId="485A4A0B" wp14:editId="371D76D4">
                <wp:simplePos x="0" y="0"/>
                <wp:positionH relativeFrom="margin">
                  <wp:align>left</wp:align>
                </wp:positionH>
                <wp:positionV relativeFrom="paragraph">
                  <wp:posOffset>167005</wp:posOffset>
                </wp:positionV>
                <wp:extent cx="6153150" cy="3771900"/>
                <wp:effectExtent l="0" t="0" r="19050" b="190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3771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7FBEF" id="Rectangle 5" o:spid="_x0000_s1026" style="position:absolute;margin-left:0;margin-top:13.15pt;width:484.5pt;height:297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">
                <w10:wrap anchorx="margin"/>
              </v:rect>
            </w:pict>
          </mc:Fallback>
        </mc:AlternateContent>
      </w:r>
    </w:p>
    <w:p w14:paraId="485A441F" w14:textId="6A553AA1" w:rsidR="008A14A3" w:rsidRPr="004D5CA8" w:rsidRDefault="003E1190" w:rsidP="00D34473">
      <w:pPr>
        <w:jc w:val="center"/>
        <w:rPr>
          <w:highlight w:val="yellow"/>
        </w:rPr>
      </w:pPr>
      <w:r w:rsidRPr="004D5CA8">
        <w:rPr>
          <w:noProof/>
          <w:sz w:val="20"/>
          <w:highlight w:val="yellow"/>
          <w:lang w:eastAsia="en-GB"/>
        </w:rPr>
        <mc:AlternateContent>
          <mc:Choice Requires="wps">
            <w:drawing>
              <wp:anchor distT="0" distB="0" distL="114300" distR="114300" simplePos="0" relativeHeight="251655680" behindDoc="0" locked="0" layoutInCell="1" allowOverlap="1" wp14:anchorId="485A4A09" wp14:editId="38642A53">
                <wp:simplePos x="0" y="0"/>
                <wp:positionH relativeFrom="column">
                  <wp:posOffset>114300</wp:posOffset>
                </wp:positionH>
                <wp:positionV relativeFrom="paragraph">
                  <wp:posOffset>84454</wp:posOffset>
                </wp:positionV>
                <wp:extent cx="5797550" cy="3590925"/>
                <wp:effectExtent l="0" t="0" r="0"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359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A4A6D" w14:textId="71478C80" w:rsidR="004817B7" w:rsidRDefault="004817B7">
                            <w:r>
                              <w:t xml:space="preserve">The </w:t>
                            </w:r>
                            <w:r w:rsidRPr="00114A42">
                              <w:t xml:space="preserve">Accounts </w:t>
                            </w:r>
                            <w:r>
                              <w:t xml:space="preserve">have been prepared in accordance with the requirements of the </w:t>
                            </w:r>
                            <w:r w:rsidR="007D1AA1">
                              <w:t>C</w:t>
                            </w:r>
                            <w:r>
                              <w:t>ode and give</w:t>
                            </w:r>
                            <w:r w:rsidRPr="00114A42">
                              <w:t xml:space="preserve"> a true and fair view of</w:t>
                            </w:r>
                            <w:r>
                              <w:t xml:space="preserve"> the financial position of the Authority as at 31 March 202</w:t>
                            </w:r>
                            <w:r w:rsidR="000644FA">
                              <w:t>4</w:t>
                            </w:r>
                            <w:r>
                              <w:t xml:space="preserve"> and its income and expenditure for the year then ended.</w:t>
                            </w:r>
                          </w:p>
                          <w:p w14:paraId="485A4A6E" w14:textId="77777777" w:rsidR="004817B7" w:rsidRDefault="004817B7"/>
                          <w:p w14:paraId="485A4A6F" w14:textId="63C45463" w:rsidR="004817B7" w:rsidRDefault="004817B7"/>
                          <w:p w14:paraId="70827FE4" w14:textId="070C55E4" w:rsidR="0009290C" w:rsidRPr="0009290C" w:rsidRDefault="0009290C" w:rsidP="0009290C">
                            <w:pPr>
                              <w:rPr>
                                <w:rFonts w:ascii="Times New Roman" w:hAnsi="Times New Roman"/>
                                <w:sz w:val="24"/>
                                <w:szCs w:val="24"/>
                                <w:highlight w:val="yellow"/>
                              </w:rPr>
                            </w:pPr>
                          </w:p>
                          <w:p w14:paraId="485A4A70" w14:textId="77777777" w:rsidR="004817B7" w:rsidRDefault="004817B7"/>
                          <w:p w14:paraId="0C0D7C6B" w14:textId="77777777" w:rsidR="00A1113D" w:rsidRDefault="00A1113D"/>
                          <w:p w14:paraId="485A4A72" w14:textId="154B7D2A" w:rsidR="004817B7" w:rsidRDefault="000A7028">
                            <w:r>
                              <w:t>Name…</w:t>
                            </w:r>
                            <w:r w:rsidR="003662C5">
                              <w:t>Jane Fretwell</w:t>
                            </w:r>
                          </w:p>
                          <w:p w14:paraId="4590FC65" w14:textId="4CDAF0BF" w:rsidR="000A7028" w:rsidRDefault="000A7028"/>
                          <w:p w14:paraId="48D7B81A" w14:textId="7F7B1F0F" w:rsidR="000A7028" w:rsidRDefault="003662C5">
                            <w:r>
                              <w:t>Date…</w:t>
                            </w:r>
                            <w:r w:rsidR="00CC287D">
                              <w:t>3</w:t>
                            </w:r>
                            <w:r w:rsidR="00F5136C">
                              <w:t>1</w:t>
                            </w:r>
                            <w:r w:rsidR="00CC287D">
                              <w:t xml:space="preserve"> May 2024</w:t>
                            </w:r>
                          </w:p>
                          <w:p w14:paraId="1B7624E6" w14:textId="77777777" w:rsidR="00CC287D" w:rsidRDefault="00CC287D"/>
                          <w:p w14:paraId="3F343DFB" w14:textId="53CF3D36" w:rsidR="000A7028" w:rsidRDefault="000A7028">
                            <w:r>
                              <w:t>Position…</w:t>
                            </w:r>
                            <w:r w:rsidR="003662C5">
                              <w:t>Head of Resources (S151 Of</w:t>
                            </w:r>
                            <w:r w:rsidR="0082644A">
                              <w:t>fi</w:t>
                            </w:r>
                            <w:r w:rsidR="003662C5">
                              <w:t>cer)</w:t>
                            </w:r>
                          </w:p>
                          <w:p w14:paraId="74950A4A" w14:textId="77777777" w:rsidR="003662C5" w:rsidRDefault="003662C5"/>
                          <w:p w14:paraId="0D81B417" w14:textId="77777777" w:rsidR="003662C5" w:rsidRDefault="003662C5"/>
                          <w:p w14:paraId="258256C0" w14:textId="77777777" w:rsidR="000A7028" w:rsidRDefault="000A7028"/>
                          <w:p w14:paraId="1735D1C3" w14:textId="77777777" w:rsidR="007D1AA1" w:rsidRDefault="007D1AA1"/>
                          <w:p w14:paraId="7388DF7F" w14:textId="6BB33A4D" w:rsidR="008A18DE" w:rsidRDefault="008A18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A4A09" id="_x0000_t202" coordsize="21600,21600" o:spt="202" path="m,l,21600r21600,l21600,xe">
                <v:stroke joinstyle="miter"/>
                <v:path gradientshapeok="t" o:connecttype="rect"/>
              </v:shapetype>
              <v:shape id="Text Box 6" o:spid="_x0000_s1026" type="#_x0000_t202" style="position:absolute;left:0;text-align:left;margin-left:9pt;margin-top:6.65pt;width:456.5pt;height:28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" stroked="f">
                <v:textbox>
                  <w:txbxContent>
                    <w:p w14:paraId="485A4A6D" w14:textId="71478C80" w:rsidR="004817B7" w:rsidRDefault="004817B7">
                      <w:r>
                        <w:t xml:space="preserve">The </w:t>
                      </w:r>
                      <w:r w:rsidRPr="00114A42">
                        <w:t xml:space="preserve">Accounts </w:t>
                      </w:r>
                      <w:r>
                        <w:t xml:space="preserve">have been prepared in accordance with the requirements of the </w:t>
                      </w:r>
                      <w:r w:rsidR="007D1AA1">
                        <w:t>C</w:t>
                      </w:r>
                      <w:r>
                        <w:t>ode and give</w:t>
                      </w:r>
                      <w:r w:rsidRPr="00114A42">
                        <w:t xml:space="preserve"> a true and fair view of</w:t>
                      </w:r>
                      <w:r>
                        <w:t xml:space="preserve"> the financial position of the Authority as at 31 March 202</w:t>
                      </w:r>
                      <w:r w:rsidR="000644FA">
                        <w:t>4</w:t>
                      </w:r>
                      <w:r>
                        <w:t xml:space="preserve"> and its income and expenditure for the year then ended.</w:t>
                      </w:r>
                    </w:p>
                    <w:p w14:paraId="485A4A6E" w14:textId="77777777" w:rsidR="004817B7" w:rsidRDefault="004817B7"/>
                    <w:p w14:paraId="485A4A6F" w14:textId="63C45463" w:rsidR="004817B7" w:rsidRDefault="004817B7"/>
                    <w:p w14:paraId="70827FE4" w14:textId="070C55E4" w:rsidR="0009290C" w:rsidRPr="0009290C" w:rsidRDefault="0009290C" w:rsidP="0009290C">
                      <w:pPr>
                        <w:rPr>
                          <w:rFonts w:ascii="Times New Roman" w:hAnsi="Times New Roman"/>
                          <w:sz w:val="24"/>
                          <w:szCs w:val="24"/>
                          <w:highlight w:val="yellow"/>
                        </w:rPr>
                      </w:pPr>
                    </w:p>
                    <w:p w14:paraId="485A4A70" w14:textId="77777777" w:rsidR="004817B7" w:rsidRDefault="004817B7"/>
                    <w:p w14:paraId="0C0D7C6B" w14:textId="77777777" w:rsidR="00A1113D" w:rsidRDefault="00A1113D"/>
                    <w:p w14:paraId="485A4A72" w14:textId="154B7D2A" w:rsidR="004817B7" w:rsidRDefault="000A7028">
                      <w:r>
                        <w:t>Name…</w:t>
                      </w:r>
                      <w:r w:rsidR="003662C5">
                        <w:t>Jane Fretwell</w:t>
                      </w:r>
                    </w:p>
                    <w:p w14:paraId="4590FC65" w14:textId="4CDAF0BF" w:rsidR="000A7028" w:rsidRDefault="000A7028"/>
                    <w:p w14:paraId="48D7B81A" w14:textId="7F7B1F0F" w:rsidR="000A7028" w:rsidRDefault="003662C5">
                      <w:r>
                        <w:t>Date…</w:t>
                      </w:r>
                      <w:r w:rsidR="00CC287D">
                        <w:t>3</w:t>
                      </w:r>
                      <w:r w:rsidR="00F5136C">
                        <w:t>1</w:t>
                      </w:r>
                      <w:r w:rsidR="00CC287D">
                        <w:t xml:space="preserve"> May 2024</w:t>
                      </w:r>
                    </w:p>
                    <w:p w14:paraId="1B7624E6" w14:textId="77777777" w:rsidR="00CC287D" w:rsidRDefault="00CC287D"/>
                    <w:p w14:paraId="3F343DFB" w14:textId="53CF3D36" w:rsidR="000A7028" w:rsidRDefault="000A7028">
                      <w:r>
                        <w:t>Position…</w:t>
                      </w:r>
                      <w:r w:rsidR="003662C5">
                        <w:t>Head of Resources (S151 Of</w:t>
                      </w:r>
                      <w:r w:rsidR="0082644A">
                        <w:t>fi</w:t>
                      </w:r>
                      <w:r w:rsidR="003662C5">
                        <w:t>cer)</w:t>
                      </w:r>
                    </w:p>
                    <w:p w14:paraId="74950A4A" w14:textId="77777777" w:rsidR="003662C5" w:rsidRDefault="003662C5"/>
                    <w:p w14:paraId="0D81B417" w14:textId="77777777" w:rsidR="003662C5" w:rsidRDefault="003662C5"/>
                    <w:p w14:paraId="258256C0" w14:textId="77777777" w:rsidR="000A7028" w:rsidRDefault="000A7028"/>
                    <w:p w14:paraId="1735D1C3" w14:textId="77777777" w:rsidR="007D1AA1" w:rsidRDefault="007D1AA1"/>
                    <w:p w14:paraId="7388DF7F" w14:textId="6BB33A4D" w:rsidR="008A18DE" w:rsidRDefault="008A18DE"/>
                  </w:txbxContent>
                </v:textbox>
              </v:shape>
            </w:pict>
          </mc:Fallback>
        </mc:AlternateContent>
      </w:r>
    </w:p>
    <w:p w14:paraId="485A4420" w14:textId="77777777" w:rsidR="008A14A3" w:rsidRPr="004D5CA8" w:rsidRDefault="008A14A3" w:rsidP="00D34473">
      <w:pPr>
        <w:jc w:val="center"/>
        <w:rPr>
          <w:highlight w:val="yellow"/>
        </w:rPr>
      </w:pPr>
    </w:p>
    <w:p w14:paraId="485A4421" w14:textId="77777777" w:rsidR="008A14A3" w:rsidRPr="004D5CA8" w:rsidRDefault="008A14A3" w:rsidP="00D34473">
      <w:pPr>
        <w:jc w:val="center"/>
        <w:rPr>
          <w:highlight w:val="yellow"/>
        </w:rPr>
      </w:pPr>
    </w:p>
    <w:p w14:paraId="485A4422" w14:textId="77777777" w:rsidR="008A14A3" w:rsidRPr="004D5CA8" w:rsidRDefault="008A14A3" w:rsidP="00D34473">
      <w:pPr>
        <w:jc w:val="center"/>
        <w:rPr>
          <w:highlight w:val="yellow"/>
        </w:rPr>
      </w:pPr>
    </w:p>
    <w:p w14:paraId="485A4423" w14:textId="77777777" w:rsidR="008A14A3" w:rsidRPr="004D5CA8" w:rsidRDefault="008A14A3" w:rsidP="00D34473">
      <w:pPr>
        <w:jc w:val="center"/>
        <w:rPr>
          <w:highlight w:val="yellow"/>
        </w:rPr>
      </w:pPr>
    </w:p>
    <w:p w14:paraId="485A4424" w14:textId="77777777" w:rsidR="008A14A3" w:rsidRPr="004D5CA8" w:rsidRDefault="008A14A3" w:rsidP="00D34473">
      <w:pPr>
        <w:jc w:val="center"/>
        <w:rPr>
          <w:highlight w:val="yellow"/>
        </w:rPr>
      </w:pPr>
    </w:p>
    <w:p w14:paraId="485A4425" w14:textId="77777777" w:rsidR="008A14A3" w:rsidRPr="004D5CA8" w:rsidRDefault="008A14A3" w:rsidP="00D34473">
      <w:pPr>
        <w:jc w:val="center"/>
        <w:rPr>
          <w:highlight w:val="yellow"/>
        </w:rPr>
      </w:pPr>
    </w:p>
    <w:p w14:paraId="485A4426" w14:textId="77777777" w:rsidR="008A14A3" w:rsidRPr="004D5CA8" w:rsidRDefault="008A14A3" w:rsidP="00D34473">
      <w:pPr>
        <w:jc w:val="center"/>
        <w:rPr>
          <w:highlight w:val="yellow"/>
        </w:rPr>
      </w:pPr>
    </w:p>
    <w:p w14:paraId="485A4427" w14:textId="77777777" w:rsidR="008A14A3" w:rsidRPr="004D5CA8" w:rsidRDefault="008A14A3" w:rsidP="00D34473">
      <w:pPr>
        <w:jc w:val="center"/>
        <w:rPr>
          <w:highlight w:val="yellow"/>
        </w:rPr>
      </w:pPr>
    </w:p>
    <w:p w14:paraId="485A4428" w14:textId="77777777" w:rsidR="008A14A3" w:rsidRPr="004D5CA8" w:rsidRDefault="008A14A3" w:rsidP="00D34473">
      <w:pPr>
        <w:jc w:val="center"/>
        <w:rPr>
          <w:highlight w:val="yellow"/>
        </w:rPr>
      </w:pPr>
    </w:p>
    <w:p w14:paraId="485A4429" w14:textId="77777777" w:rsidR="008A14A3" w:rsidRPr="004D5CA8" w:rsidRDefault="008A14A3" w:rsidP="00D34473">
      <w:pPr>
        <w:jc w:val="center"/>
        <w:rPr>
          <w:highlight w:val="yellow"/>
        </w:rPr>
      </w:pPr>
    </w:p>
    <w:p w14:paraId="485A442A" w14:textId="77777777" w:rsidR="008A14A3" w:rsidRPr="004D5CA8" w:rsidRDefault="008A14A3" w:rsidP="00D34473">
      <w:pPr>
        <w:jc w:val="center"/>
        <w:rPr>
          <w:highlight w:val="yellow"/>
        </w:rPr>
      </w:pPr>
    </w:p>
    <w:p w14:paraId="485A442B" w14:textId="77777777" w:rsidR="008A14A3" w:rsidRPr="004D5CA8" w:rsidRDefault="008A14A3" w:rsidP="00D34473">
      <w:pPr>
        <w:jc w:val="center"/>
        <w:rPr>
          <w:highlight w:val="yellow"/>
        </w:rPr>
      </w:pPr>
    </w:p>
    <w:p w14:paraId="485A442C" w14:textId="77777777" w:rsidR="008A14A3" w:rsidRPr="004D5CA8" w:rsidRDefault="008A14A3" w:rsidP="00D34473">
      <w:pPr>
        <w:jc w:val="center"/>
        <w:rPr>
          <w:highlight w:val="yellow"/>
        </w:rPr>
      </w:pPr>
    </w:p>
    <w:p w14:paraId="485A442D" w14:textId="77777777" w:rsidR="008A14A3" w:rsidRPr="004D5CA8" w:rsidRDefault="008A14A3" w:rsidP="00D34473">
      <w:pPr>
        <w:jc w:val="center"/>
        <w:rPr>
          <w:highlight w:val="yellow"/>
        </w:rPr>
      </w:pPr>
    </w:p>
    <w:p w14:paraId="485A442E" w14:textId="77777777" w:rsidR="00D666E8" w:rsidRPr="004D5CA8" w:rsidRDefault="00D666E8" w:rsidP="00936DB6">
      <w:pPr>
        <w:pStyle w:val="TOC1"/>
        <w:jc w:val="center"/>
        <w:rPr>
          <w:highlight w:val="yellow"/>
        </w:rPr>
        <w:sectPr w:rsidR="00D666E8" w:rsidRPr="004D5CA8" w:rsidSect="00397A5D">
          <w:pgSz w:w="11906" w:h="16838" w:code="9"/>
          <w:pgMar w:top="1135" w:right="991" w:bottom="993" w:left="1276" w:header="709" w:footer="403" w:gutter="0"/>
          <w:cols w:space="708"/>
          <w:docGrid w:linePitch="360"/>
        </w:sectPr>
      </w:pPr>
    </w:p>
    <w:p w14:paraId="5632F8DE" w14:textId="77777777" w:rsidR="00553405" w:rsidRDefault="00553405" w:rsidP="00553405">
      <w:pPr>
        <w:pStyle w:val="TOC1"/>
        <w:ind w:left="1440" w:firstLine="720"/>
        <w:rPr>
          <w:rFonts w:cs="Arial"/>
          <w:b w:val="0"/>
          <w:highlight w:val="yellow"/>
        </w:rPr>
      </w:pPr>
      <w:r w:rsidRPr="0026588B">
        <w:rPr>
          <w:rFonts w:cs="Arial"/>
          <w:b w:val="0"/>
          <w:noProof/>
          <w:lang w:eastAsia="en-GB"/>
        </w:rPr>
        <w:lastRenderedPageBreak/>
        <w:drawing>
          <wp:inline distT="0" distB="0" distL="0" distR="0" wp14:anchorId="74DF6F4C" wp14:editId="3ABDB093">
            <wp:extent cx="2589530" cy="548640"/>
            <wp:effectExtent l="0" t="0" r="1270" b="3810"/>
            <wp:docPr id="49" name="Picture 3" descr="GT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 lar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gray">
                    <a:xfrm>
                      <a:off x="0" y="0"/>
                      <a:ext cx="2589530" cy="548640"/>
                    </a:xfrm>
                    <a:prstGeom prst="rect">
                      <a:avLst/>
                    </a:prstGeom>
                    <a:noFill/>
                    <a:ln>
                      <a:noFill/>
                    </a:ln>
                  </pic:spPr>
                </pic:pic>
              </a:graphicData>
            </a:graphic>
          </wp:inline>
        </w:drawing>
      </w:r>
    </w:p>
    <w:p w14:paraId="2297E8AC" w14:textId="6FF1628C" w:rsidR="00CC287D" w:rsidRDefault="00CC287D" w:rsidP="00CC287D">
      <w:pPr>
        <w:rPr>
          <w:highlight w:val="yellow"/>
        </w:rPr>
      </w:pPr>
      <w:r>
        <w:rPr>
          <w:highlight w:val="yellow"/>
        </w:rPr>
        <w:t>TO BE UPDATED ON COMPLETION OF 2023/24 AUDIT</w:t>
      </w:r>
    </w:p>
    <w:p w14:paraId="177D9738" w14:textId="77777777" w:rsidR="00CC287D" w:rsidRPr="00CC287D" w:rsidRDefault="00CC287D" w:rsidP="00CC287D">
      <w:pPr>
        <w:rPr>
          <w:highlight w:val="yellow"/>
        </w:rPr>
      </w:pPr>
    </w:p>
    <w:p w14:paraId="34C8D9CE" w14:textId="77777777" w:rsidR="0013394E" w:rsidRPr="0013394E" w:rsidRDefault="0013394E" w:rsidP="00C01DC6">
      <w:pPr>
        <w:pStyle w:val="Heading1"/>
        <w:jc w:val="left"/>
      </w:pPr>
      <w:bookmarkStart w:id="65" w:name="_Toc167965771"/>
      <w:r w:rsidRPr="0013394E">
        <w:t>Independent auditor's report to the members of Lake District National Park Authority</w:t>
      </w:r>
      <w:bookmarkEnd w:id="65"/>
    </w:p>
    <w:p w14:paraId="18588DD4" w14:textId="77777777" w:rsidR="0013394E" w:rsidRPr="0013394E" w:rsidRDefault="0013394E" w:rsidP="0013394E">
      <w:pPr>
        <w:keepNext/>
        <w:spacing w:before="240" w:after="120" w:line="240" w:lineRule="atLeast"/>
        <w:outlineLvl w:val="2"/>
        <w:rPr>
          <w:rFonts w:cs="Arial"/>
          <w:b/>
          <w:bCs/>
          <w:color w:val="4F2D7F"/>
          <w:kern w:val="32"/>
          <w:sz w:val="24"/>
          <w:szCs w:val="24"/>
        </w:rPr>
      </w:pPr>
      <w:bookmarkStart w:id="66" w:name="_Toc156816131"/>
      <w:bookmarkStart w:id="67" w:name="_Toc156818267"/>
      <w:bookmarkStart w:id="68" w:name="_Toc156820532"/>
      <w:bookmarkStart w:id="69" w:name="_Toc165295274"/>
      <w:bookmarkStart w:id="70" w:name="_Toc167965772"/>
      <w:r w:rsidRPr="0013394E">
        <w:rPr>
          <w:rFonts w:cs="Arial"/>
          <w:b/>
          <w:bCs/>
          <w:color w:val="4F2D7F"/>
          <w:kern w:val="32"/>
          <w:sz w:val="24"/>
          <w:szCs w:val="24"/>
        </w:rPr>
        <w:t>Report on the audit of the financial statements</w:t>
      </w:r>
      <w:bookmarkEnd w:id="66"/>
      <w:bookmarkEnd w:id="67"/>
      <w:bookmarkEnd w:id="68"/>
      <w:bookmarkEnd w:id="69"/>
      <w:bookmarkEnd w:id="70"/>
    </w:p>
    <w:p w14:paraId="1845B743" w14:textId="77777777" w:rsidR="0013394E" w:rsidRPr="0013394E" w:rsidRDefault="0013394E" w:rsidP="0013394E">
      <w:pPr>
        <w:keepNext/>
        <w:spacing w:before="240" w:after="120" w:line="240" w:lineRule="atLeast"/>
        <w:outlineLvl w:val="2"/>
        <w:rPr>
          <w:rFonts w:cs="Arial"/>
          <w:b/>
          <w:bCs/>
          <w:color w:val="4F2D7F"/>
          <w:kern w:val="32"/>
          <w:sz w:val="22"/>
          <w:szCs w:val="22"/>
        </w:rPr>
      </w:pPr>
      <w:bookmarkStart w:id="71" w:name="_Toc156816132"/>
      <w:bookmarkStart w:id="72" w:name="_Toc156818268"/>
      <w:bookmarkStart w:id="73" w:name="_Toc156820533"/>
      <w:bookmarkStart w:id="74" w:name="_Toc165295275"/>
      <w:bookmarkStart w:id="75" w:name="_Toc167965773"/>
      <w:r w:rsidRPr="0013394E">
        <w:rPr>
          <w:rFonts w:cs="Arial"/>
          <w:b/>
          <w:bCs/>
          <w:color w:val="4F2D7F"/>
          <w:kern w:val="32"/>
          <w:sz w:val="22"/>
          <w:szCs w:val="22"/>
        </w:rPr>
        <w:t>Opinion on financial statements</w:t>
      </w:r>
      <w:bookmarkEnd w:id="71"/>
      <w:bookmarkEnd w:id="72"/>
      <w:bookmarkEnd w:id="73"/>
      <w:bookmarkEnd w:id="74"/>
      <w:bookmarkEnd w:id="75"/>
    </w:p>
    <w:p w14:paraId="4594567D" w14:textId="77777777" w:rsidR="0013394E" w:rsidRPr="0013394E" w:rsidRDefault="0013394E" w:rsidP="0013394E">
      <w:pPr>
        <w:spacing w:after="120" w:line="240" w:lineRule="atLeast"/>
        <w:rPr>
          <w:sz w:val="22"/>
          <w:szCs w:val="22"/>
        </w:rPr>
      </w:pPr>
      <w:r w:rsidRPr="0013394E">
        <w:rPr>
          <w:sz w:val="22"/>
          <w:szCs w:val="22"/>
        </w:rPr>
        <w:t>We have audited the financial statements of Lake District National Park Authority (the ‘Authority’) for the year ended 31 March 2023, which comprise the Comprehensive Income and Expenditure Statement, Movement in Reserves Statement, the Balance Sheet, the Cash Flow Statement, and notes to the core financial statements, including the statement of accounting policies. The financial reporting framework that has been applied in their preparation is applicable law and the CIPFA/LASAAC Code of Practice on Local Authority Accounting in the United Kingdom 2022/23.</w:t>
      </w:r>
    </w:p>
    <w:p w14:paraId="66C6C862" w14:textId="77777777" w:rsidR="0013394E" w:rsidRPr="0013394E" w:rsidRDefault="0013394E" w:rsidP="0013394E">
      <w:pPr>
        <w:spacing w:after="120" w:line="240" w:lineRule="atLeast"/>
        <w:rPr>
          <w:sz w:val="22"/>
          <w:szCs w:val="22"/>
        </w:rPr>
      </w:pPr>
      <w:r w:rsidRPr="0013394E">
        <w:rPr>
          <w:sz w:val="22"/>
          <w:szCs w:val="22"/>
        </w:rPr>
        <w:t>In our opinion, the financial statements:</w:t>
      </w:r>
    </w:p>
    <w:p w14:paraId="730242AC" w14:textId="77777777" w:rsidR="0013394E" w:rsidRPr="003859E6" w:rsidRDefault="0013394E" w:rsidP="0013394E">
      <w:pPr>
        <w:pStyle w:val="ListParagraph"/>
        <w:numPr>
          <w:ilvl w:val="0"/>
          <w:numId w:val="19"/>
        </w:numPr>
        <w:tabs>
          <w:tab w:val="num" w:pos="284"/>
        </w:tabs>
        <w:spacing w:after="120" w:line="240" w:lineRule="atLeast"/>
        <w:rPr>
          <w:sz w:val="22"/>
          <w:szCs w:val="22"/>
          <w:u w:val="none"/>
        </w:rPr>
      </w:pPr>
      <w:r w:rsidRPr="003859E6">
        <w:rPr>
          <w:sz w:val="22"/>
          <w:szCs w:val="22"/>
          <w:u w:val="none"/>
        </w:rPr>
        <w:t xml:space="preserve">give a true and fair view of the financial position of the Authority as at 31 March 2023 and of its expenditure and income for the year then ended; </w:t>
      </w:r>
    </w:p>
    <w:p w14:paraId="38C4AFFA" w14:textId="77777777" w:rsidR="0013394E" w:rsidRPr="003859E6" w:rsidRDefault="0013394E" w:rsidP="0013394E">
      <w:pPr>
        <w:pStyle w:val="ListParagraph"/>
        <w:numPr>
          <w:ilvl w:val="0"/>
          <w:numId w:val="19"/>
        </w:numPr>
        <w:tabs>
          <w:tab w:val="num" w:pos="284"/>
        </w:tabs>
        <w:spacing w:after="120" w:line="240" w:lineRule="atLeast"/>
        <w:rPr>
          <w:sz w:val="22"/>
          <w:szCs w:val="22"/>
          <w:u w:val="none"/>
        </w:rPr>
      </w:pPr>
      <w:r w:rsidRPr="003859E6">
        <w:rPr>
          <w:sz w:val="22"/>
          <w:szCs w:val="22"/>
          <w:u w:val="none"/>
        </w:rPr>
        <w:t xml:space="preserve">have been properly prepared in accordance with the CIPFA/LASAAC Code of Practice on Local Authority Accounting in the United Kingdom 2022/23; and </w:t>
      </w:r>
    </w:p>
    <w:p w14:paraId="6C9FEE72" w14:textId="77777777" w:rsidR="0013394E" w:rsidRPr="0013394E" w:rsidRDefault="0013394E" w:rsidP="0013394E">
      <w:pPr>
        <w:tabs>
          <w:tab w:val="num" w:pos="284"/>
        </w:tabs>
        <w:spacing w:after="120" w:line="240" w:lineRule="atLeast"/>
        <w:ind w:left="284" w:hanging="284"/>
        <w:rPr>
          <w:sz w:val="22"/>
          <w:szCs w:val="22"/>
        </w:rPr>
      </w:pPr>
      <w:r w:rsidRPr="0013394E">
        <w:rPr>
          <w:sz w:val="22"/>
          <w:szCs w:val="22"/>
        </w:rPr>
        <w:t>have been prepared in accordance with the requirements of the Local Audit and Accountability Act 2014.</w:t>
      </w:r>
    </w:p>
    <w:p w14:paraId="4E8B8971" w14:textId="77777777" w:rsidR="0013394E" w:rsidRPr="0013394E" w:rsidRDefault="0013394E" w:rsidP="0013394E">
      <w:pPr>
        <w:keepNext/>
        <w:spacing w:before="240" w:after="120" w:line="240" w:lineRule="atLeast"/>
        <w:outlineLvl w:val="2"/>
        <w:rPr>
          <w:rFonts w:cs="Arial"/>
          <w:b/>
          <w:bCs/>
          <w:color w:val="4F2D7F"/>
          <w:kern w:val="32"/>
          <w:sz w:val="22"/>
          <w:szCs w:val="22"/>
        </w:rPr>
      </w:pPr>
      <w:bookmarkStart w:id="76" w:name="_Toc156816133"/>
      <w:bookmarkStart w:id="77" w:name="_Toc156818269"/>
      <w:bookmarkStart w:id="78" w:name="_Toc156820534"/>
      <w:bookmarkStart w:id="79" w:name="_Toc165295276"/>
      <w:bookmarkStart w:id="80" w:name="_Toc167965774"/>
      <w:r w:rsidRPr="0013394E">
        <w:rPr>
          <w:rFonts w:cs="Arial"/>
          <w:b/>
          <w:bCs/>
          <w:color w:val="4F2D7F"/>
          <w:kern w:val="32"/>
          <w:sz w:val="22"/>
          <w:szCs w:val="22"/>
        </w:rPr>
        <w:t>Basis for opinion</w:t>
      </w:r>
      <w:bookmarkEnd w:id="76"/>
      <w:bookmarkEnd w:id="77"/>
      <w:bookmarkEnd w:id="78"/>
      <w:bookmarkEnd w:id="79"/>
      <w:bookmarkEnd w:id="80"/>
    </w:p>
    <w:p w14:paraId="5A24A1F8" w14:textId="77777777" w:rsidR="0013394E" w:rsidRPr="0013394E" w:rsidRDefault="0013394E" w:rsidP="0013394E">
      <w:pPr>
        <w:spacing w:after="120" w:line="240" w:lineRule="atLeast"/>
        <w:rPr>
          <w:sz w:val="22"/>
          <w:szCs w:val="22"/>
        </w:rPr>
      </w:pPr>
      <w:r w:rsidRPr="0013394E">
        <w:rPr>
          <w:sz w:val="22"/>
          <w:szCs w:val="22"/>
        </w:rPr>
        <w:t xml:space="preserve">We conducted our audit in accordance with International Standards on Auditing (UK) (ISAs (UK)) and applicable law, </w:t>
      </w:r>
      <w:bookmarkStart w:id="81" w:name="_Hlk78787206"/>
      <w:r w:rsidRPr="0013394E">
        <w:rPr>
          <w:sz w:val="22"/>
          <w:szCs w:val="22"/>
        </w:rPr>
        <w:t>as required by the Code of Audit Practice (2020) (“the Code of Audit Practice”) approved by the Comptroller and Auditor General</w:t>
      </w:r>
      <w:bookmarkEnd w:id="81"/>
      <w:r w:rsidRPr="0013394E">
        <w:rPr>
          <w:sz w:val="22"/>
          <w:szCs w:val="22"/>
        </w:rPr>
        <w:t>. Our responsibilities under those standards are further described in the ‘Auditor’s responsibilities for the audit of the financial statements’ section of our report. We are independent of the Authority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4A6692D7" w14:textId="77777777" w:rsidR="0013394E" w:rsidRPr="0013394E" w:rsidRDefault="0013394E" w:rsidP="0013394E">
      <w:pPr>
        <w:keepNext/>
        <w:spacing w:before="240" w:after="120" w:line="240" w:lineRule="atLeast"/>
        <w:outlineLvl w:val="2"/>
        <w:rPr>
          <w:rFonts w:cs="Arial"/>
          <w:b/>
          <w:bCs/>
          <w:color w:val="4F2D7F"/>
          <w:kern w:val="32"/>
          <w:sz w:val="22"/>
          <w:szCs w:val="22"/>
          <w:lang w:eastAsia="en-GB"/>
        </w:rPr>
      </w:pPr>
      <w:bookmarkStart w:id="82" w:name="_Toc156816134"/>
      <w:bookmarkStart w:id="83" w:name="_Toc156818270"/>
      <w:bookmarkStart w:id="84" w:name="_Toc156820535"/>
      <w:bookmarkStart w:id="85" w:name="_Toc165295277"/>
      <w:bookmarkStart w:id="86" w:name="_Toc167965775"/>
      <w:r w:rsidRPr="0013394E">
        <w:rPr>
          <w:rFonts w:cs="Arial"/>
          <w:b/>
          <w:bCs/>
          <w:color w:val="4F2D7F"/>
          <w:kern w:val="32"/>
          <w:sz w:val="22"/>
          <w:szCs w:val="22"/>
        </w:rPr>
        <w:t>Conclusions relating to going concern</w:t>
      </w:r>
      <w:bookmarkEnd w:id="82"/>
      <w:bookmarkEnd w:id="83"/>
      <w:bookmarkEnd w:id="84"/>
      <w:bookmarkEnd w:id="85"/>
      <w:bookmarkEnd w:id="86"/>
    </w:p>
    <w:p w14:paraId="5C1C2396" w14:textId="77777777" w:rsidR="0013394E" w:rsidRPr="0013394E" w:rsidRDefault="0013394E" w:rsidP="0013394E">
      <w:pPr>
        <w:spacing w:after="120" w:line="240" w:lineRule="atLeast"/>
        <w:rPr>
          <w:sz w:val="22"/>
          <w:szCs w:val="22"/>
        </w:rPr>
      </w:pPr>
      <w:r w:rsidRPr="0013394E">
        <w:rPr>
          <w:sz w:val="22"/>
          <w:szCs w:val="22"/>
        </w:rPr>
        <w:t>We are responsible for concluding on the appropriateness of the Head of Resources’ (S151 Officer) use of the going concern basis of accounting and, based on the audit evidence obtained, whether a material uncertainty exists related to events or conditions that may cast significant doubt on the Authority’s ability to continue as a going concern. If we conclude that a material uncertainty exists, we are required to draw attention in our report to the related disclosures in the financial statements or, if such disclosures are inadequate, to modify the auditor’s opinion. Our conclusions are based on the audit evidence obtained up to the date of our report. However, future events or conditions may cause the Authority to cease to continue as a going concern.</w:t>
      </w:r>
    </w:p>
    <w:p w14:paraId="3E8E1765" w14:textId="77777777" w:rsidR="0013394E" w:rsidRPr="0013394E" w:rsidRDefault="0013394E" w:rsidP="0013394E">
      <w:pPr>
        <w:spacing w:after="120" w:line="240" w:lineRule="atLeast"/>
        <w:rPr>
          <w:color w:val="000000"/>
          <w:sz w:val="22"/>
          <w:szCs w:val="22"/>
          <w:lang w:eastAsia="en-GB"/>
        </w:rPr>
      </w:pPr>
      <w:r w:rsidRPr="0013394E">
        <w:rPr>
          <w:color w:val="000000"/>
          <w:sz w:val="22"/>
          <w:szCs w:val="22"/>
          <w:lang w:eastAsia="en-GB"/>
        </w:rPr>
        <w:t xml:space="preserve">In our evaluation of the </w:t>
      </w:r>
      <w:r w:rsidRPr="0013394E">
        <w:rPr>
          <w:sz w:val="22"/>
          <w:szCs w:val="22"/>
        </w:rPr>
        <w:t xml:space="preserve">Head of Resources’ (S151 Officer) </w:t>
      </w:r>
      <w:r w:rsidRPr="0013394E">
        <w:rPr>
          <w:color w:val="000000"/>
          <w:sz w:val="22"/>
          <w:szCs w:val="22"/>
          <w:lang w:eastAsia="en-GB"/>
        </w:rPr>
        <w:t xml:space="preserve">conclusions, and in accordance with the expectation set out within the </w:t>
      </w:r>
      <w:r w:rsidRPr="0013394E">
        <w:rPr>
          <w:sz w:val="22"/>
          <w:szCs w:val="22"/>
        </w:rPr>
        <w:t xml:space="preserve">CIPFA/LASAAC Code of Practice on Local Authority Accounting in the United Kingdom 2022/23 that the Authority’s financial statements shall be prepared on a going concern basis, </w:t>
      </w:r>
      <w:r w:rsidRPr="0013394E">
        <w:rPr>
          <w:color w:val="000000"/>
          <w:sz w:val="22"/>
          <w:szCs w:val="22"/>
          <w:lang w:eastAsia="en-GB"/>
        </w:rPr>
        <w:t xml:space="preserve">we considered the inherent risks associated with the continuation of services provided by the Authority. In doing so we had regard to the guidance provided in Practice Note 10 </w:t>
      </w:r>
      <w:r w:rsidRPr="0013394E">
        <w:rPr>
          <w:color w:val="000000"/>
          <w:sz w:val="22"/>
          <w:szCs w:val="22"/>
          <w:lang w:eastAsia="en-GB"/>
        </w:rPr>
        <w:lastRenderedPageBreak/>
        <w:t>Audit of financial statements and regularity of public sector bodies in the United Kingdom (Revised 2022) on the application of ISA (UK) 570 Going Concern to public sector entities. We assessed the reasonableness of the basis of preparation used by the Authority and the Authority’s disclosures over the going concern period. </w:t>
      </w:r>
    </w:p>
    <w:p w14:paraId="1127F43F" w14:textId="77777777" w:rsidR="0013394E" w:rsidRPr="0013394E" w:rsidRDefault="0013394E" w:rsidP="0013394E">
      <w:pPr>
        <w:spacing w:after="120" w:line="240" w:lineRule="atLeast"/>
        <w:rPr>
          <w:sz w:val="22"/>
          <w:szCs w:val="22"/>
        </w:rPr>
      </w:pPr>
      <w:r w:rsidRPr="0013394E">
        <w:rPr>
          <w:sz w:val="22"/>
          <w:szCs w:val="22"/>
        </w:rPr>
        <w:t xml:space="preserve">In auditing the financial statements, we have concluded that the Head of Resources’ (S151 Officer) use of the going concern basis of accounting in the preparation of the financial statements is appropriate. </w:t>
      </w:r>
    </w:p>
    <w:p w14:paraId="44D1C690" w14:textId="77777777" w:rsidR="0013394E" w:rsidRPr="0013394E" w:rsidRDefault="0013394E" w:rsidP="0013394E">
      <w:pPr>
        <w:spacing w:after="120" w:line="240" w:lineRule="atLeast"/>
        <w:rPr>
          <w:sz w:val="22"/>
          <w:szCs w:val="22"/>
        </w:rPr>
      </w:pPr>
      <w:r w:rsidRPr="0013394E">
        <w:rPr>
          <w:sz w:val="22"/>
          <w:szCs w:val="22"/>
        </w:rPr>
        <w:t>Based on the work we have performed, we have not identified any material uncertainties relating to events or conditions that, individually or collectively, may cast significant doubt on the Authority’s ability to continue as a going concern for a period of at least twelve months from when the financial statements are authorised for issue.</w:t>
      </w:r>
    </w:p>
    <w:p w14:paraId="3EBB6C90" w14:textId="77777777" w:rsidR="0013394E" w:rsidRPr="0013394E" w:rsidRDefault="0013394E" w:rsidP="0013394E">
      <w:pPr>
        <w:keepNext/>
        <w:spacing w:after="120" w:line="240" w:lineRule="atLeast"/>
        <w:outlineLvl w:val="2"/>
        <w:rPr>
          <w:color w:val="000000"/>
          <w:sz w:val="22"/>
          <w:szCs w:val="22"/>
          <w:lang w:eastAsia="en-GB"/>
        </w:rPr>
      </w:pPr>
      <w:bookmarkStart w:id="87" w:name="_Toc156816135"/>
      <w:bookmarkStart w:id="88" w:name="_Toc156818271"/>
      <w:bookmarkStart w:id="89" w:name="_Toc156820536"/>
      <w:bookmarkStart w:id="90" w:name="_Toc165295278"/>
      <w:bookmarkStart w:id="91" w:name="_Toc167965776"/>
      <w:r w:rsidRPr="0013394E">
        <w:rPr>
          <w:sz w:val="22"/>
          <w:szCs w:val="22"/>
        </w:rPr>
        <w:t>Our responsibilities and t</w:t>
      </w:r>
      <w:r w:rsidRPr="0013394E">
        <w:rPr>
          <w:rFonts w:cs="Arial"/>
          <w:color w:val="000000"/>
          <w:kern w:val="32"/>
          <w:sz w:val="22"/>
          <w:szCs w:val="22"/>
        </w:rPr>
        <w:t>he responsibilities of the Head of Resources (S151 Officer) with respect to going concern are described in the relevant sections of this report.</w:t>
      </w:r>
      <w:bookmarkEnd w:id="87"/>
      <w:bookmarkEnd w:id="88"/>
      <w:bookmarkEnd w:id="89"/>
      <w:bookmarkEnd w:id="90"/>
      <w:bookmarkEnd w:id="91"/>
    </w:p>
    <w:p w14:paraId="37409985" w14:textId="77777777" w:rsidR="0013394E" w:rsidRPr="0013394E" w:rsidRDefault="0013394E" w:rsidP="0013394E">
      <w:pPr>
        <w:keepNext/>
        <w:spacing w:before="240" w:after="120" w:line="240" w:lineRule="atLeast"/>
        <w:outlineLvl w:val="2"/>
        <w:rPr>
          <w:rFonts w:cs="Arial"/>
          <w:b/>
          <w:bCs/>
          <w:color w:val="4F2D7F"/>
          <w:kern w:val="32"/>
          <w:sz w:val="22"/>
          <w:szCs w:val="22"/>
        </w:rPr>
      </w:pPr>
      <w:bookmarkStart w:id="92" w:name="_Toc156816136"/>
      <w:bookmarkStart w:id="93" w:name="_Toc156818272"/>
      <w:bookmarkStart w:id="94" w:name="_Toc156820537"/>
      <w:bookmarkStart w:id="95" w:name="_Toc165295279"/>
      <w:bookmarkStart w:id="96" w:name="_Toc167965777"/>
      <w:r w:rsidRPr="0013394E">
        <w:rPr>
          <w:rFonts w:cs="Arial"/>
          <w:b/>
          <w:bCs/>
          <w:color w:val="4F2D7F"/>
          <w:kern w:val="32"/>
          <w:sz w:val="22"/>
          <w:szCs w:val="22"/>
        </w:rPr>
        <w:t>Other information</w:t>
      </w:r>
      <w:bookmarkEnd w:id="92"/>
      <w:bookmarkEnd w:id="93"/>
      <w:bookmarkEnd w:id="94"/>
      <w:bookmarkEnd w:id="95"/>
      <w:bookmarkEnd w:id="96"/>
    </w:p>
    <w:p w14:paraId="444E488D" w14:textId="77777777" w:rsidR="0013394E" w:rsidRPr="0013394E" w:rsidRDefault="0013394E" w:rsidP="0013394E">
      <w:pPr>
        <w:spacing w:after="120" w:line="240" w:lineRule="atLeast"/>
        <w:rPr>
          <w:sz w:val="22"/>
          <w:szCs w:val="22"/>
        </w:rPr>
      </w:pPr>
      <w:r w:rsidRPr="0013394E">
        <w:rPr>
          <w:sz w:val="22"/>
          <w:szCs w:val="22"/>
        </w:rPr>
        <w:t xml:space="preserve">The other information comprises the information included in the Statement of Accounts, other than the financial statements and our auditor’s report thereon. The Head of Resources (S151 Officer) is responsible for the other information. Our opinion on the financial statements does not cover the other information and, except to the extent otherwise explicitly stated in our report, we do not express any form of assurance conclusion thereon. </w:t>
      </w:r>
    </w:p>
    <w:p w14:paraId="0A421CC5" w14:textId="77777777" w:rsidR="0013394E" w:rsidRPr="0013394E" w:rsidRDefault="0013394E" w:rsidP="0013394E">
      <w:pPr>
        <w:spacing w:after="120" w:line="240" w:lineRule="atLeast"/>
        <w:rPr>
          <w:sz w:val="22"/>
          <w:szCs w:val="22"/>
        </w:rPr>
      </w:pPr>
      <w:r w:rsidRPr="0013394E">
        <w:rPr>
          <w:sz w:val="22"/>
          <w:szCs w:val="22"/>
        </w:rPr>
        <w:t xml:space="preserve">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themselves. If, based on the work we have performed, we conclude that there is a material misstatement of this other information, we are required to report that fact. </w:t>
      </w:r>
    </w:p>
    <w:p w14:paraId="2556795A" w14:textId="77777777" w:rsidR="0013394E" w:rsidRPr="0013394E" w:rsidRDefault="0013394E" w:rsidP="0013394E">
      <w:pPr>
        <w:spacing w:after="120" w:line="240" w:lineRule="atLeast"/>
        <w:rPr>
          <w:sz w:val="22"/>
          <w:szCs w:val="22"/>
        </w:rPr>
      </w:pPr>
      <w:r w:rsidRPr="0013394E">
        <w:rPr>
          <w:sz w:val="22"/>
          <w:szCs w:val="22"/>
        </w:rPr>
        <w:t>We have nothing to report in this regard.</w:t>
      </w:r>
    </w:p>
    <w:p w14:paraId="017A25A0" w14:textId="77777777" w:rsidR="0013394E" w:rsidRPr="0013394E" w:rsidRDefault="0013394E" w:rsidP="0013394E">
      <w:pPr>
        <w:keepNext/>
        <w:spacing w:before="240" w:after="120" w:line="240" w:lineRule="atLeast"/>
        <w:outlineLvl w:val="2"/>
        <w:rPr>
          <w:rFonts w:cs="Arial"/>
          <w:b/>
          <w:bCs/>
          <w:color w:val="4F2D7F"/>
          <w:kern w:val="32"/>
          <w:sz w:val="22"/>
          <w:szCs w:val="22"/>
        </w:rPr>
      </w:pPr>
      <w:bookmarkStart w:id="97" w:name="_Toc156816137"/>
      <w:bookmarkStart w:id="98" w:name="_Toc156818273"/>
      <w:bookmarkStart w:id="99" w:name="_Toc156820538"/>
      <w:bookmarkStart w:id="100" w:name="_Toc165295280"/>
      <w:bookmarkStart w:id="101" w:name="_Toc167965778"/>
      <w:r w:rsidRPr="0013394E">
        <w:rPr>
          <w:rFonts w:cs="Arial"/>
          <w:b/>
          <w:bCs/>
          <w:color w:val="4F2D7F"/>
          <w:kern w:val="32"/>
          <w:sz w:val="22"/>
          <w:szCs w:val="22"/>
        </w:rPr>
        <w:t>Other information we are required to report on by exception under the Code of Audit Practice</w:t>
      </w:r>
      <w:bookmarkEnd w:id="97"/>
      <w:bookmarkEnd w:id="98"/>
      <w:bookmarkEnd w:id="99"/>
      <w:bookmarkEnd w:id="100"/>
      <w:bookmarkEnd w:id="101"/>
    </w:p>
    <w:p w14:paraId="460219E1" w14:textId="77777777" w:rsidR="0013394E" w:rsidRPr="0013394E" w:rsidRDefault="0013394E" w:rsidP="0013394E">
      <w:pPr>
        <w:spacing w:after="120" w:line="240" w:lineRule="atLeast"/>
        <w:rPr>
          <w:sz w:val="22"/>
          <w:szCs w:val="22"/>
        </w:rPr>
      </w:pPr>
      <w:r w:rsidRPr="0013394E">
        <w:rPr>
          <w:sz w:val="22"/>
          <w:szCs w:val="22"/>
        </w:rPr>
        <w:t xml:space="preserve">Under the Code of Audit Practice published by the National Audit Office in April 2020 on behalf of the Comptroller and Auditor General (the Code of Audit Practice) we are required to consider whether the Annual Governance Statement does not comply with ‘Delivering Good Governance in Local Government Framework 2016 Edition’ published by CIPFA and SOLACE, or is misleading or inconsistent with the information of which we are aware from our audit. We are not required to consider whether the Annual Governance Statement addresses all risks and controls or that risks are satisfactorily addressed by internal controls. </w:t>
      </w:r>
    </w:p>
    <w:p w14:paraId="59A7B3C4" w14:textId="77777777" w:rsidR="0013394E" w:rsidRPr="0013394E" w:rsidRDefault="0013394E" w:rsidP="0013394E">
      <w:pPr>
        <w:spacing w:after="120" w:line="240" w:lineRule="atLeast"/>
        <w:rPr>
          <w:sz w:val="22"/>
          <w:szCs w:val="22"/>
        </w:rPr>
      </w:pPr>
      <w:r w:rsidRPr="0013394E">
        <w:rPr>
          <w:sz w:val="22"/>
          <w:szCs w:val="22"/>
        </w:rPr>
        <w:t>We have nothing to report in this regard.</w:t>
      </w:r>
    </w:p>
    <w:p w14:paraId="11A84225" w14:textId="77777777" w:rsidR="0013394E" w:rsidRPr="0013394E" w:rsidRDefault="0013394E" w:rsidP="0013394E">
      <w:pPr>
        <w:keepNext/>
        <w:spacing w:before="240" w:after="120" w:line="240" w:lineRule="atLeast"/>
        <w:outlineLvl w:val="2"/>
        <w:rPr>
          <w:rFonts w:cs="Arial"/>
          <w:b/>
          <w:bCs/>
          <w:color w:val="4F2D7F"/>
          <w:kern w:val="32"/>
          <w:sz w:val="22"/>
          <w:szCs w:val="22"/>
        </w:rPr>
      </w:pPr>
      <w:bookmarkStart w:id="102" w:name="_Toc156816138"/>
      <w:bookmarkStart w:id="103" w:name="_Toc156818274"/>
      <w:bookmarkStart w:id="104" w:name="_Toc156820539"/>
      <w:bookmarkStart w:id="105" w:name="_Toc165295281"/>
      <w:bookmarkStart w:id="106" w:name="_Toc167965779"/>
      <w:r w:rsidRPr="0013394E">
        <w:rPr>
          <w:rFonts w:cs="Arial"/>
          <w:b/>
          <w:bCs/>
          <w:color w:val="4F2D7F"/>
          <w:kern w:val="32"/>
          <w:sz w:val="22"/>
          <w:szCs w:val="22"/>
        </w:rPr>
        <w:t>Opinion on other matters required by the Code of Audit Practice</w:t>
      </w:r>
      <w:bookmarkEnd w:id="102"/>
      <w:bookmarkEnd w:id="103"/>
      <w:bookmarkEnd w:id="104"/>
      <w:bookmarkEnd w:id="105"/>
      <w:bookmarkEnd w:id="106"/>
      <w:r w:rsidRPr="0013394E">
        <w:rPr>
          <w:rFonts w:cs="Arial"/>
          <w:b/>
          <w:bCs/>
          <w:color w:val="4F2D7F"/>
          <w:kern w:val="32"/>
          <w:sz w:val="22"/>
          <w:szCs w:val="22"/>
        </w:rPr>
        <w:t xml:space="preserve"> </w:t>
      </w:r>
    </w:p>
    <w:p w14:paraId="7EFE340B" w14:textId="77777777" w:rsidR="0013394E" w:rsidRPr="0013394E" w:rsidRDefault="0013394E" w:rsidP="0013394E">
      <w:pPr>
        <w:spacing w:after="120" w:line="240" w:lineRule="atLeast"/>
        <w:rPr>
          <w:sz w:val="22"/>
          <w:szCs w:val="22"/>
        </w:rPr>
      </w:pPr>
      <w:r w:rsidRPr="0013394E">
        <w:rPr>
          <w:sz w:val="22"/>
          <w:szCs w:val="22"/>
        </w:rPr>
        <w:t>In our opinion, based on the work undertaken in the course of the audit of the financial statements, the other information published together with the financial statements in the Statement of Accounts for the financial year for which the financial statements are prepared is consistent with the financial statements.</w:t>
      </w:r>
    </w:p>
    <w:p w14:paraId="791F8972" w14:textId="77777777" w:rsidR="0013394E" w:rsidRPr="0013394E" w:rsidRDefault="0013394E" w:rsidP="0013394E">
      <w:pPr>
        <w:keepNext/>
        <w:spacing w:before="240" w:after="120" w:line="240" w:lineRule="atLeast"/>
        <w:outlineLvl w:val="2"/>
        <w:rPr>
          <w:rFonts w:cs="Arial"/>
          <w:b/>
          <w:bCs/>
          <w:color w:val="4F2D7F"/>
          <w:kern w:val="32"/>
          <w:sz w:val="22"/>
          <w:szCs w:val="22"/>
        </w:rPr>
      </w:pPr>
      <w:bookmarkStart w:id="107" w:name="_Toc156816139"/>
      <w:bookmarkStart w:id="108" w:name="_Toc156818275"/>
      <w:bookmarkStart w:id="109" w:name="_Toc156820540"/>
      <w:bookmarkStart w:id="110" w:name="_Toc165295282"/>
      <w:bookmarkStart w:id="111" w:name="_Toc167965780"/>
      <w:r w:rsidRPr="0013394E">
        <w:rPr>
          <w:rFonts w:cs="Arial"/>
          <w:b/>
          <w:bCs/>
          <w:color w:val="4F2D7F"/>
          <w:kern w:val="32"/>
          <w:sz w:val="22"/>
          <w:szCs w:val="22"/>
        </w:rPr>
        <w:t>Matters on which we are required to report by exception</w:t>
      </w:r>
      <w:bookmarkEnd w:id="107"/>
      <w:bookmarkEnd w:id="108"/>
      <w:bookmarkEnd w:id="109"/>
      <w:bookmarkEnd w:id="110"/>
      <w:bookmarkEnd w:id="111"/>
    </w:p>
    <w:p w14:paraId="49E8D991" w14:textId="77777777" w:rsidR="0013394E" w:rsidRPr="0013394E" w:rsidRDefault="0013394E" w:rsidP="0013394E">
      <w:pPr>
        <w:spacing w:after="120" w:line="240" w:lineRule="atLeast"/>
        <w:rPr>
          <w:sz w:val="22"/>
          <w:szCs w:val="22"/>
        </w:rPr>
      </w:pPr>
      <w:r w:rsidRPr="0013394E">
        <w:rPr>
          <w:sz w:val="22"/>
          <w:szCs w:val="22"/>
        </w:rPr>
        <w:t>Under the Code of Audit Practice, we are required to report to you if:</w:t>
      </w:r>
    </w:p>
    <w:p w14:paraId="04EF72F6" w14:textId="77777777" w:rsidR="0013394E" w:rsidRPr="003859E6" w:rsidRDefault="0013394E" w:rsidP="003859E6">
      <w:pPr>
        <w:pStyle w:val="ListParagraph"/>
        <w:numPr>
          <w:ilvl w:val="0"/>
          <w:numId w:val="46"/>
        </w:numPr>
        <w:tabs>
          <w:tab w:val="num" w:pos="284"/>
        </w:tabs>
        <w:spacing w:after="120" w:line="240" w:lineRule="atLeast"/>
        <w:rPr>
          <w:sz w:val="22"/>
          <w:szCs w:val="22"/>
          <w:u w:val="none"/>
        </w:rPr>
      </w:pPr>
      <w:r w:rsidRPr="003859E6">
        <w:rPr>
          <w:sz w:val="22"/>
          <w:szCs w:val="22"/>
          <w:u w:val="none"/>
        </w:rPr>
        <w:t>we issue a report in the public interest under section 24 of the Local Audit and Accountability Act 2014 in the course of, or at the conclusion of the audit; or</w:t>
      </w:r>
    </w:p>
    <w:p w14:paraId="7119EE54" w14:textId="77777777" w:rsidR="0013394E" w:rsidRPr="003859E6" w:rsidRDefault="0013394E" w:rsidP="003859E6">
      <w:pPr>
        <w:pStyle w:val="ListParagraph"/>
        <w:numPr>
          <w:ilvl w:val="0"/>
          <w:numId w:val="46"/>
        </w:numPr>
        <w:tabs>
          <w:tab w:val="num" w:pos="284"/>
        </w:tabs>
        <w:spacing w:after="120" w:line="240" w:lineRule="atLeast"/>
        <w:rPr>
          <w:sz w:val="22"/>
          <w:szCs w:val="22"/>
          <w:u w:val="none"/>
        </w:rPr>
      </w:pPr>
      <w:r w:rsidRPr="003859E6">
        <w:rPr>
          <w:sz w:val="22"/>
          <w:szCs w:val="22"/>
          <w:u w:val="none"/>
        </w:rPr>
        <w:lastRenderedPageBreak/>
        <w:t>we make a written recommendation to the Authority under section 24 of the Local Audit and Accountability Act 2014 in the course of, or at the conclusion of the audit; or</w:t>
      </w:r>
    </w:p>
    <w:p w14:paraId="0AD8F7BE" w14:textId="77777777" w:rsidR="0013394E" w:rsidRPr="003859E6" w:rsidRDefault="0013394E" w:rsidP="003859E6">
      <w:pPr>
        <w:pStyle w:val="ListParagraph"/>
        <w:numPr>
          <w:ilvl w:val="0"/>
          <w:numId w:val="46"/>
        </w:numPr>
        <w:tabs>
          <w:tab w:val="num" w:pos="284"/>
        </w:tabs>
        <w:spacing w:after="120" w:line="240" w:lineRule="atLeast"/>
        <w:rPr>
          <w:sz w:val="22"/>
          <w:szCs w:val="22"/>
          <w:u w:val="none"/>
        </w:rPr>
      </w:pPr>
      <w:r w:rsidRPr="003859E6">
        <w:rPr>
          <w:sz w:val="22"/>
          <w:szCs w:val="22"/>
          <w:u w:val="none"/>
        </w:rPr>
        <w:t xml:space="preserve">we make an application to the court for a declaration that an item of account is contrary to law under Section 28 of the Local Audit and Accountability Act 2014 in the course of, or at the conclusion of the audit; or; </w:t>
      </w:r>
    </w:p>
    <w:p w14:paraId="40A4E4CD" w14:textId="77777777" w:rsidR="0013394E" w:rsidRPr="003859E6" w:rsidRDefault="0013394E" w:rsidP="003859E6">
      <w:pPr>
        <w:pStyle w:val="ListParagraph"/>
        <w:numPr>
          <w:ilvl w:val="0"/>
          <w:numId w:val="46"/>
        </w:numPr>
        <w:tabs>
          <w:tab w:val="num" w:pos="284"/>
        </w:tabs>
        <w:spacing w:after="120" w:line="240" w:lineRule="atLeast"/>
        <w:rPr>
          <w:sz w:val="22"/>
          <w:szCs w:val="22"/>
          <w:u w:val="none"/>
        </w:rPr>
      </w:pPr>
      <w:r w:rsidRPr="003859E6">
        <w:rPr>
          <w:sz w:val="22"/>
          <w:szCs w:val="22"/>
          <w:u w:val="none"/>
        </w:rPr>
        <w:t xml:space="preserve">we issue an advisory notice under Section 29 of the Local Audit and Accountability Act 2014 in the course of, or at the conclusion of the audit; or </w:t>
      </w:r>
    </w:p>
    <w:p w14:paraId="10EA6FD5" w14:textId="77777777" w:rsidR="0013394E" w:rsidRPr="003859E6" w:rsidRDefault="0013394E" w:rsidP="003859E6">
      <w:pPr>
        <w:pStyle w:val="ListParagraph"/>
        <w:numPr>
          <w:ilvl w:val="0"/>
          <w:numId w:val="46"/>
        </w:numPr>
        <w:tabs>
          <w:tab w:val="num" w:pos="284"/>
        </w:tabs>
        <w:spacing w:after="120" w:line="240" w:lineRule="atLeast"/>
        <w:rPr>
          <w:sz w:val="22"/>
          <w:szCs w:val="22"/>
          <w:u w:val="none"/>
        </w:rPr>
      </w:pPr>
      <w:r w:rsidRPr="003859E6">
        <w:rPr>
          <w:sz w:val="22"/>
          <w:szCs w:val="22"/>
          <w:u w:val="none"/>
        </w:rPr>
        <w:t>we make an application for judicial review under Section 31 of the Local Audit and Accountability Act 2014, in the course of, or at the conclusion of the audit.</w:t>
      </w:r>
    </w:p>
    <w:p w14:paraId="0CD0EC50" w14:textId="77777777" w:rsidR="0013394E" w:rsidRPr="0013394E" w:rsidRDefault="0013394E" w:rsidP="0013394E">
      <w:pPr>
        <w:spacing w:after="120" w:line="240" w:lineRule="atLeast"/>
        <w:rPr>
          <w:sz w:val="22"/>
          <w:szCs w:val="22"/>
        </w:rPr>
      </w:pPr>
      <w:r w:rsidRPr="0013394E">
        <w:rPr>
          <w:sz w:val="22"/>
          <w:szCs w:val="22"/>
        </w:rPr>
        <w:t>We have nothing to report in respect of the above matters.</w:t>
      </w:r>
    </w:p>
    <w:p w14:paraId="460679CD" w14:textId="77777777" w:rsidR="0013394E" w:rsidRPr="0013394E" w:rsidRDefault="0013394E" w:rsidP="0013394E">
      <w:pPr>
        <w:keepNext/>
        <w:spacing w:before="240" w:after="120" w:line="240" w:lineRule="atLeast"/>
        <w:outlineLvl w:val="2"/>
        <w:rPr>
          <w:rFonts w:cs="Arial"/>
          <w:b/>
          <w:bCs/>
          <w:color w:val="4F2D7F"/>
          <w:kern w:val="32"/>
          <w:sz w:val="22"/>
          <w:szCs w:val="22"/>
        </w:rPr>
      </w:pPr>
      <w:bookmarkStart w:id="112" w:name="_Toc156816140"/>
      <w:bookmarkStart w:id="113" w:name="_Toc156818276"/>
      <w:bookmarkStart w:id="114" w:name="_Toc156820541"/>
      <w:bookmarkStart w:id="115" w:name="_Toc165295283"/>
      <w:bookmarkStart w:id="116" w:name="_Toc167965781"/>
      <w:r w:rsidRPr="0013394E">
        <w:rPr>
          <w:rFonts w:cs="Arial"/>
          <w:b/>
          <w:bCs/>
          <w:color w:val="4F2D7F"/>
          <w:kern w:val="32"/>
          <w:sz w:val="22"/>
          <w:szCs w:val="22"/>
        </w:rPr>
        <w:t>Responsibilities of the Authority and the Head of Resources (S151 Officer)</w:t>
      </w:r>
      <w:bookmarkEnd w:id="112"/>
      <w:bookmarkEnd w:id="113"/>
      <w:bookmarkEnd w:id="114"/>
      <w:bookmarkEnd w:id="115"/>
      <w:bookmarkEnd w:id="116"/>
    </w:p>
    <w:p w14:paraId="017B84EB" w14:textId="77777777" w:rsidR="0013394E" w:rsidRPr="0013394E" w:rsidRDefault="0013394E" w:rsidP="0013394E">
      <w:pPr>
        <w:spacing w:after="120" w:line="240" w:lineRule="atLeast"/>
        <w:rPr>
          <w:iCs/>
          <w:sz w:val="22"/>
          <w:szCs w:val="22"/>
        </w:rPr>
      </w:pPr>
      <w:r w:rsidRPr="0013394E">
        <w:rPr>
          <w:sz w:val="22"/>
          <w:szCs w:val="22"/>
        </w:rPr>
        <w:t>As explained more fully in the Statement of Responsibilities, the Authority is required to make arrangements for the proper administration of its financial affairs and to secure that one of its officers has the responsibility for the administration of those affairs. In this Authority, that officer is the Head of Resources (S151 Officer). The Head of Resources (S151 Officer) is responsible for the preparation of the Statement of Accounts, which includes the financial statements, in accordance with proper practices as set out in the CIPFA/LASAAC C</w:t>
      </w:r>
      <w:r w:rsidRPr="0013394E">
        <w:rPr>
          <w:iCs/>
          <w:sz w:val="22"/>
          <w:szCs w:val="22"/>
        </w:rPr>
        <w:t xml:space="preserve">ode of Practice on Local Authority Accounting in the United Kingdom 2022/23, for being satisfied that they </w:t>
      </w:r>
      <w:r w:rsidRPr="0013394E">
        <w:rPr>
          <w:sz w:val="22"/>
          <w:szCs w:val="22"/>
        </w:rPr>
        <w:t>give a true and fair view, and for such internal control as the Head of Resources (S151 Officer)  determines is necessary to enable the preparation of financial statements that are free from material misstatement, whether due to fraud or error</w:t>
      </w:r>
      <w:r w:rsidRPr="0013394E">
        <w:rPr>
          <w:iCs/>
          <w:sz w:val="22"/>
          <w:szCs w:val="22"/>
        </w:rPr>
        <w:t xml:space="preserve">. </w:t>
      </w:r>
    </w:p>
    <w:p w14:paraId="7AA6DDDF" w14:textId="77777777" w:rsidR="0013394E" w:rsidRPr="0013394E" w:rsidRDefault="0013394E" w:rsidP="0013394E">
      <w:pPr>
        <w:spacing w:after="120" w:line="240" w:lineRule="atLeast"/>
        <w:rPr>
          <w:sz w:val="22"/>
          <w:szCs w:val="22"/>
        </w:rPr>
      </w:pPr>
      <w:r w:rsidRPr="0013394E">
        <w:rPr>
          <w:sz w:val="22"/>
          <w:szCs w:val="22"/>
        </w:rPr>
        <w:t>In preparing the financial statements, the Head of Resources (S151 Officer) is responsible for assessing the Authority’s ability to continue as a going concern, disclosing, as applicable, matters related to going concern and using the going concern basis of accounting unless they have been informed by the relevant national body of the intention to dissolve the Authority without the transfer of its services to another public sector entity.</w:t>
      </w:r>
    </w:p>
    <w:p w14:paraId="6E9A9E2F" w14:textId="77777777" w:rsidR="0013394E" w:rsidRPr="0013394E" w:rsidRDefault="0013394E" w:rsidP="0013394E">
      <w:pPr>
        <w:keepNext/>
        <w:spacing w:before="240" w:after="120" w:line="240" w:lineRule="atLeast"/>
        <w:outlineLvl w:val="2"/>
        <w:rPr>
          <w:rFonts w:cs="Arial"/>
          <w:b/>
          <w:bCs/>
          <w:color w:val="4F2D7F"/>
          <w:kern w:val="32"/>
          <w:sz w:val="22"/>
          <w:szCs w:val="22"/>
        </w:rPr>
      </w:pPr>
      <w:bookmarkStart w:id="117" w:name="_Toc156816141"/>
      <w:bookmarkStart w:id="118" w:name="_Toc156818277"/>
      <w:bookmarkStart w:id="119" w:name="_Toc156820542"/>
      <w:bookmarkStart w:id="120" w:name="_Toc165295284"/>
      <w:bookmarkStart w:id="121" w:name="_Toc167965782"/>
      <w:r w:rsidRPr="0013394E">
        <w:rPr>
          <w:rFonts w:cs="Arial"/>
          <w:b/>
          <w:bCs/>
          <w:color w:val="4F2D7F"/>
          <w:kern w:val="32"/>
          <w:sz w:val="22"/>
          <w:szCs w:val="22"/>
        </w:rPr>
        <w:t>Auditor’s responsibilities for the audit of the financial statements</w:t>
      </w:r>
      <w:bookmarkEnd w:id="117"/>
      <w:bookmarkEnd w:id="118"/>
      <w:bookmarkEnd w:id="119"/>
      <w:bookmarkEnd w:id="120"/>
      <w:bookmarkEnd w:id="121"/>
    </w:p>
    <w:p w14:paraId="3CB3654A" w14:textId="77777777" w:rsidR="0013394E" w:rsidRPr="0013394E" w:rsidRDefault="0013394E" w:rsidP="0013394E">
      <w:pPr>
        <w:spacing w:after="120" w:line="240" w:lineRule="atLeast"/>
        <w:rPr>
          <w:sz w:val="22"/>
          <w:szCs w:val="22"/>
        </w:rPr>
      </w:pPr>
      <w:r w:rsidRPr="0013394E">
        <w:rPr>
          <w:sz w:val="22"/>
          <w:szCs w:val="22"/>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w:t>
      </w:r>
    </w:p>
    <w:p w14:paraId="4941973B" w14:textId="77777777" w:rsidR="0013394E" w:rsidRPr="0013394E" w:rsidRDefault="0013394E" w:rsidP="0013394E">
      <w:pPr>
        <w:spacing w:after="120" w:line="240" w:lineRule="atLeast"/>
        <w:rPr>
          <w:sz w:val="22"/>
          <w:szCs w:val="22"/>
        </w:rPr>
      </w:pPr>
      <w:r w:rsidRPr="0013394E">
        <w:rPr>
          <w:sz w:val="22"/>
          <w:szCs w:val="22"/>
        </w:rPr>
        <w:t>Misstatements can arise from fraud or error and are considered material if, individually or in the aggregate, they could reasonably be expected to influence the economic decisions of users taken on the basis of these financial statements. Irregularities, including fraud, are instances of non-compliance with laws and regulations. The extent to which our procedures are capable of detecting irregularities, including fraud, is detailed below.</w:t>
      </w:r>
    </w:p>
    <w:p w14:paraId="745399FB" w14:textId="77777777" w:rsidR="0013394E" w:rsidRPr="0013394E" w:rsidRDefault="0013394E" w:rsidP="0013394E">
      <w:pPr>
        <w:spacing w:after="120" w:line="240" w:lineRule="atLeast"/>
        <w:rPr>
          <w:color w:val="000000"/>
          <w:sz w:val="22"/>
          <w:szCs w:val="22"/>
        </w:rPr>
      </w:pPr>
      <w:r w:rsidRPr="0013394E">
        <w:rPr>
          <w:rFonts w:cs="Arial"/>
          <w:color w:val="000000"/>
          <w:sz w:val="22"/>
          <w:szCs w:val="22"/>
          <w:shd w:val="clear" w:color="auto" w:fill="FFFFFF"/>
        </w:rPr>
        <w:t xml:space="preserve">We obtained an understanding of the legal and regulatory frameworks that are applicable to the Authority and determined that the most significant which are directly relevant to specific assertions in the financial statements are </w:t>
      </w:r>
      <w:bookmarkStart w:id="122" w:name="_Hlk78787430"/>
      <w:r w:rsidRPr="0013394E">
        <w:rPr>
          <w:rFonts w:cs="Arial"/>
          <w:color w:val="000000"/>
          <w:sz w:val="22"/>
          <w:szCs w:val="22"/>
          <w:shd w:val="clear" w:color="auto" w:fill="FFFFFF"/>
        </w:rPr>
        <w:t>those related to the reporting frameworks (</w:t>
      </w:r>
      <w:bookmarkStart w:id="123" w:name="_Hlk138402724"/>
      <w:r w:rsidRPr="0013394E">
        <w:rPr>
          <w:sz w:val="22"/>
          <w:szCs w:val="22"/>
        </w:rPr>
        <w:t xml:space="preserve">the CIPFA/LASAAC Code of Practice on Local Authority Accounting in the United Kingdom 2022/23, </w:t>
      </w:r>
      <w:bookmarkStart w:id="124" w:name="_Hlk85622837"/>
      <w:bookmarkStart w:id="125" w:name="_Hlk79660882"/>
      <w:bookmarkEnd w:id="122"/>
      <w:r w:rsidRPr="0013394E">
        <w:rPr>
          <w:sz w:val="22"/>
          <w:szCs w:val="22"/>
        </w:rPr>
        <w:t xml:space="preserve">the Local Audit and Accountability Act 2014, </w:t>
      </w:r>
      <w:r w:rsidRPr="0013394E">
        <w:rPr>
          <w:sz w:val="22"/>
          <w:szCs w:val="22"/>
          <w:shd w:val="clear" w:color="auto" w:fill="FFFFFF"/>
        </w:rPr>
        <w:t xml:space="preserve">the </w:t>
      </w:r>
      <w:r w:rsidRPr="0013394E">
        <w:rPr>
          <w:sz w:val="22"/>
          <w:szCs w:val="22"/>
        </w:rPr>
        <w:t>Accounts and Audit Regulations 2015 and the Local Government Act 2003</w:t>
      </w:r>
      <w:bookmarkEnd w:id="123"/>
      <w:bookmarkEnd w:id="124"/>
      <w:r w:rsidRPr="0013394E">
        <w:rPr>
          <w:sz w:val="22"/>
          <w:szCs w:val="22"/>
        </w:rPr>
        <w:t>).</w:t>
      </w:r>
      <w:bookmarkEnd w:id="125"/>
    </w:p>
    <w:p w14:paraId="4647336F" w14:textId="77777777" w:rsidR="0013394E" w:rsidRPr="0013394E" w:rsidRDefault="0013394E" w:rsidP="0013394E">
      <w:pPr>
        <w:spacing w:line="240" w:lineRule="atLeast"/>
        <w:rPr>
          <w:rFonts w:cs="Arial"/>
          <w:sz w:val="22"/>
          <w:szCs w:val="22"/>
          <w:lang w:eastAsia="en-GB"/>
        </w:rPr>
      </w:pPr>
      <w:r w:rsidRPr="0013394E">
        <w:rPr>
          <w:rFonts w:cs="Arial"/>
          <w:sz w:val="22"/>
          <w:szCs w:val="22"/>
          <w:lang w:eastAsia="en-GB"/>
        </w:rPr>
        <w:t>We enquired of management and the Governance Committee concerning the Authority’s policies and procedures relating to: </w:t>
      </w:r>
    </w:p>
    <w:p w14:paraId="348D0FE7" w14:textId="77777777" w:rsidR="0013394E" w:rsidRPr="0013394E" w:rsidRDefault="0013394E" w:rsidP="003859E6">
      <w:pPr>
        <w:numPr>
          <w:ilvl w:val="0"/>
          <w:numId w:val="42"/>
        </w:numPr>
        <w:spacing w:after="120" w:line="240" w:lineRule="atLeast"/>
        <w:ind w:left="924" w:hanging="357"/>
        <w:rPr>
          <w:sz w:val="22"/>
          <w:szCs w:val="22"/>
          <w:lang w:eastAsia="en-GB"/>
        </w:rPr>
      </w:pPr>
      <w:r w:rsidRPr="0013394E">
        <w:rPr>
          <w:rFonts w:cs="Arial"/>
          <w:sz w:val="22"/>
          <w:szCs w:val="22"/>
          <w:lang w:eastAsia="en-GB"/>
        </w:rPr>
        <w:t>the identification, evaluation and compliance with laws and regulations;</w:t>
      </w:r>
    </w:p>
    <w:p w14:paraId="22A7DDF2" w14:textId="77777777" w:rsidR="0013394E" w:rsidRPr="0013394E" w:rsidRDefault="0013394E" w:rsidP="003859E6">
      <w:pPr>
        <w:numPr>
          <w:ilvl w:val="0"/>
          <w:numId w:val="42"/>
        </w:numPr>
        <w:spacing w:after="120" w:line="240" w:lineRule="atLeast"/>
        <w:ind w:left="924" w:hanging="357"/>
        <w:rPr>
          <w:sz w:val="22"/>
          <w:szCs w:val="22"/>
          <w:lang w:eastAsia="en-GB"/>
        </w:rPr>
      </w:pPr>
      <w:r w:rsidRPr="0013394E">
        <w:rPr>
          <w:rFonts w:cs="Arial"/>
          <w:sz w:val="22"/>
          <w:szCs w:val="22"/>
          <w:lang w:eastAsia="en-GB"/>
        </w:rPr>
        <w:t>the detection and response to the risks of fraud; and</w:t>
      </w:r>
    </w:p>
    <w:p w14:paraId="1CFA5C44" w14:textId="77777777" w:rsidR="0013394E" w:rsidRPr="0013394E" w:rsidRDefault="0013394E" w:rsidP="003859E6">
      <w:pPr>
        <w:numPr>
          <w:ilvl w:val="0"/>
          <w:numId w:val="42"/>
        </w:numPr>
        <w:spacing w:after="120" w:line="240" w:lineRule="atLeast"/>
        <w:ind w:left="924" w:hanging="357"/>
        <w:rPr>
          <w:sz w:val="22"/>
          <w:szCs w:val="22"/>
          <w:lang w:eastAsia="en-GB"/>
        </w:rPr>
      </w:pPr>
      <w:r w:rsidRPr="0013394E">
        <w:rPr>
          <w:rFonts w:cs="Arial"/>
          <w:sz w:val="22"/>
          <w:szCs w:val="22"/>
          <w:lang w:eastAsia="en-GB"/>
        </w:rPr>
        <w:t>the establishment of internal controls to mitigate risks related to fraud or non-compliance with laws and regulations. </w:t>
      </w:r>
    </w:p>
    <w:p w14:paraId="4BB25DE4" w14:textId="77777777" w:rsidR="0013394E" w:rsidRPr="0013394E" w:rsidRDefault="0013394E" w:rsidP="0013394E">
      <w:pPr>
        <w:spacing w:after="120"/>
        <w:rPr>
          <w:rFonts w:cs="Arial"/>
          <w:sz w:val="22"/>
          <w:szCs w:val="22"/>
          <w:lang w:eastAsia="en-GB"/>
        </w:rPr>
      </w:pPr>
      <w:r w:rsidRPr="0013394E">
        <w:rPr>
          <w:rFonts w:cs="Arial"/>
          <w:sz w:val="22"/>
          <w:szCs w:val="22"/>
          <w:lang w:eastAsia="en-GB"/>
        </w:rPr>
        <w:lastRenderedPageBreak/>
        <w:t>We enquired of management, internal audit and the Governance Committee, whether they were aware of any instances of non-compliance with laws and regulations or whether they had any knowledge of actual, suspected or alleged fraud. </w:t>
      </w:r>
    </w:p>
    <w:p w14:paraId="14C8CEB8" w14:textId="77777777" w:rsidR="0013394E" w:rsidRPr="0013394E" w:rsidRDefault="0013394E" w:rsidP="0013394E">
      <w:pPr>
        <w:spacing w:after="120" w:line="240" w:lineRule="atLeast"/>
        <w:rPr>
          <w:sz w:val="22"/>
          <w:szCs w:val="22"/>
          <w:lang w:eastAsia="en-GB"/>
        </w:rPr>
      </w:pPr>
      <w:r w:rsidRPr="0013394E">
        <w:rPr>
          <w:sz w:val="22"/>
          <w:szCs w:val="22"/>
          <w:lang w:eastAsia="en-GB"/>
        </w:rPr>
        <w:t>We assessed the susceptibility of the Authority’s financial statements to material misstatement, including how fraud might occur, by evaluating management’s incentives and opportunities for manipulation of the financial statements. This included the evaluation of the risk of management override of controls. We determined that the principal risks were in relation to, material closing journals, journals posted by senior management, journals posted post year end above a certain threshold and journals posted in March above a certain threshold.</w:t>
      </w:r>
    </w:p>
    <w:p w14:paraId="76AF28FB" w14:textId="77777777" w:rsidR="0013394E" w:rsidRPr="0013394E" w:rsidRDefault="0013394E" w:rsidP="0013394E">
      <w:pPr>
        <w:spacing w:after="120" w:line="240" w:lineRule="atLeast"/>
        <w:rPr>
          <w:sz w:val="22"/>
          <w:szCs w:val="22"/>
          <w:lang w:eastAsia="en-GB"/>
        </w:rPr>
      </w:pPr>
      <w:r w:rsidRPr="0013394E">
        <w:rPr>
          <w:sz w:val="22"/>
          <w:szCs w:val="22"/>
          <w:lang w:eastAsia="en-GB"/>
        </w:rPr>
        <w:t>Our audit procedures involved: </w:t>
      </w:r>
    </w:p>
    <w:p w14:paraId="38C4119B" w14:textId="77777777" w:rsidR="0013394E" w:rsidRPr="0013394E" w:rsidRDefault="0013394E" w:rsidP="003859E6">
      <w:pPr>
        <w:numPr>
          <w:ilvl w:val="0"/>
          <w:numId w:val="43"/>
        </w:numPr>
        <w:spacing w:after="120" w:line="240" w:lineRule="atLeast"/>
        <w:ind w:left="924" w:hanging="357"/>
        <w:rPr>
          <w:sz w:val="22"/>
          <w:szCs w:val="22"/>
          <w:lang w:eastAsia="en-GB"/>
        </w:rPr>
      </w:pPr>
      <w:r w:rsidRPr="0013394E">
        <w:rPr>
          <w:sz w:val="22"/>
          <w:szCs w:val="22"/>
          <w:lang w:eastAsia="en-GB"/>
        </w:rPr>
        <w:t>evaluation of the design effectiveness of controls that management has in place to prevent and detect fraud</w:t>
      </w:r>
    </w:p>
    <w:p w14:paraId="54E43ADA" w14:textId="77777777" w:rsidR="0013394E" w:rsidRPr="0013394E" w:rsidRDefault="0013394E" w:rsidP="003859E6">
      <w:pPr>
        <w:numPr>
          <w:ilvl w:val="0"/>
          <w:numId w:val="43"/>
        </w:numPr>
        <w:spacing w:after="120" w:line="240" w:lineRule="atLeast"/>
        <w:ind w:left="924" w:hanging="357"/>
        <w:rPr>
          <w:sz w:val="22"/>
          <w:szCs w:val="22"/>
          <w:lang w:eastAsia="en-GB"/>
        </w:rPr>
      </w:pPr>
      <w:r w:rsidRPr="0013394E">
        <w:rPr>
          <w:sz w:val="22"/>
          <w:szCs w:val="22"/>
          <w:lang w:eastAsia="en-GB"/>
        </w:rPr>
        <w:t>journal entry testing, with a focus on journals posted by senior management, journals posted post year end above a certain threshold and journals posted in March above a certain threshold</w:t>
      </w:r>
    </w:p>
    <w:p w14:paraId="52B2AB57" w14:textId="77777777" w:rsidR="0013394E" w:rsidRPr="0013394E" w:rsidRDefault="0013394E" w:rsidP="003859E6">
      <w:pPr>
        <w:numPr>
          <w:ilvl w:val="0"/>
          <w:numId w:val="43"/>
        </w:numPr>
        <w:spacing w:after="120" w:line="240" w:lineRule="atLeast"/>
        <w:ind w:left="924" w:hanging="357"/>
        <w:rPr>
          <w:sz w:val="22"/>
          <w:szCs w:val="22"/>
          <w:lang w:eastAsia="en-GB"/>
        </w:rPr>
      </w:pPr>
      <w:r w:rsidRPr="0013394E">
        <w:rPr>
          <w:sz w:val="22"/>
          <w:szCs w:val="22"/>
          <w:lang w:eastAsia="en-GB"/>
        </w:rPr>
        <w:t>challenging assumptions and judgements made by management in its significant accounting estimates in respect of the Authority’s share of the pension fund and land and buildings valuations</w:t>
      </w:r>
    </w:p>
    <w:p w14:paraId="2B6402E5" w14:textId="77777777" w:rsidR="0013394E" w:rsidRPr="0013394E" w:rsidRDefault="0013394E" w:rsidP="003859E6">
      <w:pPr>
        <w:numPr>
          <w:ilvl w:val="0"/>
          <w:numId w:val="43"/>
        </w:numPr>
        <w:spacing w:after="120" w:line="240" w:lineRule="atLeast"/>
        <w:ind w:left="924" w:hanging="357"/>
        <w:rPr>
          <w:sz w:val="22"/>
          <w:szCs w:val="22"/>
          <w:lang w:eastAsia="en-GB"/>
        </w:rPr>
      </w:pPr>
      <w:r w:rsidRPr="0013394E">
        <w:rPr>
          <w:sz w:val="22"/>
          <w:szCs w:val="22"/>
          <w:lang w:eastAsia="en-GB"/>
        </w:rPr>
        <w:t>assessing the extent of compliance with the relevant laws and regulations as part of our procedures on the related financial statement item.</w:t>
      </w:r>
    </w:p>
    <w:p w14:paraId="36CFE050" w14:textId="77777777" w:rsidR="0013394E" w:rsidRPr="0013394E" w:rsidRDefault="0013394E" w:rsidP="0013394E">
      <w:pPr>
        <w:spacing w:after="120" w:line="240" w:lineRule="atLeast"/>
        <w:rPr>
          <w:sz w:val="22"/>
          <w:szCs w:val="22"/>
          <w:lang w:eastAsia="en-GB"/>
        </w:rPr>
      </w:pPr>
      <w:r w:rsidRPr="0013394E">
        <w:rPr>
          <w:sz w:val="22"/>
          <w:szCs w:val="22"/>
          <w:lang w:eastAsia="en-GB"/>
        </w:rPr>
        <w:t>These audit procedures were designed to provide reasonable assurance that the financial statements were free from fraud or error. The risk of not detecting a material misstatement due to fraud is higher than the risk of not detecting one resulting from error and detecting irregularities that result from fraud is inherently more difficult than detecting those that result from error, as fraud may involve collusion, deliberate concealment, forgery or intentional misrepresentations. Also, the further removed non-compliance with laws and regulations is from events and transactions reflected in the financial statements, the less likely we would become aware of it.</w:t>
      </w:r>
    </w:p>
    <w:p w14:paraId="5FDD1DB9" w14:textId="77777777" w:rsidR="0013394E" w:rsidRPr="0013394E" w:rsidRDefault="0013394E" w:rsidP="0013394E">
      <w:pPr>
        <w:spacing w:after="120" w:line="240" w:lineRule="atLeast"/>
        <w:rPr>
          <w:sz w:val="22"/>
          <w:szCs w:val="22"/>
          <w:lang w:eastAsia="en-GB"/>
        </w:rPr>
      </w:pPr>
      <w:r w:rsidRPr="0013394E">
        <w:rPr>
          <w:sz w:val="22"/>
          <w:szCs w:val="22"/>
          <w:lang w:eastAsia="en-GB"/>
        </w:rPr>
        <w:t>We communicated relevant laws and regulations and potential fraud risks to all engagement team members when applicable. We remained alert to any indications of non-compliance with laws and regulations, including fraud, throughout the audit.</w:t>
      </w:r>
    </w:p>
    <w:p w14:paraId="40CA390B" w14:textId="77777777" w:rsidR="0013394E" w:rsidRPr="0013394E" w:rsidRDefault="0013394E" w:rsidP="0013394E">
      <w:pPr>
        <w:spacing w:after="120" w:line="240" w:lineRule="atLeast"/>
        <w:rPr>
          <w:sz w:val="22"/>
          <w:szCs w:val="22"/>
          <w:lang w:eastAsia="en-GB"/>
        </w:rPr>
      </w:pPr>
      <w:r w:rsidRPr="0013394E">
        <w:rPr>
          <w:sz w:val="22"/>
          <w:szCs w:val="22"/>
          <w:lang w:eastAsia="en-GB"/>
        </w:rPr>
        <w:t>Our assessment of the appropriateness of the collective competence and capabilities of the engagement team included consideration of the engagement team's.</w:t>
      </w:r>
    </w:p>
    <w:p w14:paraId="28FB37FC" w14:textId="77777777" w:rsidR="0013394E" w:rsidRPr="0013394E" w:rsidRDefault="0013394E" w:rsidP="003859E6">
      <w:pPr>
        <w:numPr>
          <w:ilvl w:val="0"/>
          <w:numId w:val="44"/>
        </w:numPr>
        <w:spacing w:after="120" w:line="240" w:lineRule="atLeast"/>
        <w:ind w:left="924" w:hanging="357"/>
        <w:rPr>
          <w:sz w:val="22"/>
          <w:szCs w:val="22"/>
          <w:lang w:eastAsia="en-GB"/>
        </w:rPr>
      </w:pPr>
      <w:r w:rsidRPr="0013394E">
        <w:rPr>
          <w:sz w:val="22"/>
          <w:szCs w:val="22"/>
          <w:lang w:eastAsia="en-GB"/>
        </w:rPr>
        <w:t>understanding of, and practical experience with audit engagements of a similar nature and complexity through appropriate training and participation</w:t>
      </w:r>
    </w:p>
    <w:p w14:paraId="489F81FB" w14:textId="77777777" w:rsidR="0013394E" w:rsidRPr="0013394E" w:rsidRDefault="0013394E" w:rsidP="003859E6">
      <w:pPr>
        <w:numPr>
          <w:ilvl w:val="0"/>
          <w:numId w:val="44"/>
        </w:numPr>
        <w:spacing w:after="120" w:line="240" w:lineRule="atLeast"/>
        <w:ind w:left="924" w:hanging="357"/>
        <w:rPr>
          <w:sz w:val="22"/>
          <w:szCs w:val="22"/>
          <w:lang w:eastAsia="en-GB"/>
        </w:rPr>
      </w:pPr>
      <w:r w:rsidRPr="0013394E">
        <w:rPr>
          <w:sz w:val="22"/>
          <w:szCs w:val="22"/>
          <w:lang w:eastAsia="en-GB"/>
        </w:rPr>
        <w:t>knowledge of the local government sector</w:t>
      </w:r>
    </w:p>
    <w:p w14:paraId="2A4A664F" w14:textId="77777777" w:rsidR="0013394E" w:rsidRPr="0013394E" w:rsidRDefault="0013394E" w:rsidP="003859E6">
      <w:pPr>
        <w:numPr>
          <w:ilvl w:val="0"/>
          <w:numId w:val="44"/>
        </w:numPr>
        <w:spacing w:after="120" w:line="240" w:lineRule="atLeast"/>
        <w:ind w:left="924" w:hanging="357"/>
        <w:rPr>
          <w:sz w:val="22"/>
          <w:szCs w:val="22"/>
          <w:lang w:eastAsia="en-GB"/>
        </w:rPr>
      </w:pPr>
      <w:r w:rsidRPr="0013394E">
        <w:rPr>
          <w:sz w:val="22"/>
          <w:szCs w:val="22"/>
          <w:lang w:eastAsia="en-GB"/>
        </w:rPr>
        <w:t>understanding of the legal and regulatory requirements specific to the Authority including:</w:t>
      </w:r>
    </w:p>
    <w:p w14:paraId="03439C4D" w14:textId="77777777" w:rsidR="0013394E" w:rsidRPr="0013394E" w:rsidRDefault="0013394E" w:rsidP="003859E6">
      <w:pPr>
        <w:numPr>
          <w:ilvl w:val="1"/>
          <w:numId w:val="44"/>
        </w:numPr>
        <w:spacing w:after="120" w:line="240" w:lineRule="atLeast"/>
        <w:ind w:left="1378" w:hanging="357"/>
        <w:rPr>
          <w:sz w:val="22"/>
          <w:szCs w:val="22"/>
          <w:lang w:eastAsia="en-GB"/>
        </w:rPr>
      </w:pPr>
      <w:r w:rsidRPr="0013394E">
        <w:rPr>
          <w:sz w:val="22"/>
          <w:szCs w:val="22"/>
          <w:lang w:eastAsia="en-GB"/>
        </w:rPr>
        <w:t>the provisions of the applicable legislation</w:t>
      </w:r>
    </w:p>
    <w:p w14:paraId="53CFE0E8" w14:textId="77777777" w:rsidR="0013394E" w:rsidRPr="0013394E" w:rsidRDefault="0013394E" w:rsidP="003859E6">
      <w:pPr>
        <w:numPr>
          <w:ilvl w:val="1"/>
          <w:numId w:val="44"/>
        </w:numPr>
        <w:spacing w:after="120" w:line="240" w:lineRule="atLeast"/>
        <w:ind w:left="1378" w:hanging="357"/>
        <w:rPr>
          <w:sz w:val="22"/>
          <w:szCs w:val="22"/>
          <w:lang w:eastAsia="en-GB"/>
        </w:rPr>
      </w:pPr>
      <w:r w:rsidRPr="0013394E">
        <w:rPr>
          <w:sz w:val="22"/>
          <w:szCs w:val="22"/>
          <w:lang w:eastAsia="en-GB"/>
        </w:rPr>
        <w:t>guidance issued by CIPFA/LASAAC and SOLACE</w:t>
      </w:r>
    </w:p>
    <w:p w14:paraId="68F40131" w14:textId="77777777" w:rsidR="0013394E" w:rsidRPr="0013394E" w:rsidRDefault="0013394E" w:rsidP="003859E6">
      <w:pPr>
        <w:numPr>
          <w:ilvl w:val="1"/>
          <w:numId w:val="44"/>
        </w:numPr>
        <w:spacing w:after="120" w:line="240" w:lineRule="atLeast"/>
        <w:ind w:left="1378" w:hanging="357"/>
        <w:rPr>
          <w:sz w:val="22"/>
          <w:szCs w:val="22"/>
          <w:lang w:eastAsia="en-GB"/>
        </w:rPr>
      </w:pPr>
      <w:r w:rsidRPr="0013394E">
        <w:rPr>
          <w:sz w:val="22"/>
          <w:szCs w:val="22"/>
          <w:lang w:eastAsia="en-GB"/>
        </w:rPr>
        <w:t>the applicable statutory provisions.</w:t>
      </w:r>
    </w:p>
    <w:p w14:paraId="73DEAEA2" w14:textId="77777777" w:rsidR="0013394E" w:rsidRPr="0013394E" w:rsidRDefault="0013394E" w:rsidP="0013394E">
      <w:pPr>
        <w:spacing w:after="120" w:line="240" w:lineRule="atLeast"/>
        <w:rPr>
          <w:sz w:val="22"/>
          <w:szCs w:val="22"/>
          <w:lang w:eastAsia="en-GB"/>
        </w:rPr>
      </w:pPr>
      <w:r w:rsidRPr="0013394E">
        <w:rPr>
          <w:sz w:val="22"/>
          <w:szCs w:val="22"/>
          <w:lang w:eastAsia="en-GB"/>
        </w:rPr>
        <w:t>In assessing the potential risks of material misstatement, we obtained an understanding of:</w:t>
      </w:r>
    </w:p>
    <w:p w14:paraId="40DE6407" w14:textId="77777777" w:rsidR="0013394E" w:rsidRPr="0013394E" w:rsidRDefault="0013394E" w:rsidP="003859E6">
      <w:pPr>
        <w:numPr>
          <w:ilvl w:val="0"/>
          <w:numId w:val="45"/>
        </w:numPr>
        <w:spacing w:after="120" w:line="240" w:lineRule="atLeast"/>
        <w:ind w:left="924" w:hanging="357"/>
        <w:rPr>
          <w:sz w:val="22"/>
          <w:szCs w:val="22"/>
          <w:lang w:eastAsia="en-GB"/>
        </w:rPr>
      </w:pPr>
      <w:r w:rsidRPr="0013394E">
        <w:rPr>
          <w:sz w:val="22"/>
          <w:szCs w:val="22"/>
          <w:lang w:eastAsia="en-GB"/>
        </w:rPr>
        <w:t>the Authority’s operations, including the nature of its income and expenditure and its services and of its objectives and strategies to understand the classes of transactions, account balances, expected financial statement disclosures and business risks that may result in risks of material misstatement.</w:t>
      </w:r>
    </w:p>
    <w:p w14:paraId="2EB03F07" w14:textId="77777777" w:rsidR="0013394E" w:rsidRPr="0013394E" w:rsidRDefault="0013394E" w:rsidP="003859E6">
      <w:pPr>
        <w:numPr>
          <w:ilvl w:val="0"/>
          <w:numId w:val="45"/>
        </w:numPr>
        <w:spacing w:after="120" w:line="240" w:lineRule="atLeast"/>
        <w:ind w:left="924" w:hanging="357"/>
        <w:rPr>
          <w:sz w:val="22"/>
          <w:szCs w:val="22"/>
          <w:lang w:eastAsia="en-GB"/>
        </w:rPr>
      </w:pPr>
      <w:r w:rsidRPr="0013394E">
        <w:rPr>
          <w:sz w:val="22"/>
          <w:szCs w:val="22"/>
          <w:lang w:eastAsia="en-GB"/>
        </w:rPr>
        <w:t>the Authority's control environment, including the policies and procedures implemented by the Authority to ensure compliance with the requirements of the financial reporting framework.</w:t>
      </w:r>
    </w:p>
    <w:p w14:paraId="3A6ECB42" w14:textId="77777777" w:rsidR="0013394E" w:rsidRPr="0013394E" w:rsidRDefault="0013394E" w:rsidP="0013394E">
      <w:pPr>
        <w:spacing w:after="120" w:line="240" w:lineRule="atLeast"/>
        <w:rPr>
          <w:sz w:val="22"/>
          <w:szCs w:val="22"/>
        </w:rPr>
      </w:pPr>
      <w:r w:rsidRPr="0013394E">
        <w:rPr>
          <w:sz w:val="22"/>
          <w:szCs w:val="22"/>
        </w:rPr>
        <w:lastRenderedPageBreak/>
        <w:t xml:space="preserve">A further description of our responsibilities for the audit of the financial statements is located on the Financial Reporting Council’s website at: </w:t>
      </w:r>
      <w:hyperlink r:id="rId17" w:history="1">
        <w:r w:rsidRPr="0013394E">
          <w:rPr>
            <w:color w:val="0000FF"/>
            <w:sz w:val="22"/>
            <w:szCs w:val="22"/>
            <w:u w:val="single"/>
          </w:rPr>
          <w:t>www.frc.org.uk/auditorsresponsibilities</w:t>
        </w:r>
      </w:hyperlink>
      <w:r w:rsidRPr="0013394E">
        <w:rPr>
          <w:sz w:val="22"/>
          <w:szCs w:val="22"/>
        </w:rPr>
        <w:t>. This description forms part of our auditor’s report.</w:t>
      </w:r>
    </w:p>
    <w:p w14:paraId="4778630A" w14:textId="77777777" w:rsidR="0013394E" w:rsidRPr="0013394E" w:rsidRDefault="0013394E" w:rsidP="0013394E">
      <w:pPr>
        <w:keepNext/>
        <w:spacing w:before="240" w:after="120" w:line="320" w:lineRule="exact"/>
        <w:outlineLvl w:val="1"/>
        <w:rPr>
          <w:rFonts w:cs="Arial"/>
          <w:b/>
          <w:color w:val="4F2D7F"/>
          <w:kern w:val="32"/>
          <w:sz w:val="24"/>
          <w:szCs w:val="24"/>
        </w:rPr>
      </w:pPr>
      <w:bookmarkStart w:id="126" w:name="_Toc156816142"/>
      <w:bookmarkStart w:id="127" w:name="_Toc156818278"/>
      <w:bookmarkStart w:id="128" w:name="_Toc156820543"/>
      <w:bookmarkStart w:id="129" w:name="_Toc165295285"/>
      <w:bookmarkStart w:id="130" w:name="_Toc167965783"/>
      <w:r w:rsidRPr="0013394E">
        <w:rPr>
          <w:rFonts w:cs="Arial"/>
          <w:b/>
          <w:bCs/>
          <w:color w:val="4F2D7F"/>
          <w:kern w:val="32"/>
          <w:sz w:val="24"/>
          <w:szCs w:val="24"/>
        </w:rPr>
        <w:t>Report on other legal and regulatory requirements – the Authority’s arrangements for securing economy, efficiency and effectiveness in its use of resources</w:t>
      </w:r>
      <w:bookmarkEnd w:id="126"/>
      <w:bookmarkEnd w:id="127"/>
      <w:bookmarkEnd w:id="128"/>
      <w:bookmarkEnd w:id="129"/>
      <w:bookmarkEnd w:id="130"/>
    </w:p>
    <w:p w14:paraId="707C5C15" w14:textId="77777777" w:rsidR="0013394E" w:rsidRPr="0013394E" w:rsidRDefault="0013394E" w:rsidP="0013394E">
      <w:pPr>
        <w:spacing w:after="120" w:line="240" w:lineRule="atLeast"/>
        <w:rPr>
          <w:b/>
          <w:color w:val="4F2D7F"/>
          <w:sz w:val="24"/>
          <w:szCs w:val="24"/>
        </w:rPr>
      </w:pPr>
      <w:r w:rsidRPr="0013394E">
        <w:rPr>
          <w:b/>
          <w:color w:val="4F2D7F"/>
          <w:sz w:val="24"/>
          <w:szCs w:val="24"/>
        </w:rPr>
        <w:t>Matter on which we are required to report by exception – the Authority’s arrangements for securing economy, efficiency and effectiveness in its use of resources</w:t>
      </w:r>
    </w:p>
    <w:p w14:paraId="6DE58F95" w14:textId="77777777" w:rsidR="0013394E" w:rsidRPr="0013394E" w:rsidRDefault="0013394E" w:rsidP="0013394E">
      <w:pPr>
        <w:spacing w:after="120" w:line="240" w:lineRule="atLeast"/>
        <w:rPr>
          <w:sz w:val="24"/>
          <w:szCs w:val="24"/>
        </w:rPr>
      </w:pPr>
      <w:r w:rsidRPr="0013394E">
        <w:rPr>
          <w:sz w:val="24"/>
          <w:szCs w:val="24"/>
        </w:rPr>
        <w:t xml:space="preserve">Under the Code of Audit Practice, we are required to report to you if, in our opinion, we have not been able to satisfy ourselves that the Authority has made proper arrangements for securing economy, efficiency and effectiveness in its use of resources for the year ended 31 March 2023.  </w:t>
      </w:r>
    </w:p>
    <w:p w14:paraId="1AC22E02" w14:textId="77777777" w:rsidR="0013394E" w:rsidRPr="0013394E" w:rsidRDefault="0013394E" w:rsidP="0013394E">
      <w:pPr>
        <w:spacing w:after="120" w:line="240" w:lineRule="atLeast"/>
        <w:rPr>
          <w:sz w:val="24"/>
          <w:szCs w:val="24"/>
        </w:rPr>
      </w:pPr>
      <w:r w:rsidRPr="0013394E">
        <w:rPr>
          <w:sz w:val="24"/>
          <w:szCs w:val="24"/>
        </w:rPr>
        <w:t>We have nothing to report in respect of the above matter.</w:t>
      </w:r>
    </w:p>
    <w:p w14:paraId="266BC557" w14:textId="77777777" w:rsidR="0013394E" w:rsidRPr="0013394E" w:rsidRDefault="0013394E" w:rsidP="0013394E">
      <w:pPr>
        <w:keepNext/>
        <w:spacing w:before="240" w:after="120" w:line="240" w:lineRule="atLeast"/>
        <w:outlineLvl w:val="2"/>
        <w:rPr>
          <w:rFonts w:cs="Arial"/>
          <w:b/>
          <w:bCs/>
          <w:color w:val="4F2D7F"/>
          <w:kern w:val="32"/>
          <w:sz w:val="24"/>
          <w:szCs w:val="24"/>
        </w:rPr>
      </w:pPr>
      <w:bookmarkStart w:id="131" w:name="_Toc156816143"/>
      <w:bookmarkStart w:id="132" w:name="_Toc156818279"/>
      <w:bookmarkStart w:id="133" w:name="_Toc156820544"/>
      <w:bookmarkStart w:id="134" w:name="_Toc165295286"/>
      <w:bookmarkStart w:id="135" w:name="_Toc167965784"/>
      <w:r w:rsidRPr="0013394E">
        <w:rPr>
          <w:rFonts w:cs="Arial"/>
          <w:b/>
          <w:bCs/>
          <w:color w:val="4F2D7F"/>
          <w:kern w:val="32"/>
          <w:sz w:val="24"/>
          <w:szCs w:val="24"/>
        </w:rPr>
        <w:t>Responsibilities of the Authority</w:t>
      </w:r>
      <w:bookmarkEnd w:id="131"/>
      <w:bookmarkEnd w:id="132"/>
      <w:bookmarkEnd w:id="133"/>
      <w:bookmarkEnd w:id="134"/>
      <w:bookmarkEnd w:id="135"/>
    </w:p>
    <w:p w14:paraId="0F7E6071" w14:textId="77777777" w:rsidR="0013394E" w:rsidRPr="0013394E" w:rsidRDefault="0013394E" w:rsidP="0013394E">
      <w:pPr>
        <w:spacing w:after="120" w:line="240" w:lineRule="atLeast"/>
        <w:rPr>
          <w:sz w:val="24"/>
          <w:szCs w:val="24"/>
        </w:rPr>
      </w:pPr>
      <w:r w:rsidRPr="0013394E">
        <w:rPr>
          <w:sz w:val="24"/>
          <w:szCs w:val="24"/>
        </w:rPr>
        <w:t>The Authority is responsible for putting in place proper arrangements for securing economy, efficiency and effectiveness in its use of resources.</w:t>
      </w:r>
    </w:p>
    <w:p w14:paraId="7E468D9D" w14:textId="77777777" w:rsidR="0013394E" w:rsidRPr="0013394E" w:rsidRDefault="0013394E" w:rsidP="0013394E">
      <w:pPr>
        <w:keepNext/>
        <w:spacing w:before="240" w:after="120" w:line="240" w:lineRule="atLeast"/>
        <w:outlineLvl w:val="2"/>
        <w:rPr>
          <w:rFonts w:cs="Arial"/>
          <w:b/>
          <w:bCs/>
          <w:color w:val="4F2D7F"/>
          <w:kern w:val="32"/>
          <w:sz w:val="24"/>
          <w:szCs w:val="24"/>
        </w:rPr>
      </w:pPr>
      <w:bookmarkStart w:id="136" w:name="_Toc156816144"/>
      <w:bookmarkStart w:id="137" w:name="_Toc156818280"/>
      <w:bookmarkStart w:id="138" w:name="_Toc156820545"/>
      <w:bookmarkStart w:id="139" w:name="_Toc165295287"/>
      <w:bookmarkStart w:id="140" w:name="_Toc167965785"/>
      <w:r w:rsidRPr="0013394E">
        <w:rPr>
          <w:rFonts w:cs="Arial"/>
          <w:b/>
          <w:bCs/>
          <w:color w:val="4F2D7F"/>
          <w:kern w:val="32"/>
          <w:sz w:val="24"/>
          <w:szCs w:val="24"/>
        </w:rPr>
        <w:t>Auditor’s responsibilities for the review of the Authority’s arrangements for securing economy, efficiency and effectiveness in its use of resources</w:t>
      </w:r>
      <w:bookmarkEnd w:id="136"/>
      <w:bookmarkEnd w:id="137"/>
      <w:bookmarkEnd w:id="138"/>
      <w:bookmarkEnd w:id="139"/>
      <w:bookmarkEnd w:id="140"/>
    </w:p>
    <w:p w14:paraId="73B3B392" w14:textId="77777777" w:rsidR="0013394E" w:rsidRPr="0013394E" w:rsidRDefault="0013394E" w:rsidP="0013394E">
      <w:pPr>
        <w:spacing w:after="120" w:line="240" w:lineRule="atLeast"/>
        <w:rPr>
          <w:sz w:val="24"/>
          <w:szCs w:val="24"/>
        </w:rPr>
      </w:pPr>
      <w:r w:rsidRPr="0013394E">
        <w:rPr>
          <w:sz w:val="24"/>
          <w:szCs w:val="24"/>
        </w:rPr>
        <w:t>We are required under Section 20(1)(c) of the Local Audit and Accountability Act 2014 to be satisfied that the Authority has made proper arrangements for securing economy, efficiency and effectiveness in its use of resources. We are not required to consider, nor have we considered, whether all aspects of the Authority's arrangements for securing economy, efficiency and effectiveness in its use of resources are operating effectively.</w:t>
      </w:r>
    </w:p>
    <w:p w14:paraId="4FFCEBD6" w14:textId="77777777" w:rsidR="0013394E" w:rsidRPr="0013394E" w:rsidRDefault="0013394E" w:rsidP="0013394E">
      <w:pPr>
        <w:spacing w:after="120" w:line="240" w:lineRule="atLeast"/>
        <w:rPr>
          <w:sz w:val="24"/>
          <w:szCs w:val="24"/>
        </w:rPr>
      </w:pPr>
      <w:r w:rsidRPr="0013394E">
        <w:rPr>
          <w:sz w:val="24"/>
          <w:szCs w:val="24"/>
        </w:rPr>
        <w:t>We undertake our review in accordance with the Code of Audit Practice, having regard to the guidance issued by the Comptroller and Auditor General in January 2023. This guidance sets out the arrangements that fall within the scope of ‘proper arrangements’. When reporting on these arrangements, the Code of Audit Practice requires auditors to structure their commentary on arrangements under three specified reporting criteria:</w:t>
      </w:r>
    </w:p>
    <w:p w14:paraId="34F05E10" w14:textId="77777777" w:rsidR="0013394E" w:rsidRPr="0013394E" w:rsidRDefault="0013394E" w:rsidP="003859E6">
      <w:pPr>
        <w:numPr>
          <w:ilvl w:val="0"/>
          <w:numId w:val="41"/>
        </w:numPr>
        <w:spacing w:after="120" w:line="240" w:lineRule="atLeast"/>
        <w:rPr>
          <w:sz w:val="24"/>
          <w:szCs w:val="24"/>
        </w:rPr>
      </w:pPr>
      <w:r w:rsidRPr="0013394E">
        <w:rPr>
          <w:sz w:val="24"/>
          <w:szCs w:val="24"/>
        </w:rPr>
        <w:t xml:space="preserve">Financial sustainability: how the Authority plans and manages its resources to ensure it can continue to deliver its services; </w:t>
      </w:r>
    </w:p>
    <w:p w14:paraId="0455662E" w14:textId="77777777" w:rsidR="0013394E" w:rsidRPr="0013394E" w:rsidRDefault="0013394E" w:rsidP="003859E6">
      <w:pPr>
        <w:numPr>
          <w:ilvl w:val="0"/>
          <w:numId w:val="41"/>
        </w:numPr>
        <w:spacing w:after="120" w:line="240" w:lineRule="atLeast"/>
        <w:rPr>
          <w:sz w:val="24"/>
          <w:szCs w:val="24"/>
        </w:rPr>
      </w:pPr>
      <w:r w:rsidRPr="0013394E">
        <w:rPr>
          <w:sz w:val="24"/>
          <w:szCs w:val="24"/>
        </w:rPr>
        <w:t xml:space="preserve">Governance: how the Authority ensures that it makes informed decisions and properly manages its risks; and </w:t>
      </w:r>
    </w:p>
    <w:p w14:paraId="5B3DA86F" w14:textId="77777777" w:rsidR="0013394E" w:rsidRPr="0013394E" w:rsidRDefault="0013394E" w:rsidP="003859E6">
      <w:pPr>
        <w:numPr>
          <w:ilvl w:val="0"/>
          <w:numId w:val="41"/>
        </w:numPr>
        <w:spacing w:after="120" w:line="240" w:lineRule="atLeast"/>
        <w:rPr>
          <w:sz w:val="24"/>
          <w:szCs w:val="24"/>
        </w:rPr>
      </w:pPr>
      <w:r w:rsidRPr="0013394E">
        <w:rPr>
          <w:sz w:val="24"/>
          <w:szCs w:val="24"/>
        </w:rPr>
        <w:t>Improving economy, efficiency and effectiveness: how the Authority uses information about its costs and performance to improve the way it manages and delivers its services.</w:t>
      </w:r>
    </w:p>
    <w:p w14:paraId="67738D3A" w14:textId="77777777" w:rsidR="0013394E" w:rsidRPr="0013394E" w:rsidRDefault="0013394E" w:rsidP="0013394E">
      <w:pPr>
        <w:spacing w:after="120" w:line="240" w:lineRule="atLeast"/>
        <w:rPr>
          <w:sz w:val="24"/>
          <w:szCs w:val="24"/>
        </w:rPr>
      </w:pPr>
      <w:r w:rsidRPr="0013394E">
        <w:rPr>
          <w:sz w:val="24"/>
          <w:szCs w:val="24"/>
        </w:rPr>
        <w:t>We document our understanding of the arrangements the Authority has in place for each of these three specified reporting criteria, gathering sufficient evidence to support our risk assessment and commentary in our Auditor’s Annual Report. In undertaking our work, we consider whether there is evidence to suggest that there are significant weaknesses in arrangements.</w:t>
      </w:r>
    </w:p>
    <w:p w14:paraId="56FDE148" w14:textId="77777777" w:rsidR="0013394E" w:rsidRPr="0013394E" w:rsidRDefault="0013394E" w:rsidP="0013394E">
      <w:pPr>
        <w:keepNext/>
        <w:spacing w:before="240" w:after="120" w:line="240" w:lineRule="atLeast"/>
        <w:outlineLvl w:val="2"/>
        <w:rPr>
          <w:rFonts w:cs="Arial"/>
          <w:b/>
          <w:bCs/>
          <w:color w:val="4F2D7F"/>
          <w:kern w:val="32"/>
          <w:sz w:val="24"/>
          <w:szCs w:val="24"/>
        </w:rPr>
      </w:pPr>
      <w:bookmarkStart w:id="141" w:name="_Toc156816145"/>
      <w:bookmarkStart w:id="142" w:name="_Toc156818281"/>
      <w:bookmarkStart w:id="143" w:name="_Toc156820546"/>
      <w:bookmarkStart w:id="144" w:name="_Toc165295288"/>
      <w:bookmarkStart w:id="145" w:name="_Toc167965786"/>
      <w:r w:rsidRPr="0013394E">
        <w:rPr>
          <w:rFonts w:cs="Arial"/>
          <w:b/>
          <w:bCs/>
          <w:color w:val="4F2D7F"/>
          <w:kern w:val="32"/>
          <w:sz w:val="24"/>
          <w:szCs w:val="24"/>
        </w:rPr>
        <w:lastRenderedPageBreak/>
        <w:t>Report on other legal and regulatory requirements – Certificate</w:t>
      </w:r>
      <w:bookmarkEnd w:id="141"/>
      <w:bookmarkEnd w:id="142"/>
      <w:bookmarkEnd w:id="143"/>
      <w:bookmarkEnd w:id="144"/>
      <w:bookmarkEnd w:id="145"/>
    </w:p>
    <w:p w14:paraId="64B8609E" w14:textId="77777777" w:rsidR="0013394E" w:rsidRPr="0013394E" w:rsidRDefault="0013394E" w:rsidP="0013394E">
      <w:pPr>
        <w:spacing w:after="120" w:line="240" w:lineRule="atLeast"/>
        <w:rPr>
          <w:sz w:val="24"/>
          <w:szCs w:val="24"/>
        </w:rPr>
      </w:pPr>
      <w:r w:rsidRPr="0013394E">
        <w:rPr>
          <w:rFonts w:eastAsia="Arial" w:cs="Arial"/>
          <w:color w:val="000000"/>
          <w:sz w:val="24"/>
          <w:szCs w:val="24"/>
        </w:rPr>
        <w:t>We certify that we have completed the audit of Lake District National Park Authority for the year ended 31 March 2023 in accordance with the requirements of the Local Audit and Accountability Act 2014 and the Code of Audit Practice.</w:t>
      </w:r>
    </w:p>
    <w:p w14:paraId="105F88F5" w14:textId="77777777" w:rsidR="0013394E" w:rsidRPr="0013394E" w:rsidRDefault="0013394E" w:rsidP="0013394E">
      <w:pPr>
        <w:keepNext/>
        <w:spacing w:before="240" w:after="120" w:line="240" w:lineRule="atLeast"/>
        <w:outlineLvl w:val="2"/>
        <w:rPr>
          <w:rFonts w:cs="Arial"/>
          <w:b/>
          <w:bCs/>
          <w:color w:val="4F2D7F"/>
          <w:kern w:val="32"/>
          <w:sz w:val="24"/>
          <w:szCs w:val="24"/>
        </w:rPr>
      </w:pPr>
      <w:bookmarkStart w:id="146" w:name="_Toc156816146"/>
      <w:bookmarkStart w:id="147" w:name="_Toc156818282"/>
      <w:bookmarkStart w:id="148" w:name="_Toc156820547"/>
      <w:bookmarkStart w:id="149" w:name="_Toc165295289"/>
      <w:bookmarkStart w:id="150" w:name="_Toc167965787"/>
      <w:r w:rsidRPr="0013394E">
        <w:rPr>
          <w:rFonts w:cs="Arial"/>
          <w:b/>
          <w:bCs/>
          <w:color w:val="4F2D7F"/>
          <w:kern w:val="32"/>
          <w:sz w:val="24"/>
          <w:szCs w:val="24"/>
        </w:rPr>
        <w:t>Use of our report</w:t>
      </w:r>
      <w:bookmarkEnd w:id="146"/>
      <w:bookmarkEnd w:id="147"/>
      <w:bookmarkEnd w:id="148"/>
      <w:bookmarkEnd w:id="149"/>
      <w:bookmarkEnd w:id="150"/>
    </w:p>
    <w:p w14:paraId="3C15E6A3" w14:textId="77777777" w:rsidR="0013394E" w:rsidRPr="0013394E" w:rsidRDefault="0013394E" w:rsidP="0013394E">
      <w:pPr>
        <w:spacing w:after="120" w:line="240" w:lineRule="atLeast"/>
        <w:rPr>
          <w:sz w:val="24"/>
          <w:szCs w:val="24"/>
        </w:rPr>
      </w:pPr>
      <w:r w:rsidRPr="0013394E">
        <w:rPr>
          <w:sz w:val="24"/>
          <w:szCs w:val="24"/>
        </w:rPr>
        <w:t>This report is made solely to the members of the Authority, as a body, in accordance with Part 5 of the Local Audit and Accountability Act 2014 [and as set out in paragraph 44 of the Statement of Responsibilities of Auditors and Audited Bodies published by Public Sector Audit Appointments Limited]. Our audit work has been undertaken so that we might state to the Authority’s members those matters we are required to state to them in an auditor's report and for no other purpose. To the fullest extent permitted by law, we do not accept or assume responsibility to anyone other than the Authority and the Authority's members as a body, for our audit work, for this report, or for the opinions we have formed.</w:t>
      </w:r>
    </w:p>
    <w:p w14:paraId="2F3DC791" w14:textId="77777777" w:rsidR="0013394E" w:rsidRPr="0013394E" w:rsidRDefault="0013394E" w:rsidP="0013394E">
      <w:pPr>
        <w:spacing w:after="120" w:line="240" w:lineRule="atLeast"/>
        <w:rPr>
          <w:sz w:val="18"/>
          <w:szCs w:val="18"/>
        </w:rPr>
      </w:pPr>
    </w:p>
    <w:p w14:paraId="04266104" w14:textId="77777777" w:rsidR="00E216EE" w:rsidRDefault="00E216EE" w:rsidP="0013394E">
      <w:pPr>
        <w:spacing w:after="120" w:line="240" w:lineRule="atLeast"/>
        <w:rPr>
          <w:b/>
          <w:i/>
          <w:iCs/>
          <w:sz w:val="40"/>
          <w:szCs w:val="40"/>
        </w:rPr>
      </w:pPr>
    </w:p>
    <w:p w14:paraId="5D74137F" w14:textId="77777777" w:rsidR="00E216EE" w:rsidRDefault="00E216EE" w:rsidP="0013394E">
      <w:pPr>
        <w:spacing w:after="120" w:line="240" w:lineRule="atLeast"/>
        <w:rPr>
          <w:b/>
          <w:i/>
          <w:iCs/>
          <w:sz w:val="40"/>
          <w:szCs w:val="40"/>
        </w:rPr>
      </w:pPr>
    </w:p>
    <w:p w14:paraId="62335294" w14:textId="4F647F4A" w:rsidR="0013394E" w:rsidRPr="0013394E" w:rsidRDefault="0013394E" w:rsidP="0013394E">
      <w:pPr>
        <w:spacing w:after="120" w:line="240" w:lineRule="atLeast"/>
        <w:rPr>
          <w:sz w:val="24"/>
          <w:szCs w:val="24"/>
        </w:rPr>
      </w:pPr>
      <w:r w:rsidRPr="0013394E">
        <w:rPr>
          <w:sz w:val="24"/>
          <w:szCs w:val="24"/>
        </w:rPr>
        <w:t>for and on behalf of Grant Thornton UK LLP, Local Auditor</w:t>
      </w:r>
    </w:p>
    <w:p w14:paraId="65F3D9B2" w14:textId="77777777" w:rsidR="0013394E" w:rsidRPr="0013394E" w:rsidRDefault="0013394E" w:rsidP="0013394E">
      <w:pPr>
        <w:spacing w:after="120" w:line="240" w:lineRule="atLeast"/>
        <w:rPr>
          <w:b/>
          <w:bCs/>
          <w:sz w:val="24"/>
          <w:szCs w:val="24"/>
        </w:rPr>
      </w:pPr>
    </w:p>
    <w:p w14:paraId="2AC6C76B" w14:textId="77777777" w:rsidR="00400441" w:rsidRDefault="00400441" w:rsidP="00553405">
      <w:pPr>
        <w:rPr>
          <w:sz w:val="18"/>
          <w:szCs w:val="18"/>
          <w:highlight w:val="yellow"/>
        </w:rPr>
      </w:pPr>
    </w:p>
    <w:p w14:paraId="0D521AC0" w14:textId="77777777" w:rsidR="00400441" w:rsidRDefault="00400441" w:rsidP="00553405">
      <w:pPr>
        <w:rPr>
          <w:sz w:val="18"/>
          <w:szCs w:val="18"/>
          <w:highlight w:val="yellow"/>
        </w:rPr>
      </w:pPr>
    </w:p>
    <w:p w14:paraId="1B43308B" w14:textId="77777777" w:rsidR="00400441" w:rsidRDefault="00400441" w:rsidP="00553405">
      <w:pPr>
        <w:rPr>
          <w:sz w:val="18"/>
          <w:szCs w:val="18"/>
          <w:highlight w:val="yellow"/>
        </w:rPr>
      </w:pPr>
    </w:p>
    <w:p w14:paraId="46A2CEB3" w14:textId="77777777" w:rsidR="00400441" w:rsidRDefault="00400441" w:rsidP="00553405">
      <w:pPr>
        <w:rPr>
          <w:sz w:val="18"/>
          <w:szCs w:val="18"/>
          <w:highlight w:val="yellow"/>
        </w:rPr>
      </w:pPr>
    </w:p>
    <w:p w14:paraId="387BF421" w14:textId="77777777" w:rsidR="00400441" w:rsidRDefault="00400441" w:rsidP="00553405">
      <w:pPr>
        <w:rPr>
          <w:sz w:val="18"/>
          <w:szCs w:val="18"/>
          <w:highlight w:val="yellow"/>
        </w:rPr>
      </w:pPr>
    </w:p>
    <w:p w14:paraId="7AC38623" w14:textId="77777777" w:rsidR="00400441" w:rsidRDefault="00400441" w:rsidP="00553405">
      <w:pPr>
        <w:rPr>
          <w:sz w:val="18"/>
          <w:szCs w:val="18"/>
          <w:highlight w:val="yellow"/>
        </w:rPr>
      </w:pPr>
    </w:p>
    <w:p w14:paraId="5B491E35" w14:textId="77777777" w:rsidR="00400441" w:rsidRDefault="00400441" w:rsidP="00553405">
      <w:pPr>
        <w:rPr>
          <w:sz w:val="18"/>
          <w:szCs w:val="18"/>
          <w:highlight w:val="yellow"/>
        </w:rPr>
      </w:pPr>
    </w:p>
    <w:p w14:paraId="30767D39" w14:textId="77777777" w:rsidR="0013394E" w:rsidRDefault="0013394E" w:rsidP="00553405">
      <w:pPr>
        <w:rPr>
          <w:sz w:val="18"/>
          <w:szCs w:val="18"/>
          <w:highlight w:val="yellow"/>
        </w:rPr>
      </w:pPr>
    </w:p>
    <w:p w14:paraId="68CB48A2" w14:textId="77777777" w:rsidR="0013394E" w:rsidRDefault="0013394E" w:rsidP="00553405">
      <w:pPr>
        <w:rPr>
          <w:sz w:val="18"/>
          <w:szCs w:val="18"/>
          <w:highlight w:val="yellow"/>
        </w:rPr>
      </w:pPr>
    </w:p>
    <w:p w14:paraId="11691A79" w14:textId="77777777" w:rsidR="0013394E" w:rsidRDefault="0013394E" w:rsidP="00553405">
      <w:pPr>
        <w:rPr>
          <w:sz w:val="18"/>
          <w:szCs w:val="18"/>
          <w:highlight w:val="yellow"/>
        </w:rPr>
      </w:pPr>
    </w:p>
    <w:p w14:paraId="31B4C9DC" w14:textId="77777777" w:rsidR="0013394E" w:rsidRDefault="0013394E" w:rsidP="00553405">
      <w:pPr>
        <w:rPr>
          <w:sz w:val="18"/>
          <w:szCs w:val="18"/>
          <w:highlight w:val="yellow"/>
        </w:rPr>
      </w:pPr>
    </w:p>
    <w:p w14:paraId="3E3D07BC" w14:textId="77777777" w:rsidR="0013394E" w:rsidRDefault="0013394E" w:rsidP="00553405">
      <w:pPr>
        <w:rPr>
          <w:sz w:val="18"/>
          <w:szCs w:val="18"/>
          <w:highlight w:val="yellow"/>
        </w:rPr>
      </w:pPr>
    </w:p>
    <w:p w14:paraId="3D23D70A" w14:textId="77777777" w:rsidR="00B77C6D" w:rsidRDefault="00B77C6D" w:rsidP="00553405">
      <w:pPr>
        <w:rPr>
          <w:sz w:val="18"/>
          <w:szCs w:val="18"/>
          <w:highlight w:val="yellow"/>
        </w:rPr>
        <w:sectPr w:rsidR="00B77C6D" w:rsidSect="00397A5D">
          <w:headerReference w:type="even" r:id="rId18"/>
          <w:headerReference w:type="default" r:id="rId19"/>
          <w:footerReference w:type="default" r:id="rId20"/>
          <w:headerReference w:type="first" r:id="rId21"/>
          <w:pgSz w:w="11906" w:h="16838" w:code="9"/>
          <w:pgMar w:top="1135" w:right="991" w:bottom="993" w:left="1276" w:header="709" w:footer="403" w:gutter="0"/>
          <w:cols w:space="708"/>
          <w:docGrid w:linePitch="360"/>
        </w:sectPr>
      </w:pPr>
    </w:p>
    <w:p w14:paraId="36ECA6A0" w14:textId="77777777" w:rsidR="0013394E" w:rsidRDefault="0013394E" w:rsidP="00553405">
      <w:pPr>
        <w:rPr>
          <w:sz w:val="18"/>
          <w:szCs w:val="18"/>
          <w:highlight w:val="yellow"/>
        </w:rPr>
      </w:pPr>
    </w:p>
    <w:p w14:paraId="485A458F" w14:textId="4B01E451" w:rsidR="00E00863" w:rsidRPr="009C13C9" w:rsidRDefault="009C5A0E" w:rsidP="00C01DC6">
      <w:pPr>
        <w:pStyle w:val="Heading1"/>
        <w:jc w:val="left"/>
      </w:pPr>
      <w:bookmarkStart w:id="151" w:name="_Toc167965788"/>
      <w:r>
        <w:t>Comprehensive Income and Expenditure Statement (CIES)</w:t>
      </w:r>
      <w:bookmarkEnd w:id="151"/>
    </w:p>
    <w:p w14:paraId="316DC7CD" w14:textId="7C3A120F" w:rsidR="007310A3" w:rsidRDefault="007310A3" w:rsidP="00D34473">
      <w:pPr>
        <w:jc w:val="center"/>
        <w:rPr>
          <w:color w:val="FF0000"/>
          <w:highlight w:val="yellow"/>
        </w:rPr>
      </w:pPr>
    </w:p>
    <w:tbl>
      <w:tblPr>
        <w:tblW w:w="10206" w:type="dxa"/>
        <w:tblLook w:val="04A0" w:firstRow="1" w:lastRow="0" w:firstColumn="1" w:lastColumn="0" w:noHBand="0" w:noVBand="1"/>
      </w:tblPr>
      <w:tblGrid>
        <w:gridCol w:w="1036"/>
        <w:gridCol w:w="961"/>
        <w:gridCol w:w="980"/>
        <w:gridCol w:w="3827"/>
        <w:gridCol w:w="495"/>
        <w:gridCol w:w="975"/>
        <w:gridCol w:w="1134"/>
        <w:gridCol w:w="850"/>
      </w:tblGrid>
      <w:tr w:rsidR="00411B0B" w:rsidRPr="00411B0B" w14:paraId="676C5BDE" w14:textId="77777777" w:rsidTr="00411B0B">
        <w:trPr>
          <w:trHeight w:val="290"/>
        </w:trPr>
        <w:tc>
          <w:tcPr>
            <w:tcW w:w="2977" w:type="dxa"/>
            <w:gridSpan w:val="3"/>
            <w:tcBorders>
              <w:top w:val="single" w:sz="4" w:space="0" w:color="auto"/>
              <w:left w:val="nil"/>
              <w:bottom w:val="nil"/>
              <w:right w:val="single" w:sz="4" w:space="0" w:color="000000"/>
            </w:tcBorders>
            <w:shd w:val="clear" w:color="000000" w:fill="000000"/>
            <w:noWrap/>
            <w:vAlign w:val="center"/>
            <w:hideMark/>
          </w:tcPr>
          <w:p w14:paraId="30AA8C40" w14:textId="77777777" w:rsidR="00411B0B" w:rsidRPr="00411B0B" w:rsidRDefault="00411B0B" w:rsidP="00411B0B">
            <w:pPr>
              <w:jc w:val="center"/>
              <w:rPr>
                <w:rFonts w:cs="Arial"/>
                <w:b/>
                <w:bCs/>
                <w:color w:val="FFFFFF"/>
                <w:sz w:val="20"/>
                <w:szCs w:val="20"/>
                <w:lang w:eastAsia="en-GB"/>
              </w:rPr>
            </w:pPr>
            <w:r w:rsidRPr="00411B0B">
              <w:rPr>
                <w:rFonts w:cs="Arial"/>
                <w:b/>
                <w:bCs/>
                <w:color w:val="FFFFFF"/>
                <w:sz w:val="20"/>
                <w:szCs w:val="20"/>
                <w:lang w:eastAsia="en-GB"/>
              </w:rPr>
              <w:t>2022/23 Restated</w:t>
            </w:r>
          </w:p>
        </w:tc>
        <w:tc>
          <w:tcPr>
            <w:tcW w:w="3827" w:type="dxa"/>
            <w:tcBorders>
              <w:top w:val="single" w:sz="4" w:space="0" w:color="auto"/>
              <w:left w:val="nil"/>
              <w:bottom w:val="nil"/>
              <w:right w:val="nil"/>
            </w:tcBorders>
            <w:shd w:val="clear" w:color="000000" w:fill="000000"/>
            <w:noWrap/>
            <w:vAlign w:val="center"/>
            <w:hideMark/>
          </w:tcPr>
          <w:p w14:paraId="19D337F6" w14:textId="77777777" w:rsidR="00411B0B" w:rsidRPr="00411B0B" w:rsidRDefault="00411B0B" w:rsidP="00411B0B">
            <w:pPr>
              <w:rPr>
                <w:rFonts w:cs="Arial"/>
                <w:color w:val="000000"/>
                <w:sz w:val="22"/>
                <w:szCs w:val="22"/>
                <w:lang w:eastAsia="en-GB"/>
              </w:rPr>
            </w:pPr>
            <w:r w:rsidRPr="00411B0B">
              <w:rPr>
                <w:rFonts w:cs="Arial"/>
                <w:color w:val="000000"/>
                <w:sz w:val="22"/>
                <w:szCs w:val="22"/>
                <w:lang w:eastAsia="en-GB"/>
              </w:rPr>
              <w:t> </w:t>
            </w:r>
          </w:p>
        </w:tc>
        <w:tc>
          <w:tcPr>
            <w:tcW w:w="443" w:type="dxa"/>
            <w:tcBorders>
              <w:top w:val="single" w:sz="4" w:space="0" w:color="auto"/>
              <w:left w:val="nil"/>
              <w:bottom w:val="nil"/>
              <w:right w:val="nil"/>
            </w:tcBorders>
            <w:shd w:val="clear" w:color="000000" w:fill="000000"/>
            <w:noWrap/>
            <w:vAlign w:val="center"/>
            <w:hideMark/>
          </w:tcPr>
          <w:p w14:paraId="5716A17F" w14:textId="77777777" w:rsidR="00411B0B" w:rsidRPr="00411B0B" w:rsidRDefault="00411B0B" w:rsidP="00411B0B">
            <w:pPr>
              <w:rPr>
                <w:rFonts w:cs="Arial"/>
                <w:color w:val="000000"/>
                <w:sz w:val="22"/>
                <w:szCs w:val="22"/>
                <w:lang w:eastAsia="en-GB"/>
              </w:rPr>
            </w:pPr>
            <w:r w:rsidRPr="00411B0B">
              <w:rPr>
                <w:rFonts w:cs="Arial"/>
                <w:color w:val="000000"/>
                <w:sz w:val="22"/>
                <w:szCs w:val="22"/>
                <w:lang w:eastAsia="en-GB"/>
              </w:rPr>
              <w:t> </w:t>
            </w:r>
          </w:p>
        </w:tc>
        <w:tc>
          <w:tcPr>
            <w:tcW w:w="2959" w:type="dxa"/>
            <w:gridSpan w:val="3"/>
            <w:tcBorders>
              <w:top w:val="single" w:sz="4" w:space="0" w:color="auto"/>
              <w:left w:val="nil"/>
              <w:bottom w:val="nil"/>
              <w:right w:val="single" w:sz="4" w:space="0" w:color="000000"/>
            </w:tcBorders>
            <w:shd w:val="clear" w:color="000000" w:fill="000000"/>
            <w:noWrap/>
            <w:vAlign w:val="center"/>
            <w:hideMark/>
          </w:tcPr>
          <w:p w14:paraId="1A3E69C5" w14:textId="77777777" w:rsidR="00411B0B" w:rsidRPr="00411B0B" w:rsidRDefault="00411B0B" w:rsidP="00411B0B">
            <w:pPr>
              <w:jc w:val="center"/>
              <w:rPr>
                <w:rFonts w:cs="Arial"/>
                <w:b/>
                <w:bCs/>
                <w:color w:val="FFFFFF"/>
                <w:sz w:val="20"/>
                <w:szCs w:val="20"/>
                <w:lang w:eastAsia="en-GB"/>
              </w:rPr>
            </w:pPr>
            <w:r w:rsidRPr="00411B0B">
              <w:rPr>
                <w:rFonts w:cs="Arial"/>
                <w:b/>
                <w:bCs/>
                <w:color w:val="FFFFFF"/>
                <w:sz w:val="20"/>
                <w:szCs w:val="20"/>
                <w:lang w:eastAsia="en-GB"/>
              </w:rPr>
              <w:t>2023/24</w:t>
            </w:r>
          </w:p>
        </w:tc>
      </w:tr>
      <w:tr w:rsidR="00411B0B" w:rsidRPr="00411B0B" w14:paraId="4417E12B" w14:textId="77777777" w:rsidTr="00411B0B">
        <w:trPr>
          <w:trHeight w:val="460"/>
        </w:trPr>
        <w:tc>
          <w:tcPr>
            <w:tcW w:w="1036" w:type="dxa"/>
            <w:tcBorders>
              <w:top w:val="nil"/>
              <w:left w:val="single" w:sz="4" w:space="0" w:color="auto"/>
              <w:bottom w:val="nil"/>
              <w:right w:val="nil"/>
            </w:tcBorders>
            <w:shd w:val="clear" w:color="000000" w:fill="000000"/>
            <w:vAlign w:val="center"/>
            <w:hideMark/>
          </w:tcPr>
          <w:p w14:paraId="430D416B" w14:textId="77777777" w:rsidR="00411B0B" w:rsidRPr="00411B0B" w:rsidRDefault="00411B0B" w:rsidP="00411B0B">
            <w:pPr>
              <w:jc w:val="center"/>
              <w:rPr>
                <w:rFonts w:cs="Arial"/>
                <w:b/>
                <w:bCs/>
                <w:color w:val="FFFFFF"/>
                <w:sz w:val="18"/>
                <w:szCs w:val="18"/>
                <w:lang w:eastAsia="en-GB"/>
              </w:rPr>
            </w:pPr>
            <w:r w:rsidRPr="00411B0B">
              <w:rPr>
                <w:rFonts w:cs="Arial"/>
                <w:b/>
                <w:bCs/>
                <w:color w:val="FFFFFF"/>
                <w:sz w:val="18"/>
                <w:szCs w:val="18"/>
                <w:lang w:eastAsia="en-GB"/>
              </w:rPr>
              <w:t>Gross Exp</w:t>
            </w:r>
          </w:p>
        </w:tc>
        <w:tc>
          <w:tcPr>
            <w:tcW w:w="961" w:type="dxa"/>
            <w:tcBorders>
              <w:top w:val="nil"/>
              <w:left w:val="nil"/>
              <w:bottom w:val="nil"/>
              <w:right w:val="nil"/>
            </w:tcBorders>
            <w:shd w:val="clear" w:color="000000" w:fill="000000"/>
            <w:vAlign w:val="center"/>
            <w:hideMark/>
          </w:tcPr>
          <w:p w14:paraId="6E9383AE" w14:textId="77777777" w:rsidR="00411B0B" w:rsidRPr="00411B0B" w:rsidRDefault="00411B0B" w:rsidP="00411B0B">
            <w:pPr>
              <w:jc w:val="center"/>
              <w:rPr>
                <w:rFonts w:cs="Arial"/>
                <w:b/>
                <w:bCs/>
                <w:color w:val="FFFFFF"/>
                <w:sz w:val="18"/>
                <w:szCs w:val="18"/>
                <w:lang w:eastAsia="en-GB"/>
              </w:rPr>
            </w:pPr>
            <w:r w:rsidRPr="00411B0B">
              <w:rPr>
                <w:rFonts w:cs="Arial"/>
                <w:b/>
                <w:bCs/>
                <w:color w:val="FFFFFF"/>
                <w:sz w:val="18"/>
                <w:szCs w:val="18"/>
                <w:lang w:eastAsia="en-GB"/>
              </w:rPr>
              <w:t>Gross Income</w:t>
            </w:r>
          </w:p>
        </w:tc>
        <w:tc>
          <w:tcPr>
            <w:tcW w:w="980" w:type="dxa"/>
            <w:tcBorders>
              <w:top w:val="nil"/>
              <w:left w:val="nil"/>
              <w:bottom w:val="nil"/>
              <w:right w:val="nil"/>
            </w:tcBorders>
            <w:shd w:val="clear" w:color="000000" w:fill="000000"/>
            <w:vAlign w:val="center"/>
            <w:hideMark/>
          </w:tcPr>
          <w:p w14:paraId="2C2F93F0" w14:textId="77777777" w:rsidR="00411B0B" w:rsidRPr="00411B0B" w:rsidRDefault="00411B0B" w:rsidP="00411B0B">
            <w:pPr>
              <w:jc w:val="center"/>
              <w:rPr>
                <w:rFonts w:cs="Arial"/>
                <w:b/>
                <w:bCs/>
                <w:color w:val="FFFFFF"/>
                <w:sz w:val="18"/>
                <w:szCs w:val="18"/>
                <w:lang w:eastAsia="en-GB"/>
              </w:rPr>
            </w:pPr>
            <w:r w:rsidRPr="00411B0B">
              <w:rPr>
                <w:rFonts w:cs="Arial"/>
                <w:b/>
                <w:bCs/>
                <w:color w:val="FFFFFF"/>
                <w:sz w:val="18"/>
                <w:szCs w:val="18"/>
                <w:lang w:eastAsia="en-GB"/>
              </w:rPr>
              <w:t>Net Exp</w:t>
            </w:r>
          </w:p>
        </w:tc>
        <w:tc>
          <w:tcPr>
            <w:tcW w:w="3827" w:type="dxa"/>
            <w:tcBorders>
              <w:top w:val="nil"/>
              <w:left w:val="nil"/>
              <w:bottom w:val="nil"/>
              <w:right w:val="nil"/>
            </w:tcBorders>
            <w:shd w:val="clear" w:color="000000" w:fill="000000"/>
            <w:noWrap/>
            <w:vAlign w:val="center"/>
            <w:hideMark/>
          </w:tcPr>
          <w:p w14:paraId="384B1D0E" w14:textId="77777777" w:rsidR="00411B0B" w:rsidRPr="00411B0B" w:rsidRDefault="00411B0B" w:rsidP="00411B0B">
            <w:pPr>
              <w:rPr>
                <w:rFonts w:cs="Arial"/>
                <w:color w:val="000000"/>
                <w:sz w:val="22"/>
                <w:szCs w:val="22"/>
                <w:lang w:eastAsia="en-GB"/>
              </w:rPr>
            </w:pPr>
            <w:r w:rsidRPr="00411B0B">
              <w:rPr>
                <w:rFonts w:cs="Arial"/>
                <w:color w:val="000000"/>
                <w:sz w:val="22"/>
                <w:szCs w:val="22"/>
                <w:lang w:eastAsia="en-GB"/>
              </w:rPr>
              <w:t> </w:t>
            </w:r>
          </w:p>
        </w:tc>
        <w:tc>
          <w:tcPr>
            <w:tcW w:w="443" w:type="dxa"/>
            <w:vMerge w:val="restart"/>
            <w:tcBorders>
              <w:top w:val="nil"/>
              <w:left w:val="nil"/>
              <w:bottom w:val="nil"/>
              <w:right w:val="nil"/>
            </w:tcBorders>
            <w:shd w:val="clear" w:color="000000" w:fill="000000"/>
            <w:noWrap/>
            <w:textDirection w:val="btLr"/>
            <w:vAlign w:val="center"/>
            <w:hideMark/>
          </w:tcPr>
          <w:p w14:paraId="34A664C6" w14:textId="77777777" w:rsidR="00411B0B" w:rsidRPr="00411B0B" w:rsidRDefault="00411B0B" w:rsidP="00411B0B">
            <w:pPr>
              <w:jc w:val="right"/>
              <w:rPr>
                <w:rFonts w:cs="Arial"/>
                <w:b/>
                <w:bCs/>
                <w:color w:val="FFFFFF"/>
                <w:sz w:val="18"/>
                <w:szCs w:val="18"/>
                <w:lang w:eastAsia="en-GB"/>
              </w:rPr>
            </w:pPr>
            <w:r w:rsidRPr="00411B0B">
              <w:rPr>
                <w:rFonts w:cs="Arial"/>
                <w:b/>
                <w:bCs/>
                <w:color w:val="FFFFFF"/>
                <w:sz w:val="18"/>
                <w:szCs w:val="18"/>
                <w:lang w:eastAsia="en-GB"/>
              </w:rPr>
              <w:t>Note</w:t>
            </w:r>
          </w:p>
        </w:tc>
        <w:tc>
          <w:tcPr>
            <w:tcW w:w="975" w:type="dxa"/>
            <w:tcBorders>
              <w:top w:val="nil"/>
              <w:left w:val="nil"/>
              <w:bottom w:val="nil"/>
              <w:right w:val="nil"/>
            </w:tcBorders>
            <w:shd w:val="clear" w:color="000000" w:fill="000000"/>
            <w:vAlign w:val="center"/>
            <w:hideMark/>
          </w:tcPr>
          <w:p w14:paraId="6E74CCBB" w14:textId="77777777" w:rsidR="00411B0B" w:rsidRPr="00411B0B" w:rsidRDefault="00411B0B" w:rsidP="00411B0B">
            <w:pPr>
              <w:jc w:val="center"/>
              <w:rPr>
                <w:rFonts w:cs="Arial"/>
                <w:b/>
                <w:bCs/>
                <w:color w:val="FFFFFF"/>
                <w:sz w:val="18"/>
                <w:szCs w:val="18"/>
                <w:lang w:eastAsia="en-GB"/>
              </w:rPr>
            </w:pPr>
            <w:r w:rsidRPr="00411B0B">
              <w:rPr>
                <w:rFonts w:cs="Arial"/>
                <w:b/>
                <w:bCs/>
                <w:color w:val="FFFFFF"/>
                <w:sz w:val="18"/>
                <w:szCs w:val="18"/>
                <w:lang w:eastAsia="en-GB"/>
              </w:rPr>
              <w:t>Gross Exp</w:t>
            </w:r>
          </w:p>
        </w:tc>
        <w:tc>
          <w:tcPr>
            <w:tcW w:w="1134" w:type="dxa"/>
            <w:tcBorders>
              <w:top w:val="nil"/>
              <w:left w:val="nil"/>
              <w:bottom w:val="nil"/>
              <w:right w:val="nil"/>
            </w:tcBorders>
            <w:shd w:val="clear" w:color="000000" w:fill="000000"/>
            <w:vAlign w:val="center"/>
            <w:hideMark/>
          </w:tcPr>
          <w:p w14:paraId="11DF02BE" w14:textId="77777777" w:rsidR="00411B0B" w:rsidRPr="00411B0B" w:rsidRDefault="00411B0B" w:rsidP="00411B0B">
            <w:pPr>
              <w:jc w:val="center"/>
              <w:rPr>
                <w:rFonts w:cs="Arial"/>
                <w:b/>
                <w:bCs/>
                <w:color w:val="FFFFFF"/>
                <w:sz w:val="18"/>
                <w:szCs w:val="18"/>
                <w:lang w:eastAsia="en-GB"/>
              </w:rPr>
            </w:pPr>
            <w:r w:rsidRPr="00411B0B">
              <w:rPr>
                <w:rFonts w:cs="Arial"/>
                <w:b/>
                <w:bCs/>
                <w:color w:val="FFFFFF"/>
                <w:sz w:val="18"/>
                <w:szCs w:val="18"/>
                <w:lang w:eastAsia="en-GB"/>
              </w:rPr>
              <w:t>Gross Income</w:t>
            </w:r>
          </w:p>
        </w:tc>
        <w:tc>
          <w:tcPr>
            <w:tcW w:w="850" w:type="dxa"/>
            <w:tcBorders>
              <w:top w:val="nil"/>
              <w:left w:val="nil"/>
              <w:bottom w:val="nil"/>
              <w:right w:val="single" w:sz="4" w:space="0" w:color="auto"/>
            </w:tcBorders>
            <w:shd w:val="clear" w:color="000000" w:fill="000000"/>
            <w:vAlign w:val="center"/>
            <w:hideMark/>
          </w:tcPr>
          <w:p w14:paraId="33790093" w14:textId="77777777" w:rsidR="00411B0B" w:rsidRPr="00411B0B" w:rsidRDefault="00411B0B" w:rsidP="00411B0B">
            <w:pPr>
              <w:jc w:val="center"/>
              <w:rPr>
                <w:rFonts w:cs="Arial"/>
                <w:b/>
                <w:bCs/>
                <w:color w:val="FFFFFF"/>
                <w:sz w:val="18"/>
                <w:szCs w:val="18"/>
                <w:lang w:eastAsia="en-GB"/>
              </w:rPr>
            </w:pPr>
            <w:r w:rsidRPr="00411B0B">
              <w:rPr>
                <w:rFonts w:cs="Arial"/>
                <w:b/>
                <w:bCs/>
                <w:color w:val="FFFFFF"/>
                <w:sz w:val="18"/>
                <w:szCs w:val="18"/>
                <w:lang w:eastAsia="en-GB"/>
              </w:rPr>
              <w:t>Net Exp</w:t>
            </w:r>
          </w:p>
        </w:tc>
      </w:tr>
      <w:tr w:rsidR="00411B0B" w:rsidRPr="00411B0B" w14:paraId="61D25379" w14:textId="77777777" w:rsidTr="00411B0B">
        <w:trPr>
          <w:trHeight w:val="460"/>
        </w:trPr>
        <w:tc>
          <w:tcPr>
            <w:tcW w:w="1036" w:type="dxa"/>
            <w:tcBorders>
              <w:top w:val="nil"/>
              <w:left w:val="single" w:sz="4" w:space="0" w:color="auto"/>
              <w:bottom w:val="nil"/>
              <w:right w:val="nil"/>
            </w:tcBorders>
            <w:shd w:val="clear" w:color="000000" w:fill="000000"/>
            <w:noWrap/>
            <w:vAlign w:val="center"/>
            <w:hideMark/>
          </w:tcPr>
          <w:p w14:paraId="6325F953" w14:textId="77777777" w:rsidR="00411B0B" w:rsidRPr="00411B0B" w:rsidRDefault="00411B0B" w:rsidP="00411B0B">
            <w:pPr>
              <w:jc w:val="center"/>
              <w:rPr>
                <w:rFonts w:cs="Arial"/>
                <w:b/>
                <w:bCs/>
                <w:color w:val="FFFFFF"/>
                <w:sz w:val="18"/>
                <w:szCs w:val="18"/>
                <w:lang w:eastAsia="en-GB"/>
              </w:rPr>
            </w:pPr>
            <w:r w:rsidRPr="00411B0B">
              <w:rPr>
                <w:rFonts w:cs="Arial"/>
                <w:b/>
                <w:bCs/>
                <w:color w:val="FFFFFF"/>
                <w:sz w:val="18"/>
                <w:szCs w:val="18"/>
                <w:lang w:eastAsia="en-GB"/>
              </w:rPr>
              <w:t>£000</w:t>
            </w:r>
          </w:p>
        </w:tc>
        <w:tc>
          <w:tcPr>
            <w:tcW w:w="961" w:type="dxa"/>
            <w:tcBorders>
              <w:top w:val="nil"/>
              <w:left w:val="nil"/>
              <w:bottom w:val="nil"/>
              <w:right w:val="nil"/>
            </w:tcBorders>
            <w:shd w:val="clear" w:color="000000" w:fill="000000"/>
            <w:noWrap/>
            <w:vAlign w:val="center"/>
            <w:hideMark/>
          </w:tcPr>
          <w:p w14:paraId="42DAC2AA" w14:textId="77777777" w:rsidR="00411B0B" w:rsidRPr="00411B0B" w:rsidRDefault="00411B0B" w:rsidP="00411B0B">
            <w:pPr>
              <w:jc w:val="center"/>
              <w:rPr>
                <w:rFonts w:cs="Arial"/>
                <w:b/>
                <w:bCs/>
                <w:color w:val="FFFFFF"/>
                <w:sz w:val="18"/>
                <w:szCs w:val="18"/>
                <w:lang w:eastAsia="en-GB"/>
              </w:rPr>
            </w:pPr>
            <w:r w:rsidRPr="00411B0B">
              <w:rPr>
                <w:rFonts w:cs="Arial"/>
                <w:b/>
                <w:bCs/>
                <w:color w:val="FFFFFF"/>
                <w:sz w:val="18"/>
                <w:szCs w:val="18"/>
                <w:lang w:eastAsia="en-GB"/>
              </w:rPr>
              <w:t>£000</w:t>
            </w:r>
          </w:p>
        </w:tc>
        <w:tc>
          <w:tcPr>
            <w:tcW w:w="980" w:type="dxa"/>
            <w:tcBorders>
              <w:top w:val="nil"/>
              <w:left w:val="nil"/>
              <w:bottom w:val="nil"/>
              <w:right w:val="nil"/>
            </w:tcBorders>
            <w:shd w:val="clear" w:color="000000" w:fill="000000"/>
            <w:noWrap/>
            <w:vAlign w:val="center"/>
            <w:hideMark/>
          </w:tcPr>
          <w:p w14:paraId="5D6AC19B" w14:textId="77777777" w:rsidR="00411B0B" w:rsidRPr="00411B0B" w:rsidRDefault="00411B0B" w:rsidP="00411B0B">
            <w:pPr>
              <w:jc w:val="center"/>
              <w:rPr>
                <w:rFonts w:cs="Arial"/>
                <w:b/>
                <w:bCs/>
                <w:color w:val="FFFFFF"/>
                <w:sz w:val="18"/>
                <w:szCs w:val="18"/>
                <w:lang w:eastAsia="en-GB"/>
              </w:rPr>
            </w:pPr>
            <w:r w:rsidRPr="00411B0B">
              <w:rPr>
                <w:rFonts w:cs="Arial"/>
                <w:b/>
                <w:bCs/>
                <w:color w:val="FFFFFF"/>
                <w:sz w:val="18"/>
                <w:szCs w:val="18"/>
                <w:lang w:eastAsia="en-GB"/>
              </w:rPr>
              <w:t>£000</w:t>
            </w:r>
          </w:p>
        </w:tc>
        <w:tc>
          <w:tcPr>
            <w:tcW w:w="3827" w:type="dxa"/>
            <w:tcBorders>
              <w:top w:val="nil"/>
              <w:left w:val="nil"/>
              <w:bottom w:val="nil"/>
              <w:right w:val="nil"/>
            </w:tcBorders>
            <w:shd w:val="clear" w:color="000000" w:fill="000000"/>
            <w:noWrap/>
            <w:vAlign w:val="center"/>
            <w:hideMark/>
          </w:tcPr>
          <w:p w14:paraId="63924CF2" w14:textId="77777777" w:rsidR="00411B0B" w:rsidRPr="00411B0B" w:rsidRDefault="00411B0B" w:rsidP="00411B0B">
            <w:pPr>
              <w:rPr>
                <w:rFonts w:cs="Arial"/>
                <w:color w:val="000000"/>
                <w:sz w:val="22"/>
                <w:szCs w:val="22"/>
                <w:lang w:eastAsia="en-GB"/>
              </w:rPr>
            </w:pPr>
            <w:r w:rsidRPr="00411B0B">
              <w:rPr>
                <w:rFonts w:cs="Arial"/>
                <w:color w:val="000000"/>
                <w:sz w:val="22"/>
                <w:szCs w:val="22"/>
                <w:lang w:eastAsia="en-GB"/>
              </w:rPr>
              <w:t> </w:t>
            </w:r>
          </w:p>
        </w:tc>
        <w:tc>
          <w:tcPr>
            <w:tcW w:w="443" w:type="dxa"/>
            <w:vMerge/>
            <w:tcBorders>
              <w:top w:val="nil"/>
              <w:left w:val="nil"/>
              <w:bottom w:val="nil"/>
              <w:right w:val="nil"/>
            </w:tcBorders>
            <w:vAlign w:val="center"/>
            <w:hideMark/>
          </w:tcPr>
          <w:p w14:paraId="7E9EC07E" w14:textId="77777777" w:rsidR="00411B0B" w:rsidRPr="00411B0B" w:rsidRDefault="00411B0B" w:rsidP="00411B0B">
            <w:pPr>
              <w:rPr>
                <w:rFonts w:cs="Arial"/>
                <w:b/>
                <w:bCs/>
                <w:color w:val="FFFFFF"/>
                <w:sz w:val="18"/>
                <w:szCs w:val="18"/>
                <w:lang w:eastAsia="en-GB"/>
              </w:rPr>
            </w:pPr>
          </w:p>
        </w:tc>
        <w:tc>
          <w:tcPr>
            <w:tcW w:w="975" w:type="dxa"/>
            <w:tcBorders>
              <w:top w:val="nil"/>
              <w:left w:val="nil"/>
              <w:bottom w:val="nil"/>
              <w:right w:val="nil"/>
            </w:tcBorders>
            <w:shd w:val="clear" w:color="000000" w:fill="000000"/>
            <w:noWrap/>
            <w:vAlign w:val="center"/>
            <w:hideMark/>
          </w:tcPr>
          <w:p w14:paraId="2B4BA726" w14:textId="77777777" w:rsidR="00411B0B" w:rsidRPr="00411B0B" w:rsidRDefault="00411B0B" w:rsidP="00411B0B">
            <w:pPr>
              <w:jc w:val="center"/>
              <w:rPr>
                <w:rFonts w:cs="Arial"/>
                <w:b/>
                <w:bCs/>
                <w:color w:val="FFFFFF"/>
                <w:sz w:val="18"/>
                <w:szCs w:val="18"/>
                <w:lang w:eastAsia="en-GB"/>
              </w:rPr>
            </w:pPr>
            <w:r w:rsidRPr="00411B0B">
              <w:rPr>
                <w:rFonts w:cs="Arial"/>
                <w:b/>
                <w:bCs/>
                <w:color w:val="FFFFFF"/>
                <w:sz w:val="18"/>
                <w:szCs w:val="18"/>
                <w:lang w:eastAsia="en-GB"/>
              </w:rPr>
              <w:t>£000</w:t>
            </w:r>
          </w:p>
        </w:tc>
        <w:tc>
          <w:tcPr>
            <w:tcW w:w="1134" w:type="dxa"/>
            <w:tcBorders>
              <w:top w:val="nil"/>
              <w:left w:val="nil"/>
              <w:bottom w:val="nil"/>
              <w:right w:val="nil"/>
            </w:tcBorders>
            <w:shd w:val="clear" w:color="000000" w:fill="000000"/>
            <w:noWrap/>
            <w:vAlign w:val="center"/>
            <w:hideMark/>
          </w:tcPr>
          <w:p w14:paraId="10581C92" w14:textId="77777777" w:rsidR="00411B0B" w:rsidRPr="00411B0B" w:rsidRDefault="00411B0B" w:rsidP="00411B0B">
            <w:pPr>
              <w:jc w:val="center"/>
              <w:rPr>
                <w:rFonts w:cs="Arial"/>
                <w:b/>
                <w:bCs/>
                <w:color w:val="FFFFFF"/>
                <w:sz w:val="18"/>
                <w:szCs w:val="18"/>
                <w:lang w:eastAsia="en-GB"/>
              </w:rPr>
            </w:pPr>
            <w:r w:rsidRPr="00411B0B">
              <w:rPr>
                <w:rFonts w:cs="Arial"/>
                <w:b/>
                <w:bCs/>
                <w:color w:val="FFFFFF"/>
                <w:sz w:val="18"/>
                <w:szCs w:val="18"/>
                <w:lang w:eastAsia="en-GB"/>
              </w:rPr>
              <w:t>£000</w:t>
            </w:r>
          </w:p>
        </w:tc>
        <w:tc>
          <w:tcPr>
            <w:tcW w:w="850" w:type="dxa"/>
            <w:tcBorders>
              <w:top w:val="nil"/>
              <w:left w:val="nil"/>
              <w:bottom w:val="nil"/>
              <w:right w:val="single" w:sz="4" w:space="0" w:color="auto"/>
            </w:tcBorders>
            <w:shd w:val="clear" w:color="000000" w:fill="000000"/>
            <w:noWrap/>
            <w:vAlign w:val="center"/>
            <w:hideMark/>
          </w:tcPr>
          <w:p w14:paraId="1F4CD69F" w14:textId="77777777" w:rsidR="00411B0B" w:rsidRPr="00411B0B" w:rsidRDefault="00411B0B" w:rsidP="00411B0B">
            <w:pPr>
              <w:jc w:val="center"/>
              <w:rPr>
                <w:rFonts w:cs="Arial"/>
                <w:b/>
                <w:bCs/>
                <w:color w:val="FFFFFF"/>
                <w:sz w:val="18"/>
                <w:szCs w:val="18"/>
                <w:lang w:eastAsia="en-GB"/>
              </w:rPr>
            </w:pPr>
            <w:r w:rsidRPr="00411B0B">
              <w:rPr>
                <w:rFonts w:cs="Arial"/>
                <w:b/>
                <w:bCs/>
                <w:color w:val="FFFFFF"/>
                <w:sz w:val="18"/>
                <w:szCs w:val="18"/>
                <w:lang w:eastAsia="en-GB"/>
              </w:rPr>
              <w:t>£000</w:t>
            </w:r>
          </w:p>
        </w:tc>
      </w:tr>
      <w:tr w:rsidR="00411B0B" w:rsidRPr="00411B0B" w14:paraId="193C488A" w14:textId="77777777" w:rsidTr="00411B0B">
        <w:trPr>
          <w:trHeight w:val="290"/>
        </w:trPr>
        <w:tc>
          <w:tcPr>
            <w:tcW w:w="1036" w:type="dxa"/>
            <w:tcBorders>
              <w:top w:val="nil"/>
              <w:left w:val="single" w:sz="4" w:space="0" w:color="auto"/>
              <w:bottom w:val="nil"/>
              <w:right w:val="nil"/>
            </w:tcBorders>
            <w:shd w:val="clear" w:color="000000" w:fill="FFFFFF"/>
            <w:noWrap/>
            <w:vAlign w:val="center"/>
            <w:hideMark/>
          </w:tcPr>
          <w:p w14:paraId="5CD92E42" w14:textId="77777777" w:rsidR="00411B0B" w:rsidRPr="00411B0B" w:rsidRDefault="00411B0B" w:rsidP="00411B0B">
            <w:pPr>
              <w:jc w:val="center"/>
              <w:rPr>
                <w:rFonts w:cs="Arial"/>
                <w:b/>
                <w:bCs/>
                <w:color w:val="FFFFFF"/>
                <w:sz w:val="20"/>
                <w:szCs w:val="20"/>
                <w:lang w:eastAsia="en-GB"/>
              </w:rPr>
            </w:pPr>
            <w:r w:rsidRPr="00411B0B">
              <w:rPr>
                <w:rFonts w:cs="Arial"/>
                <w:b/>
                <w:bCs/>
                <w:color w:val="FFFFFF"/>
                <w:sz w:val="20"/>
                <w:szCs w:val="20"/>
                <w:lang w:eastAsia="en-GB"/>
              </w:rPr>
              <w:t> </w:t>
            </w:r>
          </w:p>
        </w:tc>
        <w:tc>
          <w:tcPr>
            <w:tcW w:w="961" w:type="dxa"/>
            <w:tcBorders>
              <w:top w:val="nil"/>
              <w:left w:val="nil"/>
              <w:bottom w:val="nil"/>
              <w:right w:val="nil"/>
            </w:tcBorders>
            <w:shd w:val="clear" w:color="000000" w:fill="FFFFFF"/>
            <w:noWrap/>
            <w:vAlign w:val="center"/>
            <w:hideMark/>
          </w:tcPr>
          <w:p w14:paraId="12D089FF" w14:textId="77777777" w:rsidR="00411B0B" w:rsidRPr="00411B0B" w:rsidRDefault="00411B0B" w:rsidP="00411B0B">
            <w:pPr>
              <w:jc w:val="center"/>
              <w:rPr>
                <w:rFonts w:cs="Arial"/>
                <w:b/>
                <w:bCs/>
                <w:color w:val="FFFFFF"/>
                <w:sz w:val="20"/>
                <w:szCs w:val="20"/>
                <w:lang w:eastAsia="en-GB"/>
              </w:rPr>
            </w:pPr>
            <w:r w:rsidRPr="00411B0B">
              <w:rPr>
                <w:rFonts w:cs="Arial"/>
                <w:b/>
                <w:bCs/>
                <w:color w:val="FFFFFF"/>
                <w:sz w:val="20"/>
                <w:szCs w:val="20"/>
                <w:lang w:eastAsia="en-GB"/>
              </w:rPr>
              <w:t> </w:t>
            </w:r>
          </w:p>
        </w:tc>
        <w:tc>
          <w:tcPr>
            <w:tcW w:w="980" w:type="dxa"/>
            <w:tcBorders>
              <w:top w:val="nil"/>
              <w:left w:val="nil"/>
              <w:bottom w:val="nil"/>
              <w:right w:val="nil"/>
            </w:tcBorders>
            <w:shd w:val="clear" w:color="000000" w:fill="FFFFFF"/>
            <w:noWrap/>
            <w:vAlign w:val="center"/>
            <w:hideMark/>
          </w:tcPr>
          <w:p w14:paraId="654AC451" w14:textId="77777777" w:rsidR="00411B0B" w:rsidRPr="00411B0B" w:rsidRDefault="00411B0B" w:rsidP="00411B0B">
            <w:pPr>
              <w:jc w:val="center"/>
              <w:rPr>
                <w:rFonts w:cs="Arial"/>
                <w:b/>
                <w:bCs/>
                <w:color w:val="FFFFFF"/>
                <w:sz w:val="20"/>
                <w:szCs w:val="20"/>
                <w:lang w:eastAsia="en-GB"/>
              </w:rPr>
            </w:pPr>
            <w:r w:rsidRPr="00411B0B">
              <w:rPr>
                <w:rFonts w:cs="Arial"/>
                <w:b/>
                <w:bCs/>
                <w:color w:val="FFFFFF"/>
                <w:sz w:val="20"/>
                <w:szCs w:val="20"/>
                <w:lang w:eastAsia="en-GB"/>
              </w:rPr>
              <w:t> </w:t>
            </w:r>
          </w:p>
        </w:tc>
        <w:tc>
          <w:tcPr>
            <w:tcW w:w="3827" w:type="dxa"/>
            <w:tcBorders>
              <w:top w:val="nil"/>
              <w:left w:val="nil"/>
              <w:bottom w:val="nil"/>
              <w:right w:val="nil"/>
            </w:tcBorders>
            <w:shd w:val="clear" w:color="000000" w:fill="FFFFFF"/>
            <w:noWrap/>
            <w:vAlign w:val="center"/>
            <w:hideMark/>
          </w:tcPr>
          <w:p w14:paraId="005A389D"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443" w:type="dxa"/>
            <w:tcBorders>
              <w:top w:val="nil"/>
              <w:left w:val="nil"/>
              <w:bottom w:val="nil"/>
              <w:right w:val="nil"/>
            </w:tcBorders>
            <w:shd w:val="clear" w:color="000000" w:fill="FFFFFF"/>
            <w:vAlign w:val="center"/>
            <w:hideMark/>
          </w:tcPr>
          <w:p w14:paraId="203A82B4"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75" w:type="dxa"/>
            <w:tcBorders>
              <w:top w:val="nil"/>
              <w:left w:val="nil"/>
              <w:bottom w:val="nil"/>
              <w:right w:val="nil"/>
            </w:tcBorders>
            <w:shd w:val="clear" w:color="000000" w:fill="FFFFFF"/>
            <w:noWrap/>
            <w:vAlign w:val="center"/>
            <w:hideMark/>
          </w:tcPr>
          <w:p w14:paraId="7FB4F88C" w14:textId="77777777" w:rsidR="00411B0B" w:rsidRPr="00411B0B" w:rsidRDefault="00411B0B" w:rsidP="00411B0B">
            <w:pPr>
              <w:jc w:val="center"/>
              <w:rPr>
                <w:rFonts w:cs="Arial"/>
                <w:b/>
                <w:bCs/>
                <w:color w:val="FFFFFF"/>
                <w:sz w:val="20"/>
                <w:szCs w:val="20"/>
                <w:lang w:eastAsia="en-GB"/>
              </w:rPr>
            </w:pPr>
            <w:r w:rsidRPr="00411B0B">
              <w:rPr>
                <w:rFonts w:cs="Arial"/>
                <w:b/>
                <w:bCs/>
                <w:color w:val="FFFFFF"/>
                <w:sz w:val="20"/>
                <w:szCs w:val="20"/>
                <w:lang w:eastAsia="en-GB"/>
              </w:rPr>
              <w:t> </w:t>
            </w:r>
          </w:p>
        </w:tc>
        <w:tc>
          <w:tcPr>
            <w:tcW w:w="1134" w:type="dxa"/>
            <w:tcBorders>
              <w:top w:val="nil"/>
              <w:left w:val="nil"/>
              <w:bottom w:val="nil"/>
              <w:right w:val="nil"/>
            </w:tcBorders>
            <w:shd w:val="clear" w:color="000000" w:fill="FFFFFF"/>
            <w:noWrap/>
            <w:vAlign w:val="center"/>
            <w:hideMark/>
          </w:tcPr>
          <w:p w14:paraId="5CB0142F" w14:textId="77777777" w:rsidR="00411B0B" w:rsidRPr="00411B0B" w:rsidRDefault="00411B0B" w:rsidP="00411B0B">
            <w:pPr>
              <w:jc w:val="center"/>
              <w:rPr>
                <w:rFonts w:cs="Arial"/>
                <w:b/>
                <w:bCs/>
                <w:color w:val="FFFFFF"/>
                <w:sz w:val="20"/>
                <w:szCs w:val="20"/>
                <w:lang w:eastAsia="en-GB"/>
              </w:rPr>
            </w:pPr>
            <w:r w:rsidRPr="00411B0B">
              <w:rPr>
                <w:rFonts w:cs="Arial"/>
                <w:b/>
                <w:bCs/>
                <w:color w:val="FFFFFF"/>
                <w:sz w:val="20"/>
                <w:szCs w:val="20"/>
                <w:lang w:eastAsia="en-GB"/>
              </w:rPr>
              <w:t> </w:t>
            </w:r>
          </w:p>
        </w:tc>
        <w:tc>
          <w:tcPr>
            <w:tcW w:w="850" w:type="dxa"/>
            <w:tcBorders>
              <w:top w:val="nil"/>
              <w:left w:val="nil"/>
              <w:bottom w:val="nil"/>
              <w:right w:val="single" w:sz="4" w:space="0" w:color="auto"/>
            </w:tcBorders>
            <w:shd w:val="clear" w:color="000000" w:fill="FFFFFF"/>
            <w:noWrap/>
            <w:vAlign w:val="center"/>
            <w:hideMark/>
          </w:tcPr>
          <w:p w14:paraId="6A033CB1" w14:textId="77777777" w:rsidR="00411B0B" w:rsidRPr="00411B0B" w:rsidRDefault="00411B0B" w:rsidP="00411B0B">
            <w:pPr>
              <w:jc w:val="center"/>
              <w:rPr>
                <w:rFonts w:cs="Arial"/>
                <w:b/>
                <w:bCs/>
                <w:color w:val="FFFFFF"/>
                <w:sz w:val="20"/>
                <w:szCs w:val="20"/>
                <w:lang w:eastAsia="en-GB"/>
              </w:rPr>
            </w:pPr>
            <w:r w:rsidRPr="00411B0B">
              <w:rPr>
                <w:rFonts w:cs="Arial"/>
                <w:b/>
                <w:bCs/>
                <w:color w:val="FFFFFF"/>
                <w:sz w:val="20"/>
                <w:szCs w:val="20"/>
                <w:lang w:eastAsia="en-GB"/>
              </w:rPr>
              <w:t> </w:t>
            </w:r>
          </w:p>
        </w:tc>
      </w:tr>
      <w:tr w:rsidR="00411B0B" w:rsidRPr="00411B0B" w14:paraId="1E0F3D6B" w14:textId="77777777" w:rsidTr="00411B0B">
        <w:trPr>
          <w:trHeight w:val="290"/>
        </w:trPr>
        <w:tc>
          <w:tcPr>
            <w:tcW w:w="1036" w:type="dxa"/>
            <w:tcBorders>
              <w:top w:val="nil"/>
              <w:left w:val="single" w:sz="4" w:space="0" w:color="auto"/>
              <w:bottom w:val="nil"/>
              <w:right w:val="nil"/>
            </w:tcBorders>
            <w:shd w:val="clear" w:color="000000" w:fill="FFFFFF"/>
            <w:noWrap/>
            <w:vAlign w:val="center"/>
            <w:hideMark/>
          </w:tcPr>
          <w:p w14:paraId="38B7A1BC"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912</w:t>
            </w:r>
          </w:p>
        </w:tc>
        <w:tc>
          <w:tcPr>
            <w:tcW w:w="961" w:type="dxa"/>
            <w:tcBorders>
              <w:top w:val="nil"/>
              <w:left w:val="nil"/>
              <w:bottom w:val="nil"/>
              <w:right w:val="nil"/>
            </w:tcBorders>
            <w:shd w:val="clear" w:color="000000" w:fill="FFFFFF"/>
            <w:noWrap/>
            <w:vAlign w:val="center"/>
            <w:hideMark/>
          </w:tcPr>
          <w:p w14:paraId="77C48DB3"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(193)</w:t>
            </w:r>
          </w:p>
        </w:tc>
        <w:tc>
          <w:tcPr>
            <w:tcW w:w="980" w:type="dxa"/>
            <w:tcBorders>
              <w:top w:val="nil"/>
              <w:left w:val="nil"/>
              <w:bottom w:val="nil"/>
              <w:right w:val="nil"/>
            </w:tcBorders>
            <w:shd w:val="clear" w:color="000000" w:fill="FFFFFF"/>
            <w:noWrap/>
            <w:vAlign w:val="center"/>
            <w:hideMark/>
          </w:tcPr>
          <w:p w14:paraId="4A7CF527"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719</w:t>
            </w:r>
          </w:p>
        </w:tc>
        <w:tc>
          <w:tcPr>
            <w:tcW w:w="3827" w:type="dxa"/>
            <w:tcBorders>
              <w:top w:val="nil"/>
              <w:left w:val="nil"/>
              <w:bottom w:val="nil"/>
              <w:right w:val="nil"/>
            </w:tcBorders>
            <w:shd w:val="clear" w:color="000000" w:fill="FFFFFF"/>
            <w:vAlign w:val="center"/>
            <w:hideMark/>
          </w:tcPr>
          <w:p w14:paraId="36D5AD03"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Executive Board &amp; Legal</w:t>
            </w:r>
          </w:p>
        </w:tc>
        <w:tc>
          <w:tcPr>
            <w:tcW w:w="443" w:type="dxa"/>
            <w:tcBorders>
              <w:top w:val="nil"/>
              <w:left w:val="nil"/>
              <w:bottom w:val="nil"/>
              <w:right w:val="nil"/>
            </w:tcBorders>
            <w:shd w:val="clear" w:color="000000" w:fill="FFFFFF"/>
            <w:vAlign w:val="center"/>
            <w:hideMark/>
          </w:tcPr>
          <w:p w14:paraId="3E5B2FBF"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75" w:type="dxa"/>
            <w:tcBorders>
              <w:top w:val="nil"/>
              <w:left w:val="nil"/>
              <w:bottom w:val="nil"/>
              <w:right w:val="nil"/>
            </w:tcBorders>
            <w:shd w:val="clear" w:color="000000" w:fill="FFFFFF"/>
            <w:noWrap/>
            <w:vAlign w:val="center"/>
            <w:hideMark/>
          </w:tcPr>
          <w:p w14:paraId="4B437C31"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1,025</w:t>
            </w:r>
          </w:p>
        </w:tc>
        <w:tc>
          <w:tcPr>
            <w:tcW w:w="1134" w:type="dxa"/>
            <w:tcBorders>
              <w:top w:val="nil"/>
              <w:left w:val="nil"/>
              <w:bottom w:val="nil"/>
              <w:right w:val="nil"/>
            </w:tcBorders>
            <w:shd w:val="clear" w:color="000000" w:fill="FFFFFF"/>
            <w:noWrap/>
            <w:vAlign w:val="center"/>
            <w:hideMark/>
          </w:tcPr>
          <w:p w14:paraId="77003A6A" w14:textId="5CC162D3"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w:t>
            </w:r>
            <w:r w:rsidR="006B0145">
              <w:rPr>
                <w:rFonts w:cs="Arial"/>
                <w:color w:val="000000"/>
                <w:sz w:val="20"/>
                <w:szCs w:val="20"/>
                <w:lang w:eastAsia="en-GB"/>
              </w:rPr>
              <w:t>102</w:t>
            </w:r>
            <w:r w:rsidRPr="00411B0B">
              <w:rPr>
                <w:rFonts w:cs="Arial"/>
                <w:color w:val="000000"/>
                <w:sz w:val="20"/>
                <w:szCs w:val="20"/>
                <w:lang w:eastAsia="en-GB"/>
              </w:rPr>
              <w:t>)</w:t>
            </w:r>
          </w:p>
        </w:tc>
        <w:tc>
          <w:tcPr>
            <w:tcW w:w="850" w:type="dxa"/>
            <w:tcBorders>
              <w:top w:val="nil"/>
              <w:left w:val="nil"/>
              <w:bottom w:val="nil"/>
              <w:right w:val="single" w:sz="4" w:space="0" w:color="auto"/>
            </w:tcBorders>
            <w:shd w:val="clear" w:color="000000" w:fill="FFFFFF"/>
            <w:noWrap/>
            <w:vAlign w:val="center"/>
            <w:hideMark/>
          </w:tcPr>
          <w:p w14:paraId="5ECDF3CF" w14:textId="0BA096A3"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9</w:t>
            </w:r>
            <w:r w:rsidR="006B0145">
              <w:rPr>
                <w:rFonts w:cs="Arial"/>
                <w:color w:val="000000"/>
                <w:sz w:val="20"/>
                <w:szCs w:val="20"/>
                <w:lang w:eastAsia="en-GB"/>
              </w:rPr>
              <w:t>23</w:t>
            </w:r>
          </w:p>
        </w:tc>
      </w:tr>
      <w:tr w:rsidR="00411B0B" w:rsidRPr="00411B0B" w14:paraId="602F75C7" w14:textId="77777777" w:rsidTr="00411B0B">
        <w:trPr>
          <w:trHeight w:val="290"/>
        </w:trPr>
        <w:tc>
          <w:tcPr>
            <w:tcW w:w="1036" w:type="dxa"/>
            <w:tcBorders>
              <w:top w:val="nil"/>
              <w:left w:val="single" w:sz="4" w:space="0" w:color="auto"/>
              <w:bottom w:val="nil"/>
              <w:right w:val="nil"/>
            </w:tcBorders>
            <w:shd w:val="clear" w:color="000000" w:fill="FFFFFF"/>
            <w:noWrap/>
            <w:vAlign w:val="center"/>
            <w:hideMark/>
          </w:tcPr>
          <w:p w14:paraId="49B3F6F4"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2,946</w:t>
            </w:r>
          </w:p>
        </w:tc>
        <w:tc>
          <w:tcPr>
            <w:tcW w:w="961" w:type="dxa"/>
            <w:tcBorders>
              <w:top w:val="nil"/>
              <w:left w:val="nil"/>
              <w:bottom w:val="nil"/>
              <w:right w:val="nil"/>
            </w:tcBorders>
            <w:shd w:val="clear" w:color="000000" w:fill="FFFFFF"/>
            <w:noWrap/>
            <w:vAlign w:val="center"/>
            <w:hideMark/>
          </w:tcPr>
          <w:p w14:paraId="1815DA9D"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(563)</w:t>
            </w:r>
          </w:p>
        </w:tc>
        <w:tc>
          <w:tcPr>
            <w:tcW w:w="980" w:type="dxa"/>
            <w:tcBorders>
              <w:top w:val="nil"/>
              <w:left w:val="nil"/>
              <w:bottom w:val="nil"/>
              <w:right w:val="nil"/>
            </w:tcBorders>
            <w:shd w:val="clear" w:color="000000" w:fill="FFFFFF"/>
            <w:noWrap/>
            <w:vAlign w:val="center"/>
            <w:hideMark/>
          </w:tcPr>
          <w:p w14:paraId="19708910"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2,383</w:t>
            </w:r>
          </w:p>
        </w:tc>
        <w:tc>
          <w:tcPr>
            <w:tcW w:w="3827" w:type="dxa"/>
            <w:tcBorders>
              <w:top w:val="nil"/>
              <w:left w:val="nil"/>
              <w:bottom w:val="nil"/>
              <w:right w:val="nil"/>
            </w:tcBorders>
            <w:shd w:val="clear" w:color="000000" w:fill="FFFFFF"/>
            <w:vAlign w:val="center"/>
            <w:hideMark/>
          </w:tcPr>
          <w:p w14:paraId="0D46DDFE"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Resources</w:t>
            </w:r>
          </w:p>
        </w:tc>
        <w:tc>
          <w:tcPr>
            <w:tcW w:w="443" w:type="dxa"/>
            <w:tcBorders>
              <w:top w:val="nil"/>
              <w:left w:val="nil"/>
              <w:bottom w:val="nil"/>
              <w:right w:val="nil"/>
            </w:tcBorders>
            <w:shd w:val="clear" w:color="000000" w:fill="FFFFFF"/>
            <w:vAlign w:val="center"/>
            <w:hideMark/>
          </w:tcPr>
          <w:p w14:paraId="72BF0F12"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75" w:type="dxa"/>
            <w:tcBorders>
              <w:top w:val="nil"/>
              <w:left w:val="nil"/>
              <w:bottom w:val="nil"/>
              <w:right w:val="nil"/>
            </w:tcBorders>
            <w:shd w:val="clear" w:color="000000" w:fill="FFFFFF"/>
            <w:noWrap/>
            <w:vAlign w:val="center"/>
            <w:hideMark/>
          </w:tcPr>
          <w:p w14:paraId="26B20F6A" w14:textId="51D18FD4"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2,90</w:t>
            </w:r>
            <w:r w:rsidR="00F5136C">
              <w:rPr>
                <w:rFonts w:cs="Arial"/>
                <w:color w:val="000000"/>
                <w:sz w:val="20"/>
                <w:szCs w:val="20"/>
                <w:lang w:eastAsia="en-GB"/>
              </w:rPr>
              <w:t>2</w:t>
            </w:r>
          </w:p>
        </w:tc>
        <w:tc>
          <w:tcPr>
            <w:tcW w:w="1134" w:type="dxa"/>
            <w:tcBorders>
              <w:top w:val="nil"/>
              <w:left w:val="nil"/>
              <w:bottom w:val="nil"/>
              <w:right w:val="nil"/>
            </w:tcBorders>
            <w:shd w:val="clear" w:color="000000" w:fill="FFFFFF"/>
            <w:noWrap/>
            <w:vAlign w:val="center"/>
            <w:hideMark/>
          </w:tcPr>
          <w:p w14:paraId="18062250" w14:textId="4E4C0BD1"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(4</w:t>
            </w:r>
            <w:r w:rsidR="004E2F5F">
              <w:rPr>
                <w:rFonts w:cs="Arial"/>
                <w:color w:val="000000"/>
                <w:sz w:val="20"/>
                <w:szCs w:val="20"/>
                <w:lang w:eastAsia="en-GB"/>
              </w:rPr>
              <w:t>73</w:t>
            </w:r>
            <w:r w:rsidRPr="00411B0B">
              <w:rPr>
                <w:rFonts w:cs="Arial"/>
                <w:color w:val="000000"/>
                <w:sz w:val="20"/>
                <w:szCs w:val="20"/>
                <w:lang w:eastAsia="en-GB"/>
              </w:rPr>
              <w:t>)</w:t>
            </w:r>
          </w:p>
        </w:tc>
        <w:tc>
          <w:tcPr>
            <w:tcW w:w="850" w:type="dxa"/>
            <w:tcBorders>
              <w:top w:val="nil"/>
              <w:left w:val="nil"/>
              <w:bottom w:val="nil"/>
              <w:right w:val="single" w:sz="4" w:space="0" w:color="auto"/>
            </w:tcBorders>
            <w:shd w:val="clear" w:color="000000" w:fill="FFFFFF"/>
            <w:noWrap/>
            <w:vAlign w:val="center"/>
            <w:hideMark/>
          </w:tcPr>
          <w:p w14:paraId="3E5F1182" w14:textId="3F12EECF"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2,4</w:t>
            </w:r>
            <w:r w:rsidR="004E2F5F">
              <w:rPr>
                <w:rFonts w:cs="Arial"/>
                <w:color w:val="000000"/>
                <w:sz w:val="20"/>
                <w:szCs w:val="20"/>
                <w:lang w:eastAsia="en-GB"/>
              </w:rPr>
              <w:t>2</w:t>
            </w:r>
            <w:r w:rsidR="00F5136C">
              <w:rPr>
                <w:rFonts w:cs="Arial"/>
                <w:color w:val="000000"/>
                <w:sz w:val="20"/>
                <w:szCs w:val="20"/>
                <w:lang w:eastAsia="en-GB"/>
              </w:rPr>
              <w:t>9</w:t>
            </w:r>
          </w:p>
        </w:tc>
      </w:tr>
      <w:tr w:rsidR="00411B0B" w:rsidRPr="00411B0B" w14:paraId="4E36F102" w14:textId="77777777" w:rsidTr="00411B0B">
        <w:trPr>
          <w:trHeight w:val="290"/>
        </w:trPr>
        <w:tc>
          <w:tcPr>
            <w:tcW w:w="1036" w:type="dxa"/>
            <w:tcBorders>
              <w:top w:val="nil"/>
              <w:left w:val="single" w:sz="4" w:space="0" w:color="auto"/>
              <w:bottom w:val="nil"/>
              <w:right w:val="nil"/>
            </w:tcBorders>
            <w:shd w:val="clear" w:color="000000" w:fill="FFFFFF"/>
            <w:noWrap/>
            <w:vAlign w:val="center"/>
            <w:hideMark/>
          </w:tcPr>
          <w:p w14:paraId="17C62D0F"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6,287</w:t>
            </w:r>
          </w:p>
        </w:tc>
        <w:tc>
          <w:tcPr>
            <w:tcW w:w="961" w:type="dxa"/>
            <w:tcBorders>
              <w:top w:val="nil"/>
              <w:left w:val="nil"/>
              <w:bottom w:val="nil"/>
              <w:right w:val="nil"/>
            </w:tcBorders>
            <w:shd w:val="clear" w:color="000000" w:fill="FFFFFF"/>
            <w:noWrap/>
            <w:vAlign w:val="center"/>
            <w:hideMark/>
          </w:tcPr>
          <w:p w14:paraId="28BB6328"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(5,742)</w:t>
            </w:r>
          </w:p>
        </w:tc>
        <w:tc>
          <w:tcPr>
            <w:tcW w:w="980" w:type="dxa"/>
            <w:tcBorders>
              <w:top w:val="nil"/>
              <w:left w:val="nil"/>
              <w:bottom w:val="nil"/>
              <w:right w:val="nil"/>
            </w:tcBorders>
            <w:shd w:val="clear" w:color="000000" w:fill="FFFFFF"/>
            <w:noWrap/>
            <w:vAlign w:val="center"/>
            <w:hideMark/>
          </w:tcPr>
          <w:p w14:paraId="37D7ACAE"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545</w:t>
            </w:r>
          </w:p>
        </w:tc>
        <w:tc>
          <w:tcPr>
            <w:tcW w:w="3827" w:type="dxa"/>
            <w:tcBorders>
              <w:top w:val="nil"/>
              <w:left w:val="nil"/>
              <w:bottom w:val="nil"/>
              <w:right w:val="nil"/>
            </w:tcBorders>
            <w:shd w:val="clear" w:color="000000" w:fill="FFFFFF"/>
            <w:vAlign w:val="center"/>
            <w:hideMark/>
          </w:tcPr>
          <w:p w14:paraId="68085D0F"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Visitor Services</w:t>
            </w:r>
          </w:p>
        </w:tc>
        <w:tc>
          <w:tcPr>
            <w:tcW w:w="443" w:type="dxa"/>
            <w:tcBorders>
              <w:top w:val="nil"/>
              <w:left w:val="nil"/>
              <w:bottom w:val="nil"/>
              <w:right w:val="nil"/>
            </w:tcBorders>
            <w:shd w:val="clear" w:color="000000" w:fill="FFFFFF"/>
            <w:vAlign w:val="center"/>
            <w:hideMark/>
          </w:tcPr>
          <w:p w14:paraId="23E6FE17"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75" w:type="dxa"/>
            <w:tcBorders>
              <w:top w:val="nil"/>
              <w:left w:val="nil"/>
              <w:bottom w:val="nil"/>
              <w:right w:val="nil"/>
            </w:tcBorders>
            <w:shd w:val="clear" w:color="000000" w:fill="FFFFFF"/>
            <w:noWrap/>
            <w:vAlign w:val="center"/>
            <w:hideMark/>
          </w:tcPr>
          <w:p w14:paraId="6FAE7292" w14:textId="0A8600EE"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6,</w:t>
            </w:r>
            <w:r w:rsidR="006B0145">
              <w:rPr>
                <w:rFonts w:cs="Arial"/>
                <w:color w:val="000000"/>
                <w:sz w:val="20"/>
                <w:szCs w:val="20"/>
                <w:lang w:eastAsia="en-GB"/>
              </w:rPr>
              <w:t>2</w:t>
            </w:r>
            <w:r w:rsidR="00F5136C">
              <w:rPr>
                <w:rFonts w:cs="Arial"/>
                <w:color w:val="000000"/>
                <w:sz w:val="20"/>
                <w:szCs w:val="20"/>
                <w:lang w:eastAsia="en-GB"/>
              </w:rPr>
              <w:t>75</w:t>
            </w:r>
          </w:p>
        </w:tc>
        <w:tc>
          <w:tcPr>
            <w:tcW w:w="1134" w:type="dxa"/>
            <w:tcBorders>
              <w:top w:val="nil"/>
              <w:left w:val="nil"/>
              <w:bottom w:val="nil"/>
              <w:right w:val="nil"/>
            </w:tcBorders>
            <w:shd w:val="clear" w:color="000000" w:fill="FFFFFF"/>
            <w:noWrap/>
            <w:vAlign w:val="center"/>
            <w:hideMark/>
          </w:tcPr>
          <w:p w14:paraId="126E506A"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(6,233)</w:t>
            </w:r>
          </w:p>
        </w:tc>
        <w:tc>
          <w:tcPr>
            <w:tcW w:w="850" w:type="dxa"/>
            <w:tcBorders>
              <w:top w:val="nil"/>
              <w:left w:val="nil"/>
              <w:bottom w:val="nil"/>
              <w:right w:val="single" w:sz="4" w:space="0" w:color="auto"/>
            </w:tcBorders>
            <w:shd w:val="clear" w:color="000000" w:fill="FFFFFF"/>
            <w:noWrap/>
            <w:vAlign w:val="center"/>
            <w:hideMark/>
          </w:tcPr>
          <w:p w14:paraId="2D0FB246" w14:textId="6EE69946"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w:t>
            </w:r>
            <w:r w:rsidR="00F5136C">
              <w:rPr>
                <w:rFonts w:cs="Arial"/>
                <w:color w:val="000000"/>
                <w:sz w:val="20"/>
                <w:szCs w:val="20"/>
                <w:lang w:eastAsia="en-GB"/>
              </w:rPr>
              <w:t>42</w:t>
            </w:r>
          </w:p>
        </w:tc>
      </w:tr>
      <w:tr w:rsidR="00411B0B" w:rsidRPr="00411B0B" w14:paraId="01219835" w14:textId="77777777" w:rsidTr="00411B0B">
        <w:trPr>
          <w:trHeight w:val="290"/>
        </w:trPr>
        <w:tc>
          <w:tcPr>
            <w:tcW w:w="1036" w:type="dxa"/>
            <w:tcBorders>
              <w:top w:val="nil"/>
              <w:left w:val="single" w:sz="4" w:space="0" w:color="auto"/>
              <w:bottom w:val="nil"/>
              <w:right w:val="nil"/>
            </w:tcBorders>
            <w:shd w:val="clear" w:color="000000" w:fill="FFFFFF"/>
            <w:noWrap/>
            <w:vAlign w:val="center"/>
            <w:hideMark/>
          </w:tcPr>
          <w:p w14:paraId="2CC8C1CE"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572</w:t>
            </w:r>
          </w:p>
        </w:tc>
        <w:tc>
          <w:tcPr>
            <w:tcW w:w="961" w:type="dxa"/>
            <w:tcBorders>
              <w:top w:val="nil"/>
              <w:left w:val="nil"/>
              <w:bottom w:val="nil"/>
              <w:right w:val="nil"/>
            </w:tcBorders>
            <w:shd w:val="clear" w:color="000000" w:fill="FFFFFF"/>
            <w:noWrap/>
            <w:vAlign w:val="center"/>
            <w:hideMark/>
          </w:tcPr>
          <w:p w14:paraId="2CBFBAC7"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(5)</w:t>
            </w:r>
          </w:p>
        </w:tc>
        <w:tc>
          <w:tcPr>
            <w:tcW w:w="980" w:type="dxa"/>
            <w:tcBorders>
              <w:top w:val="nil"/>
              <w:left w:val="nil"/>
              <w:bottom w:val="nil"/>
              <w:right w:val="nil"/>
            </w:tcBorders>
            <w:shd w:val="clear" w:color="000000" w:fill="FFFFFF"/>
            <w:noWrap/>
            <w:vAlign w:val="center"/>
            <w:hideMark/>
          </w:tcPr>
          <w:p w14:paraId="526D2DF2"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567</w:t>
            </w:r>
          </w:p>
        </w:tc>
        <w:tc>
          <w:tcPr>
            <w:tcW w:w="3827" w:type="dxa"/>
            <w:tcBorders>
              <w:top w:val="nil"/>
              <w:left w:val="nil"/>
              <w:bottom w:val="nil"/>
              <w:right w:val="nil"/>
            </w:tcBorders>
            <w:shd w:val="clear" w:color="000000" w:fill="FFFFFF"/>
            <w:vAlign w:val="center"/>
            <w:hideMark/>
          </w:tcPr>
          <w:p w14:paraId="41888BF5"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People</w:t>
            </w:r>
          </w:p>
        </w:tc>
        <w:tc>
          <w:tcPr>
            <w:tcW w:w="443" w:type="dxa"/>
            <w:tcBorders>
              <w:top w:val="nil"/>
              <w:left w:val="nil"/>
              <w:bottom w:val="nil"/>
              <w:right w:val="nil"/>
            </w:tcBorders>
            <w:shd w:val="clear" w:color="000000" w:fill="FFFFFF"/>
            <w:vAlign w:val="center"/>
            <w:hideMark/>
          </w:tcPr>
          <w:p w14:paraId="2E6E1730"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75" w:type="dxa"/>
            <w:tcBorders>
              <w:top w:val="nil"/>
              <w:left w:val="nil"/>
              <w:bottom w:val="nil"/>
              <w:right w:val="nil"/>
            </w:tcBorders>
            <w:shd w:val="clear" w:color="000000" w:fill="FFFFFF"/>
            <w:noWrap/>
            <w:vAlign w:val="center"/>
            <w:hideMark/>
          </w:tcPr>
          <w:p w14:paraId="507C5677"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432</w:t>
            </w:r>
          </w:p>
        </w:tc>
        <w:tc>
          <w:tcPr>
            <w:tcW w:w="1134" w:type="dxa"/>
            <w:tcBorders>
              <w:top w:val="nil"/>
              <w:left w:val="nil"/>
              <w:bottom w:val="nil"/>
              <w:right w:val="nil"/>
            </w:tcBorders>
            <w:shd w:val="clear" w:color="000000" w:fill="FFFFFF"/>
            <w:noWrap/>
            <w:vAlign w:val="center"/>
            <w:hideMark/>
          </w:tcPr>
          <w:p w14:paraId="4D0DFEC1"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0</w:t>
            </w:r>
          </w:p>
        </w:tc>
        <w:tc>
          <w:tcPr>
            <w:tcW w:w="850" w:type="dxa"/>
            <w:tcBorders>
              <w:top w:val="nil"/>
              <w:left w:val="nil"/>
              <w:bottom w:val="nil"/>
              <w:right w:val="single" w:sz="4" w:space="0" w:color="auto"/>
            </w:tcBorders>
            <w:shd w:val="clear" w:color="000000" w:fill="FFFFFF"/>
            <w:noWrap/>
            <w:vAlign w:val="center"/>
            <w:hideMark/>
          </w:tcPr>
          <w:p w14:paraId="2CF2FEB1"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432</w:t>
            </w:r>
          </w:p>
        </w:tc>
      </w:tr>
      <w:tr w:rsidR="00411B0B" w:rsidRPr="00411B0B" w14:paraId="68A2740E" w14:textId="77777777" w:rsidTr="00411B0B">
        <w:trPr>
          <w:trHeight w:val="290"/>
        </w:trPr>
        <w:tc>
          <w:tcPr>
            <w:tcW w:w="1036" w:type="dxa"/>
            <w:tcBorders>
              <w:top w:val="nil"/>
              <w:left w:val="single" w:sz="4" w:space="0" w:color="auto"/>
              <w:bottom w:val="nil"/>
              <w:right w:val="nil"/>
            </w:tcBorders>
            <w:shd w:val="clear" w:color="000000" w:fill="FFFFFF"/>
            <w:noWrap/>
            <w:vAlign w:val="center"/>
            <w:hideMark/>
          </w:tcPr>
          <w:p w14:paraId="00D8DCCF"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641</w:t>
            </w:r>
          </w:p>
        </w:tc>
        <w:tc>
          <w:tcPr>
            <w:tcW w:w="961" w:type="dxa"/>
            <w:tcBorders>
              <w:top w:val="nil"/>
              <w:left w:val="nil"/>
              <w:bottom w:val="nil"/>
              <w:right w:val="nil"/>
            </w:tcBorders>
            <w:shd w:val="clear" w:color="000000" w:fill="FFFFFF"/>
            <w:noWrap/>
            <w:vAlign w:val="center"/>
            <w:hideMark/>
          </w:tcPr>
          <w:p w14:paraId="1A9BA37B"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(81)</w:t>
            </w:r>
          </w:p>
        </w:tc>
        <w:tc>
          <w:tcPr>
            <w:tcW w:w="980" w:type="dxa"/>
            <w:tcBorders>
              <w:top w:val="nil"/>
              <w:left w:val="nil"/>
              <w:bottom w:val="nil"/>
              <w:right w:val="nil"/>
            </w:tcBorders>
            <w:shd w:val="clear" w:color="000000" w:fill="FFFFFF"/>
            <w:noWrap/>
            <w:vAlign w:val="center"/>
            <w:hideMark/>
          </w:tcPr>
          <w:p w14:paraId="5FDB6016"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560</w:t>
            </w:r>
          </w:p>
        </w:tc>
        <w:tc>
          <w:tcPr>
            <w:tcW w:w="3827" w:type="dxa"/>
            <w:tcBorders>
              <w:top w:val="nil"/>
              <w:left w:val="nil"/>
              <w:bottom w:val="nil"/>
              <w:right w:val="nil"/>
            </w:tcBorders>
            <w:shd w:val="clear" w:color="000000" w:fill="FFFFFF"/>
            <w:vAlign w:val="center"/>
            <w:hideMark/>
          </w:tcPr>
          <w:p w14:paraId="7E021899"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Communications</w:t>
            </w:r>
          </w:p>
        </w:tc>
        <w:tc>
          <w:tcPr>
            <w:tcW w:w="443" w:type="dxa"/>
            <w:tcBorders>
              <w:top w:val="nil"/>
              <w:left w:val="nil"/>
              <w:bottom w:val="nil"/>
              <w:right w:val="nil"/>
            </w:tcBorders>
            <w:shd w:val="clear" w:color="000000" w:fill="FFFFFF"/>
            <w:vAlign w:val="center"/>
            <w:hideMark/>
          </w:tcPr>
          <w:p w14:paraId="31769D9E"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75" w:type="dxa"/>
            <w:tcBorders>
              <w:top w:val="nil"/>
              <w:left w:val="nil"/>
              <w:bottom w:val="nil"/>
              <w:right w:val="nil"/>
            </w:tcBorders>
            <w:shd w:val="clear" w:color="000000" w:fill="FFFFFF"/>
            <w:noWrap/>
            <w:vAlign w:val="center"/>
            <w:hideMark/>
          </w:tcPr>
          <w:p w14:paraId="2E898FF0"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539</w:t>
            </w:r>
          </w:p>
        </w:tc>
        <w:tc>
          <w:tcPr>
            <w:tcW w:w="1134" w:type="dxa"/>
            <w:tcBorders>
              <w:top w:val="nil"/>
              <w:left w:val="nil"/>
              <w:bottom w:val="nil"/>
              <w:right w:val="nil"/>
            </w:tcBorders>
            <w:shd w:val="clear" w:color="000000" w:fill="FFFFFF"/>
            <w:noWrap/>
            <w:vAlign w:val="center"/>
            <w:hideMark/>
          </w:tcPr>
          <w:p w14:paraId="6E63C659"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(39)</w:t>
            </w:r>
          </w:p>
        </w:tc>
        <w:tc>
          <w:tcPr>
            <w:tcW w:w="850" w:type="dxa"/>
            <w:tcBorders>
              <w:top w:val="nil"/>
              <w:left w:val="nil"/>
              <w:bottom w:val="nil"/>
              <w:right w:val="single" w:sz="4" w:space="0" w:color="auto"/>
            </w:tcBorders>
            <w:shd w:val="clear" w:color="000000" w:fill="FFFFFF"/>
            <w:noWrap/>
            <w:vAlign w:val="center"/>
            <w:hideMark/>
          </w:tcPr>
          <w:p w14:paraId="04BD2E36"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500</w:t>
            </w:r>
          </w:p>
        </w:tc>
      </w:tr>
      <w:tr w:rsidR="00411B0B" w:rsidRPr="00411B0B" w14:paraId="18C6627E" w14:textId="77777777" w:rsidTr="00411B0B">
        <w:trPr>
          <w:trHeight w:val="290"/>
        </w:trPr>
        <w:tc>
          <w:tcPr>
            <w:tcW w:w="1036" w:type="dxa"/>
            <w:tcBorders>
              <w:top w:val="nil"/>
              <w:left w:val="single" w:sz="4" w:space="0" w:color="auto"/>
              <w:bottom w:val="nil"/>
              <w:right w:val="nil"/>
            </w:tcBorders>
            <w:shd w:val="clear" w:color="000000" w:fill="FFFFFF"/>
            <w:noWrap/>
            <w:vAlign w:val="center"/>
            <w:hideMark/>
          </w:tcPr>
          <w:p w14:paraId="3B4B1DE5"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1,240</w:t>
            </w:r>
          </w:p>
        </w:tc>
        <w:tc>
          <w:tcPr>
            <w:tcW w:w="961" w:type="dxa"/>
            <w:tcBorders>
              <w:top w:val="nil"/>
              <w:left w:val="nil"/>
              <w:bottom w:val="nil"/>
              <w:right w:val="nil"/>
            </w:tcBorders>
            <w:shd w:val="clear" w:color="000000" w:fill="FFFFFF"/>
            <w:noWrap/>
            <w:vAlign w:val="center"/>
            <w:hideMark/>
          </w:tcPr>
          <w:p w14:paraId="4BC6A7BE"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(465)</w:t>
            </w:r>
          </w:p>
        </w:tc>
        <w:tc>
          <w:tcPr>
            <w:tcW w:w="980" w:type="dxa"/>
            <w:tcBorders>
              <w:top w:val="nil"/>
              <w:left w:val="nil"/>
              <w:bottom w:val="nil"/>
              <w:right w:val="nil"/>
            </w:tcBorders>
            <w:shd w:val="clear" w:color="000000" w:fill="FFFFFF"/>
            <w:noWrap/>
            <w:vAlign w:val="center"/>
            <w:hideMark/>
          </w:tcPr>
          <w:p w14:paraId="1F1DFDCA"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775</w:t>
            </w:r>
          </w:p>
        </w:tc>
        <w:tc>
          <w:tcPr>
            <w:tcW w:w="3827" w:type="dxa"/>
            <w:tcBorders>
              <w:top w:val="nil"/>
              <w:left w:val="nil"/>
              <w:bottom w:val="nil"/>
              <w:right w:val="nil"/>
            </w:tcBorders>
            <w:shd w:val="clear" w:color="auto" w:fill="auto"/>
            <w:vAlign w:val="center"/>
            <w:hideMark/>
          </w:tcPr>
          <w:p w14:paraId="5C9DF916"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Development Management</w:t>
            </w:r>
          </w:p>
        </w:tc>
        <w:tc>
          <w:tcPr>
            <w:tcW w:w="443" w:type="dxa"/>
            <w:tcBorders>
              <w:top w:val="nil"/>
              <w:left w:val="nil"/>
              <w:bottom w:val="nil"/>
              <w:right w:val="nil"/>
            </w:tcBorders>
            <w:shd w:val="clear" w:color="auto" w:fill="auto"/>
            <w:vAlign w:val="center"/>
            <w:hideMark/>
          </w:tcPr>
          <w:p w14:paraId="33699E81"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75" w:type="dxa"/>
            <w:tcBorders>
              <w:top w:val="nil"/>
              <w:left w:val="nil"/>
              <w:bottom w:val="nil"/>
              <w:right w:val="nil"/>
            </w:tcBorders>
            <w:shd w:val="clear" w:color="auto" w:fill="auto"/>
            <w:noWrap/>
            <w:vAlign w:val="center"/>
            <w:hideMark/>
          </w:tcPr>
          <w:p w14:paraId="75F288B6"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1,099</w:t>
            </w:r>
          </w:p>
        </w:tc>
        <w:tc>
          <w:tcPr>
            <w:tcW w:w="1134" w:type="dxa"/>
            <w:tcBorders>
              <w:top w:val="nil"/>
              <w:left w:val="nil"/>
              <w:bottom w:val="nil"/>
              <w:right w:val="nil"/>
            </w:tcBorders>
            <w:shd w:val="clear" w:color="auto" w:fill="auto"/>
            <w:noWrap/>
            <w:vAlign w:val="center"/>
            <w:hideMark/>
          </w:tcPr>
          <w:p w14:paraId="7473A3C0"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(526)</w:t>
            </w:r>
          </w:p>
        </w:tc>
        <w:tc>
          <w:tcPr>
            <w:tcW w:w="850" w:type="dxa"/>
            <w:tcBorders>
              <w:top w:val="nil"/>
              <w:left w:val="nil"/>
              <w:bottom w:val="nil"/>
              <w:right w:val="single" w:sz="4" w:space="0" w:color="auto"/>
            </w:tcBorders>
            <w:shd w:val="clear" w:color="auto" w:fill="auto"/>
            <w:noWrap/>
            <w:vAlign w:val="center"/>
            <w:hideMark/>
          </w:tcPr>
          <w:p w14:paraId="135E03D9"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573</w:t>
            </w:r>
          </w:p>
        </w:tc>
      </w:tr>
      <w:tr w:rsidR="00411B0B" w:rsidRPr="00411B0B" w14:paraId="5C7B7007" w14:textId="77777777" w:rsidTr="00411B0B">
        <w:trPr>
          <w:trHeight w:val="290"/>
        </w:trPr>
        <w:tc>
          <w:tcPr>
            <w:tcW w:w="1036" w:type="dxa"/>
            <w:tcBorders>
              <w:top w:val="nil"/>
              <w:left w:val="single" w:sz="4" w:space="0" w:color="auto"/>
              <w:bottom w:val="nil"/>
              <w:right w:val="nil"/>
            </w:tcBorders>
            <w:shd w:val="clear" w:color="000000" w:fill="FFFFFF"/>
            <w:noWrap/>
            <w:vAlign w:val="center"/>
            <w:hideMark/>
          </w:tcPr>
          <w:p w14:paraId="0DBD3A44"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7,112</w:t>
            </w:r>
          </w:p>
        </w:tc>
        <w:tc>
          <w:tcPr>
            <w:tcW w:w="961" w:type="dxa"/>
            <w:tcBorders>
              <w:top w:val="nil"/>
              <w:left w:val="nil"/>
              <w:bottom w:val="nil"/>
              <w:right w:val="nil"/>
            </w:tcBorders>
            <w:shd w:val="clear" w:color="000000" w:fill="FFFFFF"/>
            <w:noWrap/>
            <w:vAlign w:val="center"/>
            <w:hideMark/>
          </w:tcPr>
          <w:p w14:paraId="2F7108EA"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(4,312)</w:t>
            </w:r>
          </w:p>
        </w:tc>
        <w:tc>
          <w:tcPr>
            <w:tcW w:w="980" w:type="dxa"/>
            <w:tcBorders>
              <w:top w:val="nil"/>
              <w:left w:val="nil"/>
              <w:bottom w:val="nil"/>
              <w:right w:val="nil"/>
            </w:tcBorders>
            <w:shd w:val="clear" w:color="000000" w:fill="FFFFFF"/>
            <w:noWrap/>
            <w:vAlign w:val="center"/>
            <w:hideMark/>
          </w:tcPr>
          <w:p w14:paraId="1E6FB40E"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2,800</w:t>
            </w:r>
          </w:p>
        </w:tc>
        <w:tc>
          <w:tcPr>
            <w:tcW w:w="3827" w:type="dxa"/>
            <w:tcBorders>
              <w:top w:val="nil"/>
              <w:left w:val="nil"/>
              <w:bottom w:val="nil"/>
              <w:right w:val="nil"/>
            </w:tcBorders>
            <w:shd w:val="clear" w:color="000000" w:fill="FFFFFF"/>
            <w:vAlign w:val="center"/>
            <w:hideMark/>
          </w:tcPr>
          <w:p w14:paraId="3E5B35A8"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Strategy &amp; Rangers</w:t>
            </w:r>
          </w:p>
        </w:tc>
        <w:tc>
          <w:tcPr>
            <w:tcW w:w="443" w:type="dxa"/>
            <w:tcBorders>
              <w:top w:val="nil"/>
              <w:left w:val="nil"/>
              <w:bottom w:val="nil"/>
              <w:right w:val="nil"/>
            </w:tcBorders>
            <w:shd w:val="clear" w:color="auto" w:fill="auto"/>
            <w:vAlign w:val="center"/>
            <w:hideMark/>
          </w:tcPr>
          <w:p w14:paraId="4C264D31"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75" w:type="dxa"/>
            <w:tcBorders>
              <w:top w:val="nil"/>
              <w:left w:val="nil"/>
              <w:bottom w:val="nil"/>
              <w:right w:val="nil"/>
            </w:tcBorders>
            <w:shd w:val="clear" w:color="auto" w:fill="auto"/>
            <w:noWrap/>
            <w:vAlign w:val="center"/>
            <w:hideMark/>
          </w:tcPr>
          <w:p w14:paraId="746C1E80" w14:textId="63150AC3"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5,</w:t>
            </w:r>
            <w:r w:rsidR="00850A75">
              <w:rPr>
                <w:rFonts w:cs="Arial"/>
                <w:color w:val="000000"/>
                <w:sz w:val="20"/>
                <w:szCs w:val="20"/>
                <w:lang w:eastAsia="en-GB"/>
              </w:rPr>
              <w:t>6</w:t>
            </w:r>
            <w:r w:rsidR="00F5136C">
              <w:rPr>
                <w:rFonts w:cs="Arial"/>
                <w:color w:val="000000"/>
                <w:sz w:val="20"/>
                <w:szCs w:val="20"/>
                <w:lang w:eastAsia="en-GB"/>
              </w:rPr>
              <w:t>36</w:t>
            </w:r>
          </w:p>
        </w:tc>
        <w:tc>
          <w:tcPr>
            <w:tcW w:w="1134" w:type="dxa"/>
            <w:tcBorders>
              <w:top w:val="nil"/>
              <w:left w:val="nil"/>
              <w:bottom w:val="nil"/>
              <w:right w:val="nil"/>
            </w:tcBorders>
            <w:shd w:val="clear" w:color="auto" w:fill="auto"/>
            <w:noWrap/>
            <w:vAlign w:val="center"/>
            <w:hideMark/>
          </w:tcPr>
          <w:p w14:paraId="72DAFC33" w14:textId="145C29FA"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(3,</w:t>
            </w:r>
            <w:r w:rsidR="00850A75">
              <w:rPr>
                <w:rFonts w:cs="Arial"/>
                <w:color w:val="000000"/>
                <w:sz w:val="20"/>
                <w:szCs w:val="20"/>
                <w:lang w:eastAsia="en-GB"/>
              </w:rPr>
              <w:t>52</w:t>
            </w:r>
            <w:r w:rsidR="00CE537B">
              <w:rPr>
                <w:rFonts w:cs="Arial"/>
                <w:color w:val="000000"/>
                <w:sz w:val="20"/>
                <w:szCs w:val="20"/>
                <w:lang w:eastAsia="en-GB"/>
              </w:rPr>
              <w:t>1</w:t>
            </w:r>
            <w:r w:rsidRPr="00411B0B">
              <w:rPr>
                <w:rFonts w:cs="Arial"/>
                <w:color w:val="000000"/>
                <w:sz w:val="20"/>
                <w:szCs w:val="20"/>
                <w:lang w:eastAsia="en-GB"/>
              </w:rPr>
              <w:t>)</w:t>
            </w:r>
          </w:p>
        </w:tc>
        <w:tc>
          <w:tcPr>
            <w:tcW w:w="850" w:type="dxa"/>
            <w:tcBorders>
              <w:top w:val="nil"/>
              <w:left w:val="nil"/>
              <w:bottom w:val="nil"/>
              <w:right w:val="single" w:sz="4" w:space="0" w:color="auto"/>
            </w:tcBorders>
            <w:shd w:val="clear" w:color="auto" w:fill="auto"/>
            <w:noWrap/>
            <w:vAlign w:val="center"/>
            <w:hideMark/>
          </w:tcPr>
          <w:p w14:paraId="560A195A" w14:textId="6451C66A"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2,</w:t>
            </w:r>
            <w:r w:rsidR="004E2F5F">
              <w:rPr>
                <w:rFonts w:cs="Arial"/>
                <w:color w:val="000000"/>
                <w:sz w:val="20"/>
                <w:szCs w:val="20"/>
                <w:lang w:eastAsia="en-GB"/>
              </w:rPr>
              <w:t>1</w:t>
            </w:r>
            <w:r w:rsidR="00F5136C">
              <w:rPr>
                <w:rFonts w:cs="Arial"/>
                <w:color w:val="000000"/>
                <w:sz w:val="20"/>
                <w:szCs w:val="20"/>
                <w:lang w:eastAsia="en-GB"/>
              </w:rPr>
              <w:t>15</w:t>
            </w:r>
          </w:p>
        </w:tc>
      </w:tr>
      <w:tr w:rsidR="00411B0B" w:rsidRPr="00411B0B" w14:paraId="3AA884FC" w14:textId="77777777" w:rsidTr="00411B0B">
        <w:trPr>
          <w:trHeight w:val="290"/>
        </w:trPr>
        <w:tc>
          <w:tcPr>
            <w:tcW w:w="1036" w:type="dxa"/>
            <w:tcBorders>
              <w:top w:val="nil"/>
              <w:left w:val="single" w:sz="4" w:space="0" w:color="auto"/>
              <w:bottom w:val="nil"/>
              <w:right w:val="nil"/>
            </w:tcBorders>
            <w:shd w:val="clear" w:color="000000" w:fill="FFFFFF"/>
            <w:noWrap/>
            <w:vAlign w:val="center"/>
            <w:hideMark/>
          </w:tcPr>
          <w:p w14:paraId="0685B0B0"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57</w:t>
            </w:r>
          </w:p>
        </w:tc>
        <w:tc>
          <w:tcPr>
            <w:tcW w:w="961" w:type="dxa"/>
            <w:tcBorders>
              <w:top w:val="nil"/>
              <w:left w:val="nil"/>
              <w:bottom w:val="nil"/>
              <w:right w:val="nil"/>
            </w:tcBorders>
            <w:shd w:val="clear" w:color="000000" w:fill="FFFFFF"/>
            <w:noWrap/>
            <w:vAlign w:val="center"/>
            <w:hideMark/>
          </w:tcPr>
          <w:p w14:paraId="51D7F1E1"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0</w:t>
            </w:r>
          </w:p>
        </w:tc>
        <w:tc>
          <w:tcPr>
            <w:tcW w:w="980" w:type="dxa"/>
            <w:tcBorders>
              <w:top w:val="nil"/>
              <w:left w:val="nil"/>
              <w:bottom w:val="nil"/>
              <w:right w:val="nil"/>
            </w:tcBorders>
            <w:shd w:val="clear" w:color="000000" w:fill="FFFFFF"/>
            <w:noWrap/>
            <w:vAlign w:val="center"/>
            <w:hideMark/>
          </w:tcPr>
          <w:p w14:paraId="64672971"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57</w:t>
            </w:r>
          </w:p>
        </w:tc>
        <w:tc>
          <w:tcPr>
            <w:tcW w:w="3827" w:type="dxa"/>
            <w:tcBorders>
              <w:top w:val="nil"/>
              <w:left w:val="nil"/>
              <w:bottom w:val="nil"/>
              <w:right w:val="nil"/>
            </w:tcBorders>
            <w:shd w:val="clear" w:color="000000" w:fill="FFFFFF"/>
            <w:vAlign w:val="center"/>
            <w:hideMark/>
          </w:tcPr>
          <w:p w14:paraId="64ADB2AF"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Non Distributed Costs</w:t>
            </w:r>
          </w:p>
        </w:tc>
        <w:tc>
          <w:tcPr>
            <w:tcW w:w="443" w:type="dxa"/>
            <w:tcBorders>
              <w:top w:val="nil"/>
              <w:left w:val="nil"/>
              <w:bottom w:val="nil"/>
              <w:right w:val="nil"/>
            </w:tcBorders>
            <w:shd w:val="clear" w:color="auto" w:fill="auto"/>
            <w:vAlign w:val="center"/>
            <w:hideMark/>
          </w:tcPr>
          <w:p w14:paraId="76ACCD38"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75" w:type="dxa"/>
            <w:tcBorders>
              <w:top w:val="nil"/>
              <w:left w:val="nil"/>
              <w:bottom w:val="nil"/>
              <w:right w:val="nil"/>
            </w:tcBorders>
            <w:shd w:val="clear" w:color="auto" w:fill="auto"/>
            <w:noWrap/>
            <w:vAlign w:val="center"/>
            <w:hideMark/>
          </w:tcPr>
          <w:p w14:paraId="5E49E1E4"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70</w:t>
            </w:r>
          </w:p>
        </w:tc>
        <w:tc>
          <w:tcPr>
            <w:tcW w:w="1134" w:type="dxa"/>
            <w:tcBorders>
              <w:top w:val="nil"/>
              <w:left w:val="nil"/>
              <w:bottom w:val="nil"/>
              <w:right w:val="nil"/>
            </w:tcBorders>
            <w:shd w:val="clear" w:color="auto" w:fill="auto"/>
            <w:noWrap/>
            <w:vAlign w:val="center"/>
            <w:hideMark/>
          </w:tcPr>
          <w:p w14:paraId="536BCE1B"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(58)</w:t>
            </w:r>
          </w:p>
        </w:tc>
        <w:tc>
          <w:tcPr>
            <w:tcW w:w="850" w:type="dxa"/>
            <w:tcBorders>
              <w:top w:val="nil"/>
              <w:left w:val="nil"/>
              <w:bottom w:val="nil"/>
              <w:right w:val="single" w:sz="4" w:space="0" w:color="auto"/>
            </w:tcBorders>
            <w:shd w:val="clear" w:color="auto" w:fill="auto"/>
            <w:noWrap/>
            <w:vAlign w:val="center"/>
            <w:hideMark/>
          </w:tcPr>
          <w:p w14:paraId="69CEB953"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12</w:t>
            </w:r>
          </w:p>
        </w:tc>
      </w:tr>
      <w:tr w:rsidR="00411B0B" w:rsidRPr="00411B0B" w14:paraId="17600FCC" w14:textId="77777777" w:rsidTr="00411B0B">
        <w:trPr>
          <w:trHeight w:val="290"/>
        </w:trPr>
        <w:tc>
          <w:tcPr>
            <w:tcW w:w="1036" w:type="dxa"/>
            <w:tcBorders>
              <w:top w:val="single" w:sz="4" w:space="0" w:color="auto"/>
              <w:left w:val="single" w:sz="4" w:space="0" w:color="auto"/>
              <w:bottom w:val="nil"/>
              <w:right w:val="nil"/>
            </w:tcBorders>
            <w:shd w:val="clear" w:color="000000" w:fill="FFFFFF"/>
            <w:noWrap/>
            <w:vAlign w:val="center"/>
            <w:hideMark/>
          </w:tcPr>
          <w:p w14:paraId="6E029D99"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19,767</w:t>
            </w:r>
          </w:p>
        </w:tc>
        <w:tc>
          <w:tcPr>
            <w:tcW w:w="961" w:type="dxa"/>
            <w:tcBorders>
              <w:top w:val="single" w:sz="4" w:space="0" w:color="auto"/>
              <w:left w:val="nil"/>
              <w:bottom w:val="nil"/>
              <w:right w:val="nil"/>
            </w:tcBorders>
            <w:shd w:val="clear" w:color="000000" w:fill="FFFFFF"/>
            <w:noWrap/>
            <w:vAlign w:val="center"/>
            <w:hideMark/>
          </w:tcPr>
          <w:p w14:paraId="7564DF8E" w14:textId="05A64539"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(11,361)</w:t>
            </w:r>
          </w:p>
        </w:tc>
        <w:tc>
          <w:tcPr>
            <w:tcW w:w="980" w:type="dxa"/>
            <w:tcBorders>
              <w:top w:val="single" w:sz="4" w:space="0" w:color="auto"/>
              <w:left w:val="nil"/>
              <w:bottom w:val="nil"/>
              <w:right w:val="nil"/>
            </w:tcBorders>
            <w:shd w:val="clear" w:color="000000" w:fill="FFFFFF"/>
            <w:noWrap/>
            <w:vAlign w:val="center"/>
            <w:hideMark/>
          </w:tcPr>
          <w:p w14:paraId="39E136DC"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8,406</w:t>
            </w:r>
          </w:p>
        </w:tc>
        <w:tc>
          <w:tcPr>
            <w:tcW w:w="3827" w:type="dxa"/>
            <w:tcBorders>
              <w:top w:val="nil"/>
              <w:left w:val="nil"/>
              <w:bottom w:val="nil"/>
              <w:right w:val="nil"/>
            </w:tcBorders>
            <w:shd w:val="clear" w:color="000000" w:fill="FFFFFF"/>
            <w:vAlign w:val="center"/>
            <w:hideMark/>
          </w:tcPr>
          <w:p w14:paraId="10025B89" w14:textId="77777777" w:rsidR="00411B0B" w:rsidRPr="00411B0B" w:rsidRDefault="00411B0B" w:rsidP="00411B0B">
            <w:pPr>
              <w:rPr>
                <w:rFonts w:cs="Arial"/>
                <w:b/>
                <w:bCs/>
                <w:color w:val="000000"/>
                <w:sz w:val="20"/>
                <w:szCs w:val="20"/>
                <w:lang w:eastAsia="en-GB"/>
              </w:rPr>
            </w:pPr>
            <w:r w:rsidRPr="00411B0B">
              <w:rPr>
                <w:rFonts w:cs="Arial"/>
                <w:b/>
                <w:bCs/>
                <w:color w:val="000000"/>
                <w:sz w:val="20"/>
                <w:szCs w:val="20"/>
                <w:lang w:eastAsia="en-GB"/>
              </w:rPr>
              <w:t>Cost of Services</w:t>
            </w:r>
          </w:p>
        </w:tc>
        <w:tc>
          <w:tcPr>
            <w:tcW w:w="443" w:type="dxa"/>
            <w:tcBorders>
              <w:top w:val="nil"/>
              <w:left w:val="nil"/>
              <w:bottom w:val="nil"/>
              <w:right w:val="nil"/>
            </w:tcBorders>
            <w:shd w:val="clear" w:color="000000" w:fill="FFFFFF"/>
            <w:vAlign w:val="center"/>
            <w:hideMark/>
          </w:tcPr>
          <w:p w14:paraId="457E406E" w14:textId="547B8D89" w:rsidR="00411B0B" w:rsidRPr="00814508" w:rsidRDefault="00814508" w:rsidP="00411B0B">
            <w:pPr>
              <w:jc w:val="center"/>
              <w:rPr>
                <w:rFonts w:cs="Arial"/>
                <w:color w:val="000000"/>
                <w:sz w:val="20"/>
                <w:szCs w:val="20"/>
                <w:lang w:eastAsia="en-GB"/>
              </w:rPr>
            </w:pPr>
            <w:r w:rsidRPr="00814508">
              <w:rPr>
                <w:rFonts w:cs="Arial"/>
                <w:color w:val="000000"/>
                <w:sz w:val="20"/>
                <w:szCs w:val="20"/>
                <w:lang w:eastAsia="en-GB"/>
              </w:rPr>
              <w:t>32</w:t>
            </w:r>
            <w:r w:rsidR="00411B0B" w:rsidRPr="00814508">
              <w:rPr>
                <w:rFonts w:cs="Arial"/>
                <w:color w:val="000000"/>
                <w:sz w:val="20"/>
                <w:szCs w:val="20"/>
                <w:lang w:eastAsia="en-GB"/>
              </w:rPr>
              <w:t xml:space="preserve"> </w:t>
            </w:r>
          </w:p>
        </w:tc>
        <w:tc>
          <w:tcPr>
            <w:tcW w:w="975" w:type="dxa"/>
            <w:tcBorders>
              <w:top w:val="single" w:sz="4" w:space="0" w:color="auto"/>
              <w:left w:val="nil"/>
              <w:bottom w:val="nil"/>
              <w:right w:val="nil"/>
            </w:tcBorders>
            <w:shd w:val="clear" w:color="000000" w:fill="FFFFFF"/>
            <w:noWrap/>
            <w:vAlign w:val="center"/>
            <w:hideMark/>
          </w:tcPr>
          <w:p w14:paraId="177A9581" w14:textId="62889AB4"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17,</w:t>
            </w:r>
            <w:r w:rsidR="006B0145">
              <w:rPr>
                <w:rFonts w:cs="Arial"/>
                <w:b/>
                <w:bCs/>
                <w:color w:val="000000"/>
                <w:sz w:val="20"/>
                <w:szCs w:val="20"/>
                <w:lang w:eastAsia="en-GB"/>
              </w:rPr>
              <w:t>9</w:t>
            </w:r>
            <w:r w:rsidR="00F5136C">
              <w:rPr>
                <w:rFonts w:cs="Arial"/>
                <w:b/>
                <w:bCs/>
                <w:color w:val="000000"/>
                <w:sz w:val="20"/>
                <w:szCs w:val="20"/>
                <w:lang w:eastAsia="en-GB"/>
              </w:rPr>
              <w:t>78</w:t>
            </w:r>
          </w:p>
        </w:tc>
        <w:tc>
          <w:tcPr>
            <w:tcW w:w="1134" w:type="dxa"/>
            <w:tcBorders>
              <w:top w:val="single" w:sz="4" w:space="0" w:color="auto"/>
              <w:left w:val="nil"/>
              <w:bottom w:val="nil"/>
              <w:right w:val="nil"/>
            </w:tcBorders>
            <w:shd w:val="clear" w:color="000000" w:fill="FFFFFF"/>
            <w:noWrap/>
            <w:vAlign w:val="center"/>
            <w:hideMark/>
          </w:tcPr>
          <w:p w14:paraId="54C62BA9" w14:textId="7E2FD4D0"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xml:space="preserve"> (10,</w:t>
            </w:r>
            <w:r w:rsidR="00850A75">
              <w:rPr>
                <w:rFonts w:cs="Arial"/>
                <w:b/>
                <w:bCs/>
                <w:color w:val="000000"/>
                <w:sz w:val="20"/>
                <w:szCs w:val="20"/>
                <w:lang w:eastAsia="en-GB"/>
              </w:rPr>
              <w:t>95</w:t>
            </w:r>
            <w:r w:rsidR="00CE537B">
              <w:rPr>
                <w:rFonts w:cs="Arial"/>
                <w:b/>
                <w:bCs/>
                <w:color w:val="000000"/>
                <w:sz w:val="20"/>
                <w:szCs w:val="20"/>
                <w:lang w:eastAsia="en-GB"/>
              </w:rPr>
              <w:t>2</w:t>
            </w:r>
            <w:r w:rsidRPr="00411B0B">
              <w:rPr>
                <w:rFonts w:cs="Arial"/>
                <w:b/>
                <w:bCs/>
                <w:color w:val="000000"/>
                <w:sz w:val="20"/>
                <w:szCs w:val="20"/>
                <w:lang w:eastAsia="en-GB"/>
              </w:rPr>
              <w:t>)</w:t>
            </w:r>
          </w:p>
        </w:tc>
        <w:tc>
          <w:tcPr>
            <w:tcW w:w="850" w:type="dxa"/>
            <w:tcBorders>
              <w:top w:val="single" w:sz="4" w:space="0" w:color="auto"/>
              <w:left w:val="nil"/>
              <w:bottom w:val="nil"/>
              <w:right w:val="single" w:sz="4" w:space="0" w:color="auto"/>
            </w:tcBorders>
            <w:shd w:val="clear" w:color="000000" w:fill="FFFFFF"/>
            <w:noWrap/>
            <w:vAlign w:val="center"/>
            <w:hideMark/>
          </w:tcPr>
          <w:p w14:paraId="5185DC44" w14:textId="52CF77C3" w:rsidR="00411B0B" w:rsidRPr="00411B0B" w:rsidRDefault="006B0145" w:rsidP="00411B0B">
            <w:pPr>
              <w:jc w:val="right"/>
              <w:rPr>
                <w:rFonts w:cs="Arial"/>
                <w:b/>
                <w:bCs/>
                <w:color w:val="000000"/>
                <w:sz w:val="20"/>
                <w:szCs w:val="20"/>
                <w:lang w:eastAsia="en-GB"/>
              </w:rPr>
            </w:pPr>
            <w:r>
              <w:rPr>
                <w:rFonts w:cs="Arial"/>
                <w:b/>
                <w:bCs/>
                <w:color w:val="000000"/>
                <w:sz w:val="20"/>
                <w:szCs w:val="20"/>
                <w:lang w:eastAsia="en-GB"/>
              </w:rPr>
              <w:t>7,0</w:t>
            </w:r>
            <w:r w:rsidR="00F5136C">
              <w:rPr>
                <w:rFonts w:cs="Arial"/>
                <w:b/>
                <w:bCs/>
                <w:color w:val="000000"/>
                <w:sz w:val="20"/>
                <w:szCs w:val="20"/>
                <w:lang w:eastAsia="en-GB"/>
              </w:rPr>
              <w:t>26</w:t>
            </w:r>
          </w:p>
        </w:tc>
      </w:tr>
      <w:tr w:rsidR="00411B0B" w:rsidRPr="00411B0B" w14:paraId="39ED6AC3" w14:textId="77777777" w:rsidTr="00411B0B">
        <w:trPr>
          <w:trHeight w:val="290"/>
        </w:trPr>
        <w:tc>
          <w:tcPr>
            <w:tcW w:w="1036" w:type="dxa"/>
            <w:tcBorders>
              <w:top w:val="nil"/>
              <w:left w:val="single" w:sz="4" w:space="0" w:color="auto"/>
              <w:bottom w:val="nil"/>
              <w:right w:val="nil"/>
            </w:tcBorders>
            <w:shd w:val="clear" w:color="000000" w:fill="FFFFFF"/>
            <w:noWrap/>
            <w:vAlign w:val="center"/>
            <w:hideMark/>
          </w:tcPr>
          <w:p w14:paraId="5B4AB895"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w:t>
            </w:r>
          </w:p>
        </w:tc>
        <w:tc>
          <w:tcPr>
            <w:tcW w:w="961" w:type="dxa"/>
            <w:tcBorders>
              <w:top w:val="nil"/>
              <w:left w:val="nil"/>
              <w:bottom w:val="nil"/>
              <w:right w:val="nil"/>
            </w:tcBorders>
            <w:shd w:val="clear" w:color="000000" w:fill="FFFFFF"/>
            <w:noWrap/>
            <w:vAlign w:val="center"/>
            <w:hideMark/>
          </w:tcPr>
          <w:p w14:paraId="5C98242A"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w:t>
            </w:r>
          </w:p>
        </w:tc>
        <w:tc>
          <w:tcPr>
            <w:tcW w:w="980" w:type="dxa"/>
            <w:tcBorders>
              <w:top w:val="nil"/>
              <w:left w:val="nil"/>
              <w:bottom w:val="nil"/>
              <w:right w:val="nil"/>
            </w:tcBorders>
            <w:shd w:val="clear" w:color="000000" w:fill="FFFFFF"/>
            <w:noWrap/>
            <w:vAlign w:val="center"/>
            <w:hideMark/>
          </w:tcPr>
          <w:p w14:paraId="53B038A5"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w:t>
            </w:r>
          </w:p>
        </w:tc>
        <w:tc>
          <w:tcPr>
            <w:tcW w:w="3827" w:type="dxa"/>
            <w:tcBorders>
              <w:top w:val="nil"/>
              <w:left w:val="nil"/>
              <w:bottom w:val="nil"/>
              <w:right w:val="nil"/>
            </w:tcBorders>
            <w:shd w:val="clear" w:color="000000" w:fill="FFFFFF"/>
            <w:vAlign w:val="center"/>
            <w:hideMark/>
          </w:tcPr>
          <w:p w14:paraId="2A7A0688" w14:textId="77777777" w:rsidR="00411B0B" w:rsidRPr="00411B0B" w:rsidRDefault="00411B0B" w:rsidP="00411B0B">
            <w:pPr>
              <w:rPr>
                <w:rFonts w:cs="Arial"/>
                <w:b/>
                <w:bCs/>
                <w:color w:val="000000"/>
                <w:sz w:val="20"/>
                <w:szCs w:val="20"/>
                <w:lang w:eastAsia="en-GB"/>
              </w:rPr>
            </w:pPr>
            <w:r w:rsidRPr="00411B0B">
              <w:rPr>
                <w:rFonts w:cs="Arial"/>
                <w:b/>
                <w:bCs/>
                <w:color w:val="000000"/>
                <w:sz w:val="20"/>
                <w:szCs w:val="20"/>
                <w:lang w:eastAsia="en-GB"/>
              </w:rPr>
              <w:t> </w:t>
            </w:r>
          </w:p>
        </w:tc>
        <w:tc>
          <w:tcPr>
            <w:tcW w:w="443" w:type="dxa"/>
            <w:tcBorders>
              <w:top w:val="nil"/>
              <w:left w:val="nil"/>
              <w:bottom w:val="nil"/>
              <w:right w:val="nil"/>
            </w:tcBorders>
            <w:shd w:val="clear" w:color="000000" w:fill="FFFFFF"/>
            <w:vAlign w:val="center"/>
            <w:hideMark/>
          </w:tcPr>
          <w:p w14:paraId="26595B29" w14:textId="77777777" w:rsidR="00411B0B" w:rsidRPr="00411B0B" w:rsidRDefault="00411B0B" w:rsidP="00411B0B">
            <w:pPr>
              <w:jc w:val="center"/>
              <w:rPr>
                <w:rFonts w:cs="Arial"/>
                <w:b/>
                <w:bCs/>
                <w:color w:val="000000"/>
                <w:sz w:val="20"/>
                <w:szCs w:val="20"/>
                <w:lang w:eastAsia="en-GB"/>
              </w:rPr>
            </w:pPr>
            <w:r w:rsidRPr="00411B0B">
              <w:rPr>
                <w:rFonts w:cs="Arial"/>
                <w:b/>
                <w:bCs/>
                <w:color w:val="000000"/>
                <w:sz w:val="20"/>
                <w:szCs w:val="20"/>
                <w:lang w:eastAsia="en-GB"/>
              </w:rPr>
              <w:t> </w:t>
            </w:r>
          </w:p>
        </w:tc>
        <w:tc>
          <w:tcPr>
            <w:tcW w:w="975" w:type="dxa"/>
            <w:tcBorders>
              <w:top w:val="nil"/>
              <w:left w:val="nil"/>
              <w:bottom w:val="nil"/>
              <w:right w:val="nil"/>
            </w:tcBorders>
            <w:shd w:val="clear" w:color="000000" w:fill="FFFFFF"/>
            <w:noWrap/>
            <w:vAlign w:val="center"/>
            <w:hideMark/>
          </w:tcPr>
          <w:p w14:paraId="4D0AFFDF"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w:t>
            </w:r>
          </w:p>
        </w:tc>
        <w:tc>
          <w:tcPr>
            <w:tcW w:w="1134" w:type="dxa"/>
            <w:tcBorders>
              <w:top w:val="nil"/>
              <w:left w:val="nil"/>
              <w:bottom w:val="nil"/>
              <w:right w:val="nil"/>
            </w:tcBorders>
            <w:shd w:val="clear" w:color="000000" w:fill="FFFFFF"/>
            <w:noWrap/>
            <w:vAlign w:val="center"/>
            <w:hideMark/>
          </w:tcPr>
          <w:p w14:paraId="3A06EEE5"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w:t>
            </w:r>
          </w:p>
        </w:tc>
        <w:tc>
          <w:tcPr>
            <w:tcW w:w="850" w:type="dxa"/>
            <w:tcBorders>
              <w:top w:val="nil"/>
              <w:left w:val="nil"/>
              <w:bottom w:val="nil"/>
              <w:right w:val="single" w:sz="4" w:space="0" w:color="auto"/>
            </w:tcBorders>
            <w:shd w:val="clear" w:color="000000" w:fill="FFFFFF"/>
            <w:noWrap/>
            <w:vAlign w:val="center"/>
            <w:hideMark/>
          </w:tcPr>
          <w:p w14:paraId="37079BB6"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w:t>
            </w:r>
          </w:p>
        </w:tc>
      </w:tr>
      <w:tr w:rsidR="00411B0B" w:rsidRPr="00411B0B" w14:paraId="03385AD4" w14:textId="77777777" w:rsidTr="00411B0B">
        <w:trPr>
          <w:trHeight w:val="290"/>
        </w:trPr>
        <w:tc>
          <w:tcPr>
            <w:tcW w:w="1036" w:type="dxa"/>
            <w:tcBorders>
              <w:top w:val="nil"/>
              <w:left w:val="single" w:sz="4" w:space="0" w:color="auto"/>
              <w:bottom w:val="nil"/>
              <w:right w:val="nil"/>
            </w:tcBorders>
            <w:shd w:val="clear" w:color="000000" w:fill="FFFFFF"/>
            <w:vAlign w:val="center"/>
            <w:hideMark/>
          </w:tcPr>
          <w:p w14:paraId="7094E3FA"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w:t>
            </w:r>
          </w:p>
        </w:tc>
        <w:tc>
          <w:tcPr>
            <w:tcW w:w="961" w:type="dxa"/>
            <w:tcBorders>
              <w:top w:val="nil"/>
              <w:left w:val="nil"/>
              <w:bottom w:val="nil"/>
              <w:right w:val="nil"/>
            </w:tcBorders>
            <w:shd w:val="clear" w:color="000000" w:fill="FFFFFF"/>
            <w:vAlign w:val="center"/>
            <w:hideMark/>
          </w:tcPr>
          <w:p w14:paraId="1AFAF1FF"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w:t>
            </w:r>
          </w:p>
        </w:tc>
        <w:tc>
          <w:tcPr>
            <w:tcW w:w="980" w:type="dxa"/>
            <w:tcBorders>
              <w:top w:val="nil"/>
              <w:left w:val="nil"/>
              <w:bottom w:val="nil"/>
              <w:right w:val="nil"/>
            </w:tcBorders>
            <w:shd w:val="clear" w:color="000000" w:fill="FFFFFF"/>
            <w:vAlign w:val="center"/>
            <w:hideMark/>
          </w:tcPr>
          <w:p w14:paraId="28228700"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203</w:t>
            </w:r>
          </w:p>
        </w:tc>
        <w:tc>
          <w:tcPr>
            <w:tcW w:w="3827" w:type="dxa"/>
            <w:tcBorders>
              <w:top w:val="nil"/>
              <w:left w:val="nil"/>
              <w:bottom w:val="nil"/>
              <w:right w:val="nil"/>
            </w:tcBorders>
            <w:shd w:val="clear" w:color="000000" w:fill="FFFFFF"/>
            <w:vAlign w:val="center"/>
            <w:hideMark/>
          </w:tcPr>
          <w:p w14:paraId="4FA1C9CA"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Financing &amp; Investment Income &amp; Exp</w:t>
            </w:r>
          </w:p>
        </w:tc>
        <w:tc>
          <w:tcPr>
            <w:tcW w:w="443" w:type="dxa"/>
            <w:tcBorders>
              <w:top w:val="nil"/>
              <w:left w:val="nil"/>
              <w:bottom w:val="nil"/>
              <w:right w:val="nil"/>
            </w:tcBorders>
            <w:shd w:val="clear" w:color="000000" w:fill="FFFFFF"/>
            <w:vAlign w:val="center"/>
            <w:hideMark/>
          </w:tcPr>
          <w:p w14:paraId="0CC72C78" w14:textId="4875E9A2" w:rsidR="00411B0B" w:rsidRPr="00411B0B" w:rsidRDefault="00411B0B" w:rsidP="00411B0B">
            <w:pPr>
              <w:jc w:val="center"/>
              <w:rPr>
                <w:rFonts w:cs="Arial"/>
                <w:color w:val="000000"/>
                <w:sz w:val="20"/>
                <w:szCs w:val="20"/>
                <w:lang w:eastAsia="en-GB"/>
              </w:rPr>
            </w:pPr>
            <w:r w:rsidRPr="00411B0B">
              <w:rPr>
                <w:rFonts w:cs="Arial"/>
                <w:color w:val="000000"/>
                <w:sz w:val="20"/>
                <w:szCs w:val="20"/>
                <w:lang w:eastAsia="en-GB"/>
              </w:rPr>
              <w:t>1</w:t>
            </w:r>
            <w:r w:rsidR="00814508">
              <w:rPr>
                <w:rFonts w:cs="Arial"/>
                <w:color w:val="000000"/>
                <w:sz w:val="20"/>
                <w:szCs w:val="20"/>
                <w:lang w:eastAsia="en-GB"/>
              </w:rPr>
              <w:t>4</w:t>
            </w:r>
          </w:p>
        </w:tc>
        <w:tc>
          <w:tcPr>
            <w:tcW w:w="975" w:type="dxa"/>
            <w:tcBorders>
              <w:top w:val="nil"/>
              <w:left w:val="nil"/>
              <w:bottom w:val="nil"/>
              <w:right w:val="nil"/>
            </w:tcBorders>
            <w:shd w:val="clear" w:color="000000" w:fill="FFFFFF"/>
            <w:vAlign w:val="center"/>
            <w:hideMark/>
          </w:tcPr>
          <w:p w14:paraId="5001A227"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w:t>
            </w:r>
          </w:p>
        </w:tc>
        <w:tc>
          <w:tcPr>
            <w:tcW w:w="1134" w:type="dxa"/>
            <w:tcBorders>
              <w:top w:val="nil"/>
              <w:left w:val="nil"/>
              <w:bottom w:val="nil"/>
              <w:right w:val="nil"/>
            </w:tcBorders>
            <w:shd w:val="clear" w:color="000000" w:fill="FFFFFF"/>
            <w:noWrap/>
            <w:vAlign w:val="center"/>
            <w:hideMark/>
          </w:tcPr>
          <w:p w14:paraId="69B69299" w14:textId="77777777" w:rsidR="00411B0B" w:rsidRPr="00411B0B" w:rsidRDefault="00411B0B" w:rsidP="00411B0B">
            <w:pPr>
              <w:rPr>
                <w:rFonts w:ascii="Calibri" w:hAnsi="Calibri" w:cs="Calibri"/>
                <w:color w:val="000000"/>
                <w:sz w:val="22"/>
                <w:szCs w:val="22"/>
                <w:lang w:eastAsia="en-GB"/>
              </w:rPr>
            </w:pPr>
            <w:r w:rsidRPr="00411B0B">
              <w:rPr>
                <w:rFonts w:ascii="Calibri" w:hAnsi="Calibri" w:cs="Calibri"/>
                <w:color w:val="000000"/>
                <w:sz w:val="22"/>
                <w:szCs w:val="22"/>
                <w:lang w:eastAsia="en-GB"/>
              </w:rPr>
              <w:t> </w:t>
            </w:r>
          </w:p>
        </w:tc>
        <w:tc>
          <w:tcPr>
            <w:tcW w:w="850" w:type="dxa"/>
            <w:tcBorders>
              <w:top w:val="nil"/>
              <w:left w:val="nil"/>
              <w:bottom w:val="nil"/>
              <w:right w:val="single" w:sz="4" w:space="0" w:color="auto"/>
            </w:tcBorders>
            <w:shd w:val="clear" w:color="000000" w:fill="FFFFFF"/>
            <w:vAlign w:val="center"/>
            <w:hideMark/>
          </w:tcPr>
          <w:p w14:paraId="1C22EF05" w14:textId="525B4D34"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w:t>
            </w:r>
            <w:r w:rsidR="006B0145">
              <w:rPr>
                <w:rFonts w:cs="Arial"/>
                <w:color w:val="000000"/>
                <w:sz w:val="20"/>
                <w:szCs w:val="20"/>
                <w:lang w:eastAsia="en-GB"/>
              </w:rPr>
              <w:t>618</w:t>
            </w:r>
            <w:r w:rsidRPr="00411B0B">
              <w:rPr>
                <w:rFonts w:cs="Arial"/>
                <w:color w:val="000000"/>
                <w:sz w:val="20"/>
                <w:szCs w:val="20"/>
                <w:lang w:eastAsia="en-GB"/>
              </w:rPr>
              <w:t>)</w:t>
            </w:r>
          </w:p>
        </w:tc>
      </w:tr>
      <w:tr w:rsidR="00411B0B" w:rsidRPr="00411B0B" w14:paraId="193DC942" w14:textId="77777777" w:rsidTr="00411B0B">
        <w:trPr>
          <w:trHeight w:val="310"/>
        </w:trPr>
        <w:tc>
          <w:tcPr>
            <w:tcW w:w="1036" w:type="dxa"/>
            <w:tcBorders>
              <w:top w:val="nil"/>
              <w:left w:val="single" w:sz="4" w:space="0" w:color="auto"/>
              <w:bottom w:val="nil"/>
              <w:right w:val="nil"/>
            </w:tcBorders>
            <w:shd w:val="clear" w:color="000000" w:fill="FFFFFF"/>
            <w:noWrap/>
            <w:vAlign w:val="center"/>
            <w:hideMark/>
          </w:tcPr>
          <w:p w14:paraId="2401197C"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w:t>
            </w:r>
          </w:p>
        </w:tc>
        <w:tc>
          <w:tcPr>
            <w:tcW w:w="961" w:type="dxa"/>
            <w:tcBorders>
              <w:top w:val="nil"/>
              <w:left w:val="nil"/>
              <w:bottom w:val="nil"/>
              <w:right w:val="nil"/>
            </w:tcBorders>
            <w:shd w:val="clear" w:color="000000" w:fill="FFFFFF"/>
            <w:noWrap/>
            <w:vAlign w:val="center"/>
            <w:hideMark/>
          </w:tcPr>
          <w:p w14:paraId="593B72CE"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w:t>
            </w:r>
          </w:p>
        </w:tc>
        <w:tc>
          <w:tcPr>
            <w:tcW w:w="980" w:type="dxa"/>
            <w:tcBorders>
              <w:top w:val="nil"/>
              <w:left w:val="nil"/>
              <w:bottom w:val="nil"/>
              <w:right w:val="nil"/>
            </w:tcBorders>
            <w:shd w:val="clear" w:color="000000" w:fill="FFFFFF"/>
            <w:vAlign w:val="center"/>
            <w:hideMark/>
          </w:tcPr>
          <w:p w14:paraId="58B021A0"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(6,150)</w:t>
            </w:r>
          </w:p>
        </w:tc>
        <w:tc>
          <w:tcPr>
            <w:tcW w:w="3827" w:type="dxa"/>
            <w:tcBorders>
              <w:top w:val="nil"/>
              <w:left w:val="nil"/>
              <w:bottom w:val="nil"/>
              <w:right w:val="nil"/>
            </w:tcBorders>
            <w:shd w:val="clear" w:color="000000" w:fill="FFFFFF"/>
            <w:vAlign w:val="center"/>
            <w:hideMark/>
          </w:tcPr>
          <w:p w14:paraId="7806DA54"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Non-specific grant income</w:t>
            </w:r>
          </w:p>
        </w:tc>
        <w:tc>
          <w:tcPr>
            <w:tcW w:w="443" w:type="dxa"/>
            <w:tcBorders>
              <w:top w:val="nil"/>
              <w:left w:val="nil"/>
              <w:bottom w:val="nil"/>
              <w:right w:val="nil"/>
            </w:tcBorders>
            <w:shd w:val="clear" w:color="000000" w:fill="FFFFFF"/>
            <w:vAlign w:val="center"/>
            <w:hideMark/>
          </w:tcPr>
          <w:p w14:paraId="39F2B53D" w14:textId="43B4E0B2" w:rsidR="00411B0B" w:rsidRPr="00411B0B" w:rsidRDefault="00411B0B" w:rsidP="00411B0B">
            <w:pPr>
              <w:jc w:val="center"/>
              <w:rPr>
                <w:rFonts w:cs="Arial"/>
                <w:color w:val="000000"/>
                <w:sz w:val="20"/>
                <w:szCs w:val="20"/>
                <w:lang w:eastAsia="en-GB"/>
              </w:rPr>
            </w:pPr>
            <w:r w:rsidRPr="00411B0B">
              <w:rPr>
                <w:rFonts w:cs="Arial"/>
                <w:color w:val="000000"/>
                <w:sz w:val="20"/>
                <w:szCs w:val="20"/>
                <w:lang w:eastAsia="en-GB"/>
              </w:rPr>
              <w:t>1</w:t>
            </w:r>
            <w:r w:rsidR="00814508">
              <w:rPr>
                <w:rFonts w:cs="Arial"/>
                <w:color w:val="000000"/>
                <w:sz w:val="20"/>
                <w:szCs w:val="20"/>
                <w:lang w:eastAsia="en-GB"/>
              </w:rPr>
              <w:t>5</w:t>
            </w:r>
          </w:p>
        </w:tc>
        <w:tc>
          <w:tcPr>
            <w:tcW w:w="975" w:type="dxa"/>
            <w:tcBorders>
              <w:top w:val="nil"/>
              <w:left w:val="nil"/>
              <w:bottom w:val="nil"/>
              <w:right w:val="nil"/>
            </w:tcBorders>
            <w:shd w:val="clear" w:color="000000" w:fill="FFFFFF"/>
            <w:noWrap/>
            <w:vAlign w:val="center"/>
            <w:hideMark/>
          </w:tcPr>
          <w:p w14:paraId="2F1FAE37"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w:t>
            </w:r>
          </w:p>
        </w:tc>
        <w:tc>
          <w:tcPr>
            <w:tcW w:w="1134" w:type="dxa"/>
            <w:tcBorders>
              <w:top w:val="nil"/>
              <w:left w:val="nil"/>
              <w:bottom w:val="nil"/>
              <w:right w:val="nil"/>
            </w:tcBorders>
            <w:shd w:val="clear" w:color="000000" w:fill="FFFFFF"/>
            <w:noWrap/>
            <w:vAlign w:val="center"/>
            <w:hideMark/>
          </w:tcPr>
          <w:p w14:paraId="6D6B51A3" w14:textId="77777777" w:rsidR="00411B0B" w:rsidRPr="00411B0B" w:rsidRDefault="00411B0B" w:rsidP="00411B0B">
            <w:pPr>
              <w:rPr>
                <w:rFonts w:ascii="Calibri" w:hAnsi="Calibri" w:cs="Calibri"/>
                <w:color w:val="000000"/>
                <w:sz w:val="22"/>
                <w:szCs w:val="22"/>
                <w:lang w:eastAsia="en-GB"/>
              </w:rPr>
            </w:pPr>
            <w:r w:rsidRPr="00411B0B">
              <w:rPr>
                <w:rFonts w:ascii="Calibri" w:hAnsi="Calibri" w:cs="Calibri"/>
                <w:color w:val="000000"/>
                <w:sz w:val="22"/>
                <w:szCs w:val="22"/>
                <w:lang w:eastAsia="en-GB"/>
              </w:rPr>
              <w:t> </w:t>
            </w:r>
          </w:p>
        </w:tc>
        <w:tc>
          <w:tcPr>
            <w:tcW w:w="850" w:type="dxa"/>
            <w:tcBorders>
              <w:top w:val="nil"/>
              <w:left w:val="nil"/>
              <w:bottom w:val="nil"/>
              <w:right w:val="single" w:sz="4" w:space="0" w:color="auto"/>
            </w:tcBorders>
            <w:shd w:val="clear" w:color="000000" w:fill="FFFFFF"/>
            <w:vAlign w:val="center"/>
            <w:hideMark/>
          </w:tcPr>
          <w:p w14:paraId="4927DC5D" w14:textId="2FDA425D"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(5,608)</w:t>
            </w:r>
          </w:p>
        </w:tc>
      </w:tr>
      <w:tr w:rsidR="00411B0B" w:rsidRPr="00411B0B" w14:paraId="78FF0882" w14:textId="77777777" w:rsidTr="00411B0B">
        <w:trPr>
          <w:trHeight w:val="290"/>
        </w:trPr>
        <w:tc>
          <w:tcPr>
            <w:tcW w:w="1036" w:type="dxa"/>
            <w:tcBorders>
              <w:top w:val="nil"/>
              <w:left w:val="single" w:sz="4" w:space="0" w:color="auto"/>
              <w:bottom w:val="nil"/>
              <w:right w:val="nil"/>
            </w:tcBorders>
            <w:shd w:val="clear" w:color="000000" w:fill="FFFFFF"/>
            <w:noWrap/>
            <w:vAlign w:val="center"/>
            <w:hideMark/>
          </w:tcPr>
          <w:p w14:paraId="725EAAE9"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w:t>
            </w:r>
          </w:p>
        </w:tc>
        <w:tc>
          <w:tcPr>
            <w:tcW w:w="961" w:type="dxa"/>
            <w:tcBorders>
              <w:top w:val="nil"/>
              <w:left w:val="nil"/>
              <w:bottom w:val="nil"/>
              <w:right w:val="nil"/>
            </w:tcBorders>
            <w:shd w:val="clear" w:color="000000" w:fill="FFFFFF"/>
            <w:noWrap/>
            <w:vAlign w:val="center"/>
            <w:hideMark/>
          </w:tcPr>
          <w:p w14:paraId="34CFA6DB"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w:t>
            </w:r>
          </w:p>
        </w:tc>
        <w:tc>
          <w:tcPr>
            <w:tcW w:w="980" w:type="dxa"/>
            <w:tcBorders>
              <w:top w:val="single" w:sz="4" w:space="0" w:color="auto"/>
              <w:left w:val="nil"/>
              <w:bottom w:val="nil"/>
              <w:right w:val="nil"/>
            </w:tcBorders>
            <w:shd w:val="clear" w:color="000000" w:fill="FFFFFF"/>
            <w:noWrap/>
            <w:vAlign w:val="center"/>
            <w:hideMark/>
          </w:tcPr>
          <w:p w14:paraId="1D40DCED"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2,459</w:t>
            </w:r>
          </w:p>
        </w:tc>
        <w:tc>
          <w:tcPr>
            <w:tcW w:w="3827" w:type="dxa"/>
            <w:tcBorders>
              <w:top w:val="nil"/>
              <w:left w:val="nil"/>
              <w:bottom w:val="nil"/>
              <w:right w:val="nil"/>
            </w:tcBorders>
            <w:shd w:val="clear" w:color="000000" w:fill="FFFFFF"/>
            <w:vAlign w:val="center"/>
            <w:hideMark/>
          </w:tcPr>
          <w:p w14:paraId="5C6840DE" w14:textId="77777777" w:rsidR="00411B0B" w:rsidRPr="00411B0B" w:rsidRDefault="00411B0B" w:rsidP="00411B0B">
            <w:pPr>
              <w:rPr>
                <w:rFonts w:cs="Arial"/>
                <w:b/>
                <w:bCs/>
                <w:color w:val="000000"/>
                <w:sz w:val="20"/>
                <w:szCs w:val="20"/>
                <w:lang w:eastAsia="en-GB"/>
              </w:rPr>
            </w:pPr>
            <w:r w:rsidRPr="00411B0B">
              <w:rPr>
                <w:rFonts w:cs="Arial"/>
                <w:b/>
                <w:bCs/>
                <w:color w:val="000000"/>
                <w:sz w:val="20"/>
                <w:szCs w:val="20"/>
                <w:lang w:eastAsia="en-GB"/>
              </w:rPr>
              <w:t>(Surplus) or Deficit on Provision of Services</w:t>
            </w:r>
          </w:p>
        </w:tc>
        <w:tc>
          <w:tcPr>
            <w:tcW w:w="443" w:type="dxa"/>
            <w:tcBorders>
              <w:top w:val="nil"/>
              <w:left w:val="nil"/>
              <w:bottom w:val="nil"/>
              <w:right w:val="nil"/>
            </w:tcBorders>
            <w:shd w:val="clear" w:color="000000" w:fill="FFFFFF"/>
            <w:vAlign w:val="center"/>
            <w:hideMark/>
          </w:tcPr>
          <w:p w14:paraId="268D7D82" w14:textId="29702CC7" w:rsidR="00411B0B" w:rsidRPr="00411B0B" w:rsidRDefault="00814508" w:rsidP="00411B0B">
            <w:pPr>
              <w:jc w:val="center"/>
              <w:rPr>
                <w:rFonts w:cs="Arial"/>
                <w:color w:val="000000"/>
                <w:sz w:val="20"/>
                <w:szCs w:val="20"/>
                <w:lang w:eastAsia="en-GB"/>
              </w:rPr>
            </w:pPr>
            <w:r>
              <w:rPr>
                <w:rFonts w:cs="Arial"/>
                <w:color w:val="000000"/>
                <w:sz w:val="20"/>
                <w:szCs w:val="20"/>
                <w:lang w:eastAsia="en-GB"/>
              </w:rPr>
              <w:t>9</w:t>
            </w:r>
          </w:p>
        </w:tc>
        <w:tc>
          <w:tcPr>
            <w:tcW w:w="975" w:type="dxa"/>
            <w:tcBorders>
              <w:top w:val="nil"/>
              <w:left w:val="nil"/>
              <w:bottom w:val="nil"/>
              <w:right w:val="nil"/>
            </w:tcBorders>
            <w:shd w:val="clear" w:color="000000" w:fill="FFFFFF"/>
            <w:noWrap/>
            <w:vAlign w:val="center"/>
            <w:hideMark/>
          </w:tcPr>
          <w:p w14:paraId="1D14BD8B"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w:t>
            </w:r>
          </w:p>
        </w:tc>
        <w:tc>
          <w:tcPr>
            <w:tcW w:w="1134" w:type="dxa"/>
            <w:tcBorders>
              <w:top w:val="nil"/>
              <w:left w:val="nil"/>
              <w:bottom w:val="nil"/>
              <w:right w:val="nil"/>
            </w:tcBorders>
            <w:shd w:val="clear" w:color="000000" w:fill="FFFFFF"/>
            <w:noWrap/>
            <w:vAlign w:val="center"/>
            <w:hideMark/>
          </w:tcPr>
          <w:p w14:paraId="3FB844C1"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w:t>
            </w:r>
          </w:p>
        </w:tc>
        <w:tc>
          <w:tcPr>
            <w:tcW w:w="850" w:type="dxa"/>
            <w:tcBorders>
              <w:top w:val="single" w:sz="4" w:space="0" w:color="auto"/>
              <w:left w:val="nil"/>
              <w:bottom w:val="nil"/>
              <w:right w:val="single" w:sz="4" w:space="0" w:color="auto"/>
            </w:tcBorders>
            <w:shd w:val="clear" w:color="000000" w:fill="FFFFFF"/>
            <w:noWrap/>
            <w:vAlign w:val="center"/>
            <w:hideMark/>
          </w:tcPr>
          <w:p w14:paraId="1B326FFD" w14:textId="0B61345A" w:rsidR="00411B0B" w:rsidRPr="00411B0B" w:rsidRDefault="004E2F5F" w:rsidP="00411B0B">
            <w:pPr>
              <w:jc w:val="right"/>
              <w:rPr>
                <w:rFonts w:cs="Arial"/>
                <w:b/>
                <w:bCs/>
                <w:color w:val="000000"/>
                <w:sz w:val="20"/>
                <w:szCs w:val="20"/>
                <w:lang w:eastAsia="en-GB"/>
              </w:rPr>
            </w:pPr>
            <w:r>
              <w:rPr>
                <w:rFonts w:cs="Arial"/>
                <w:b/>
                <w:bCs/>
                <w:color w:val="000000"/>
                <w:sz w:val="20"/>
                <w:szCs w:val="20"/>
                <w:lang w:eastAsia="en-GB"/>
              </w:rPr>
              <w:t>8</w:t>
            </w:r>
            <w:r w:rsidR="00F5136C">
              <w:rPr>
                <w:rFonts w:cs="Arial"/>
                <w:b/>
                <w:bCs/>
                <w:color w:val="000000"/>
                <w:sz w:val="20"/>
                <w:szCs w:val="20"/>
                <w:lang w:eastAsia="en-GB"/>
              </w:rPr>
              <w:t>00</w:t>
            </w:r>
          </w:p>
        </w:tc>
      </w:tr>
      <w:tr w:rsidR="00411B0B" w:rsidRPr="00411B0B" w14:paraId="60616E67" w14:textId="77777777" w:rsidTr="00411B0B">
        <w:trPr>
          <w:trHeight w:val="290"/>
        </w:trPr>
        <w:tc>
          <w:tcPr>
            <w:tcW w:w="1036" w:type="dxa"/>
            <w:tcBorders>
              <w:top w:val="nil"/>
              <w:left w:val="single" w:sz="4" w:space="0" w:color="auto"/>
              <w:bottom w:val="nil"/>
              <w:right w:val="nil"/>
            </w:tcBorders>
            <w:shd w:val="clear" w:color="000000" w:fill="FFFFFF"/>
            <w:noWrap/>
            <w:vAlign w:val="center"/>
            <w:hideMark/>
          </w:tcPr>
          <w:p w14:paraId="6AF66DFE"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w:t>
            </w:r>
          </w:p>
        </w:tc>
        <w:tc>
          <w:tcPr>
            <w:tcW w:w="961" w:type="dxa"/>
            <w:tcBorders>
              <w:top w:val="nil"/>
              <w:left w:val="nil"/>
              <w:bottom w:val="nil"/>
              <w:right w:val="nil"/>
            </w:tcBorders>
            <w:shd w:val="clear" w:color="000000" w:fill="FFFFFF"/>
            <w:noWrap/>
            <w:vAlign w:val="center"/>
            <w:hideMark/>
          </w:tcPr>
          <w:p w14:paraId="0AE69267"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w:t>
            </w:r>
          </w:p>
        </w:tc>
        <w:tc>
          <w:tcPr>
            <w:tcW w:w="980" w:type="dxa"/>
            <w:tcBorders>
              <w:top w:val="nil"/>
              <w:left w:val="nil"/>
              <w:bottom w:val="nil"/>
              <w:right w:val="nil"/>
            </w:tcBorders>
            <w:shd w:val="clear" w:color="000000" w:fill="FFFFFF"/>
            <w:noWrap/>
            <w:vAlign w:val="center"/>
            <w:hideMark/>
          </w:tcPr>
          <w:p w14:paraId="4A8B26E6"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w:t>
            </w:r>
          </w:p>
        </w:tc>
        <w:tc>
          <w:tcPr>
            <w:tcW w:w="3827" w:type="dxa"/>
            <w:tcBorders>
              <w:top w:val="nil"/>
              <w:left w:val="nil"/>
              <w:bottom w:val="nil"/>
              <w:right w:val="nil"/>
            </w:tcBorders>
            <w:shd w:val="clear" w:color="000000" w:fill="FFFFFF"/>
            <w:vAlign w:val="center"/>
            <w:hideMark/>
          </w:tcPr>
          <w:p w14:paraId="57602935" w14:textId="77777777" w:rsidR="00411B0B" w:rsidRPr="00411B0B" w:rsidRDefault="00411B0B" w:rsidP="00411B0B">
            <w:pPr>
              <w:rPr>
                <w:rFonts w:cs="Arial"/>
                <w:b/>
                <w:bCs/>
                <w:color w:val="000000"/>
                <w:sz w:val="20"/>
                <w:szCs w:val="20"/>
                <w:lang w:eastAsia="en-GB"/>
              </w:rPr>
            </w:pPr>
            <w:r w:rsidRPr="00411B0B">
              <w:rPr>
                <w:rFonts w:cs="Arial"/>
                <w:b/>
                <w:bCs/>
                <w:color w:val="000000"/>
                <w:sz w:val="20"/>
                <w:szCs w:val="20"/>
                <w:lang w:eastAsia="en-GB"/>
              </w:rPr>
              <w:t> </w:t>
            </w:r>
          </w:p>
        </w:tc>
        <w:tc>
          <w:tcPr>
            <w:tcW w:w="443" w:type="dxa"/>
            <w:tcBorders>
              <w:top w:val="nil"/>
              <w:left w:val="nil"/>
              <w:bottom w:val="nil"/>
              <w:right w:val="nil"/>
            </w:tcBorders>
            <w:shd w:val="clear" w:color="000000" w:fill="FFFFFF"/>
            <w:vAlign w:val="center"/>
            <w:hideMark/>
          </w:tcPr>
          <w:p w14:paraId="1F19C66D" w14:textId="77777777" w:rsidR="00411B0B" w:rsidRPr="00411B0B" w:rsidRDefault="00411B0B" w:rsidP="00411B0B">
            <w:pPr>
              <w:jc w:val="center"/>
              <w:rPr>
                <w:rFonts w:cs="Arial"/>
                <w:color w:val="000000"/>
                <w:sz w:val="20"/>
                <w:szCs w:val="20"/>
                <w:lang w:eastAsia="en-GB"/>
              </w:rPr>
            </w:pPr>
            <w:r w:rsidRPr="00411B0B">
              <w:rPr>
                <w:rFonts w:cs="Arial"/>
                <w:color w:val="000000"/>
                <w:sz w:val="20"/>
                <w:szCs w:val="20"/>
                <w:lang w:eastAsia="en-GB"/>
              </w:rPr>
              <w:t> </w:t>
            </w:r>
          </w:p>
        </w:tc>
        <w:tc>
          <w:tcPr>
            <w:tcW w:w="975" w:type="dxa"/>
            <w:tcBorders>
              <w:top w:val="nil"/>
              <w:left w:val="nil"/>
              <w:bottom w:val="nil"/>
              <w:right w:val="nil"/>
            </w:tcBorders>
            <w:shd w:val="clear" w:color="000000" w:fill="FFFFFF"/>
            <w:noWrap/>
            <w:vAlign w:val="center"/>
            <w:hideMark/>
          </w:tcPr>
          <w:p w14:paraId="3ADDF3DA"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w:t>
            </w:r>
          </w:p>
        </w:tc>
        <w:tc>
          <w:tcPr>
            <w:tcW w:w="1134" w:type="dxa"/>
            <w:tcBorders>
              <w:top w:val="nil"/>
              <w:left w:val="nil"/>
              <w:bottom w:val="nil"/>
              <w:right w:val="nil"/>
            </w:tcBorders>
            <w:shd w:val="clear" w:color="000000" w:fill="FFFFFF"/>
            <w:noWrap/>
            <w:vAlign w:val="center"/>
            <w:hideMark/>
          </w:tcPr>
          <w:p w14:paraId="6FE0CB22"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w:t>
            </w:r>
          </w:p>
        </w:tc>
        <w:tc>
          <w:tcPr>
            <w:tcW w:w="850" w:type="dxa"/>
            <w:tcBorders>
              <w:top w:val="nil"/>
              <w:left w:val="nil"/>
              <w:bottom w:val="nil"/>
              <w:right w:val="single" w:sz="4" w:space="0" w:color="auto"/>
            </w:tcBorders>
            <w:shd w:val="clear" w:color="000000" w:fill="FFFFFF"/>
            <w:noWrap/>
            <w:vAlign w:val="center"/>
            <w:hideMark/>
          </w:tcPr>
          <w:p w14:paraId="1DDDC87F"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w:t>
            </w:r>
          </w:p>
        </w:tc>
      </w:tr>
      <w:tr w:rsidR="00411B0B" w:rsidRPr="00411B0B" w14:paraId="2EF334DF" w14:textId="77777777" w:rsidTr="00411B0B">
        <w:trPr>
          <w:trHeight w:val="500"/>
        </w:trPr>
        <w:tc>
          <w:tcPr>
            <w:tcW w:w="1036" w:type="dxa"/>
            <w:tcBorders>
              <w:top w:val="nil"/>
              <w:left w:val="single" w:sz="4" w:space="0" w:color="auto"/>
              <w:bottom w:val="nil"/>
              <w:right w:val="nil"/>
            </w:tcBorders>
            <w:shd w:val="clear" w:color="000000" w:fill="FFFFFF"/>
            <w:noWrap/>
            <w:vAlign w:val="center"/>
            <w:hideMark/>
          </w:tcPr>
          <w:p w14:paraId="14D53D16"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61" w:type="dxa"/>
            <w:tcBorders>
              <w:top w:val="nil"/>
              <w:left w:val="nil"/>
              <w:bottom w:val="nil"/>
              <w:right w:val="nil"/>
            </w:tcBorders>
            <w:shd w:val="clear" w:color="000000" w:fill="FFFFFF"/>
            <w:noWrap/>
            <w:vAlign w:val="center"/>
            <w:hideMark/>
          </w:tcPr>
          <w:p w14:paraId="53953C66"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80" w:type="dxa"/>
            <w:tcBorders>
              <w:top w:val="nil"/>
              <w:left w:val="nil"/>
              <w:bottom w:val="nil"/>
              <w:right w:val="nil"/>
            </w:tcBorders>
            <w:shd w:val="clear" w:color="000000" w:fill="FFFFFF"/>
            <w:noWrap/>
            <w:vAlign w:val="center"/>
            <w:hideMark/>
          </w:tcPr>
          <w:p w14:paraId="1F3AF2DE"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(2,043)</w:t>
            </w:r>
          </w:p>
        </w:tc>
        <w:tc>
          <w:tcPr>
            <w:tcW w:w="3827" w:type="dxa"/>
            <w:tcBorders>
              <w:top w:val="nil"/>
              <w:left w:val="nil"/>
              <w:bottom w:val="nil"/>
              <w:right w:val="nil"/>
            </w:tcBorders>
            <w:shd w:val="clear" w:color="000000" w:fill="FFFFFF"/>
            <w:vAlign w:val="center"/>
            <w:hideMark/>
          </w:tcPr>
          <w:p w14:paraId="3383F203"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(Surplus) or deficit on revaluation of non-current assets</w:t>
            </w:r>
          </w:p>
        </w:tc>
        <w:tc>
          <w:tcPr>
            <w:tcW w:w="443" w:type="dxa"/>
            <w:tcBorders>
              <w:top w:val="nil"/>
              <w:left w:val="nil"/>
              <w:bottom w:val="nil"/>
              <w:right w:val="nil"/>
            </w:tcBorders>
            <w:shd w:val="clear" w:color="000000" w:fill="FFFFFF"/>
            <w:vAlign w:val="center"/>
            <w:hideMark/>
          </w:tcPr>
          <w:p w14:paraId="67E81BE1" w14:textId="2CBEE213" w:rsidR="00411B0B" w:rsidRPr="00411B0B" w:rsidRDefault="00814508" w:rsidP="00411B0B">
            <w:pPr>
              <w:jc w:val="center"/>
              <w:rPr>
                <w:rFonts w:cs="Arial"/>
                <w:color w:val="000000"/>
                <w:sz w:val="20"/>
                <w:szCs w:val="20"/>
                <w:lang w:eastAsia="en-GB"/>
              </w:rPr>
            </w:pPr>
            <w:r>
              <w:rPr>
                <w:rFonts w:cs="Arial"/>
                <w:color w:val="000000"/>
                <w:sz w:val="20"/>
                <w:szCs w:val="20"/>
                <w:lang w:eastAsia="en-GB"/>
              </w:rPr>
              <w:t>19</w:t>
            </w:r>
            <w:r w:rsidR="00411B0B" w:rsidRPr="00411B0B">
              <w:rPr>
                <w:rFonts w:cs="Arial"/>
                <w:color w:val="000000"/>
                <w:sz w:val="20"/>
                <w:szCs w:val="20"/>
                <w:lang w:eastAsia="en-GB"/>
              </w:rPr>
              <w:t> </w:t>
            </w:r>
          </w:p>
        </w:tc>
        <w:tc>
          <w:tcPr>
            <w:tcW w:w="975" w:type="dxa"/>
            <w:tcBorders>
              <w:top w:val="nil"/>
              <w:left w:val="nil"/>
              <w:bottom w:val="nil"/>
              <w:right w:val="nil"/>
            </w:tcBorders>
            <w:shd w:val="clear" w:color="000000" w:fill="FFFFFF"/>
            <w:noWrap/>
            <w:vAlign w:val="center"/>
            <w:hideMark/>
          </w:tcPr>
          <w:p w14:paraId="4E8268D2"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1134" w:type="dxa"/>
            <w:tcBorders>
              <w:top w:val="nil"/>
              <w:left w:val="nil"/>
              <w:bottom w:val="nil"/>
              <w:right w:val="nil"/>
            </w:tcBorders>
            <w:shd w:val="clear" w:color="000000" w:fill="FFFFFF"/>
            <w:noWrap/>
            <w:vAlign w:val="center"/>
            <w:hideMark/>
          </w:tcPr>
          <w:p w14:paraId="7BFC1135" w14:textId="77777777" w:rsidR="00411B0B" w:rsidRPr="00411B0B" w:rsidRDefault="00411B0B" w:rsidP="00411B0B">
            <w:pPr>
              <w:rPr>
                <w:rFonts w:ascii="Calibri" w:hAnsi="Calibri" w:cs="Calibri"/>
                <w:color w:val="000000"/>
                <w:sz w:val="22"/>
                <w:szCs w:val="22"/>
                <w:lang w:eastAsia="en-GB"/>
              </w:rPr>
            </w:pPr>
            <w:r w:rsidRPr="00411B0B">
              <w:rPr>
                <w:rFonts w:ascii="Calibri" w:hAnsi="Calibri" w:cs="Calibri"/>
                <w:color w:val="000000"/>
                <w:sz w:val="22"/>
                <w:szCs w:val="22"/>
                <w:lang w:eastAsia="en-GB"/>
              </w:rPr>
              <w:t> </w:t>
            </w:r>
          </w:p>
        </w:tc>
        <w:tc>
          <w:tcPr>
            <w:tcW w:w="850" w:type="dxa"/>
            <w:tcBorders>
              <w:top w:val="nil"/>
              <w:left w:val="nil"/>
              <w:bottom w:val="nil"/>
              <w:right w:val="single" w:sz="4" w:space="0" w:color="auto"/>
            </w:tcBorders>
            <w:shd w:val="clear" w:color="000000" w:fill="FFFFFF"/>
            <w:vAlign w:val="center"/>
            <w:hideMark/>
          </w:tcPr>
          <w:p w14:paraId="102D250E" w14:textId="2A9EBAD2"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(2,1</w:t>
            </w:r>
            <w:r w:rsidR="00F5136C">
              <w:rPr>
                <w:rFonts w:cs="Arial"/>
                <w:color w:val="000000"/>
                <w:sz w:val="20"/>
                <w:szCs w:val="20"/>
                <w:lang w:eastAsia="en-GB"/>
              </w:rPr>
              <w:t>45</w:t>
            </w:r>
            <w:r w:rsidRPr="00411B0B">
              <w:rPr>
                <w:rFonts w:cs="Arial"/>
                <w:color w:val="000000"/>
                <w:sz w:val="20"/>
                <w:szCs w:val="20"/>
                <w:lang w:eastAsia="en-GB"/>
              </w:rPr>
              <w:t>)</w:t>
            </w:r>
          </w:p>
        </w:tc>
      </w:tr>
      <w:tr w:rsidR="00411B0B" w:rsidRPr="00411B0B" w14:paraId="29083CD8" w14:textId="77777777" w:rsidTr="00411B0B">
        <w:trPr>
          <w:trHeight w:val="290"/>
        </w:trPr>
        <w:tc>
          <w:tcPr>
            <w:tcW w:w="1036" w:type="dxa"/>
            <w:tcBorders>
              <w:top w:val="nil"/>
              <w:left w:val="single" w:sz="4" w:space="0" w:color="auto"/>
              <w:bottom w:val="nil"/>
              <w:right w:val="nil"/>
            </w:tcBorders>
            <w:shd w:val="clear" w:color="000000" w:fill="FFFFFF"/>
            <w:noWrap/>
            <w:vAlign w:val="center"/>
            <w:hideMark/>
          </w:tcPr>
          <w:p w14:paraId="43401DFC"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61" w:type="dxa"/>
            <w:tcBorders>
              <w:top w:val="nil"/>
              <w:left w:val="nil"/>
              <w:bottom w:val="nil"/>
              <w:right w:val="nil"/>
            </w:tcBorders>
            <w:shd w:val="clear" w:color="000000" w:fill="FFFFFF"/>
            <w:noWrap/>
            <w:vAlign w:val="center"/>
            <w:hideMark/>
          </w:tcPr>
          <w:p w14:paraId="0DCB379F"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80" w:type="dxa"/>
            <w:tcBorders>
              <w:top w:val="nil"/>
              <w:left w:val="nil"/>
              <w:bottom w:val="nil"/>
              <w:right w:val="nil"/>
            </w:tcBorders>
            <w:shd w:val="clear" w:color="000000" w:fill="FFFFFF"/>
            <w:noWrap/>
            <w:vAlign w:val="center"/>
            <w:hideMark/>
          </w:tcPr>
          <w:p w14:paraId="482197E4"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 xml:space="preserve"> (18,245)</w:t>
            </w:r>
          </w:p>
        </w:tc>
        <w:tc>
          <w:tcPr>
            <w:tcW w:w="3827" w:type="dxa"/>
            <w:tcBorders>
              <w:top w:val="nil"/>
              <w:left w:val="nil"/>
              <w:bottom w:val="nil"/>
              <w:right w:val="nil"/>
            </w:tcBorders>
            <w:shd w:val="clear" w:color="000000" w:fill="FFFFFF"/>
            <w:vAlign w:val="center"/>
            <w:hideMark/>
          </w:tcPr>
          <w:p w14:paraId="4BCCEA75"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Remeasurements of the defined benefit liability</w:t>
            </w:r>
          </w:p>
        </w:tc>
        <w:tc>
          <w:tcPr>
            <w:tcW w:w="443" w:type="dxa"/>
            <w:tcBorders>
              <w:top w:val="nil"/>
              <w:left w:val="nil"/>
              <w:bottom w:val="nil"/>
              <w:right w:val="nil"/>
            </w:tcBorders>
            <w:shd w:val="clear" w:color="000000" w:fill="FFFFFF"/>
            <w:vAlign w:val="center"/>
            <w:hideMark/>
          </w:tcPr>
          <w:p w14:paraId="0F4B622C" w14:textId="7A085048" w:rsidR="00411B0B" w:rsidRPr="00411B0B" w:rsidRDefault="00411B0B" w:rsidP="00411B0B">
            <w:pPr>
              <w:jc w:val="center"/>
              <w:rPr>
                <w:rFonts w:cs="Arial"/>
                <w:color w:val="000000"/>
                <w:sz w:val="20"/>
                <w:szCs w:val="20"/>
                <w:lang w:eastAsia="en-GB"/>
              </w:rPr>
            </w:pPr>
            <w:r w:rsidRPr="00411B0B">
              <w:rPr>
                <w:rFonts w:cs="Arial"/>
                <w:color w:val="000000"/>
                <w:sz w:val="20"/>
                <w:szCs w:val="20"/>
                <w:lang w:eastAsia="en-GB"/>
              </w:rPr>
              <w:t>1</w:t>
            </w:r>
            <w:r w:rsidR="00814508">
              <w:rPr>
                <w:rFonts w:cs="Arial"/>
                <w:color w:val="000000"/>
                <w:sz w:val="20"/>
                <w:szCs w:val="20"/>
                <w:lang w:eastAsia="en-GB"/>
              </w:rPr>
              <w:t>6</w:t>
            </w:r>
          </w:p>
        </w:tc>
        <w:tc>
          <w:tcPr>
            <w:tcW w:w="975" w:type="dxa"/>
            <w:tcBorders>
              <w:top w:val="nil"/>
              <w:left w:val="nil"/>
              <w:bottom w:val="nil"/>
              <w:right w:val="nil"/>
            </w:tcBorders>
            <w:shd w:val="clear" w:color="000000" w:fill="FFFFFF"/>
            <w:noWrap/>
            <w:vAlign w:val="center"/>
            <w:hideMark/>
          </w:tcPr>
          <w:p w14:paraId="5A01F964"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1134" w:type="dxa"/>
            <w:tcBorders>
              <w:top w:val="nil"/>
              <w:left w:val="nil"/>
              <w:bottom w:val="nil"/>
              <w:right w:val="nil"/>
            </w:tcBorders>
            <w:shd w:val="clear" w:color="000000" w:fill="FFFFFF"/>
            <w:noWrap/>
            <w:vAlign w:val="center"/>
            <w:hideMark/>
          </w:tcPr>
          <w:p w14:paraId="18C94F24" w14:textId="77777777" w:rsidR="00411B0B" w:rsidRPr="00411B0B" w:rsidRDefault="00411B0B" w:rsidP="00411B0B">
            <w:pPr>
              <w:rPr>
                <w:rFonts w:ascii="Calibri" w:hAnsi="Calibri" w:cs="Calibri"/>
                <w:color w:val="000000"/>
                <w:sz w:val="22"/>
                <w:szCs w:val="22"/>
                <w:lang w:eastAsia="en-GB"/>
              </w:rPr>
            </w:pPr>
            <w:r w:rsidRPr="00411B0B">
              <w:rPr>
                <w:rFonts w:ascii="Calibri" w:hAnsi="Calibri" w:cs="Calibri"/>
                <w:color w:val="000000"/>
                <w:sz w:val="22"/>
                <w:szCs w:val="22"/>
                <w:lang w:eastAsia="en-GB"/>
              </w:rPr>
              <w:t> </w:t>
            </w:r>
          </w:p>
        </w:tc>
        <w:tc>
          <w:tcPr>
            <w:tcW w:w="850" w:type="dxa"/>
            <w:tcBorders>
              <w:top w:val="nil"/>
              <w:left w:val="nil"/>
              <w:bottom w:val="nil"/>
              <w:right w:val="single" w:sz="4" w:space="0" w:color="auto"/>
            </w:tcBorders>
            <w:shd w:val="clear" w:color="000000" w:fill="FFFFFF"/>
            <w:vAlign w:val="center"/>
            <w:hideMark/>
          </w:tcPr>
          <w:p w14:paraId="7DEDDB6F" w14:textId="77777777" w:rsidR="00411B0B" w:rsidRPr="00411B0B" w:rsidRDefault="00411B0B" w:rsidP="00411B0B">
            <w:pPr>
              <w:jc w:val="right"/>
              <w:rPr>
                <w:rFonts w:cs="Arial"/>
                <w:color w:val="000000"/>
                <w:sz w:val="20"/>
                <w:szCs w:val="20"/>
                <w:lang w:eastAsia="en-GB"/>
              </w:rPr>
            </w:pPr>
            <w:r w:rsidRPr="00411B0B">
              <w:rPr>
                <w:rFonts w:cs="Arial"/>
                <w:color w:val="000000"/>
                <w:sz w:val="20"/>
                <w:szCs w:val="20"/>
                <w:lang w:eastAsia="en-GB"/>
              </w:rPr>
              <w:t>237</w:t>
            </w:r>
          </w:p>
        </w:tc>
      </w:tr>
      <w:tr w:rsidR="00411B0B" w:rsidRPr="00411B0B" w14:paraId="443F632E" w14:textId="77777777" w:rsidTr="00411B0B">
        <w:trPr>
          <w:trHeight w:val="542"/>
        </w:trPr>
        <w:tc>
          <w:tcPr>
            <w:tcW w:w="1036" w:type="dxa"/>
            <w:tcBorders>
              <w:top w:val="nil"/>
              <w:left w:val="single" w:sz="4" w:space="0" w:color="auto"/>
              <w:bottom w:val="nil"/>
              <w:right w:val="nil"/>
            </w:tcBorders>
            <w:shd w:val="clear" w:color="000000" w:fill="FFFFFF"/>
            <w:noWrap/>
            <w:vAlign w:val="center"/>
            <w:hideMark/>
          </w:tcPr>
          <w:p w14:paraId="3C12E656"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61" w:type="dxa"/>
            <w:tcBorders>
              <w:top w:val="nil"/>
              <w:left w:val="nil"/>
              <w:bottom w:val="nil"/>
              <w:right w:val="nil"/>
            </w:tcBorders>
            <w:shd w:val="clear" w:color="000000" w:fill="FFFFFF"/>
            <w:noWrap/>
            <w:vAlign w:val="center"/>
            <w:hideMark/>
          </w:tcPr>
          <w:p w14:paraId="3C1B501A"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80" w:type="dxa"/>
            <w:tcBorders>
              <w:top w:val="single" w:sz="4" w:space="0" w:color="auto"/>
              <w:left w:val="nil"/>
              <w:bottom w:val="nil"/>
              <w:right w:val="nil"/>
            </w:tcBorders>
            <w:shd w:val="clear" w:color="000000" w:fill="FFFFFF"/>
            <w:noWrap/>
            <w:vAlign w:val="center"/>
            <w:hideMark/>
          </w:tcPr>
          <w:p w14:paraId="7EDCCDA2"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xml:space="preserve"> (20,288)</w:t>
            </w:r>
          </w:p>
        </w:tc>
        <w:tc>
          <w:tcPr>
            <w:tcW w:w="3827" w:type="dxa"/>
            <w:tcBorders>
              <w:top w:val="nil"/>
              <w:left w:val="nil"/>
              <w:bottom w:val="nil"/>
              <w:right w:val="nil"/>
            </w:tcBorders>
            <w:shd w:val="clear" w:color="000000" w:fill="FFFFFF"/>
            <w:vAlign w:val="center"/>
            <w:hideMark/>
          </w:tcPr>
          <w:p w14:paraId="77C9B809" w14:textId="77777777" w:rsidR="00411B0B" w:rsidRPr="00411B0B" w:rsidRDefault="00411B0B" w:rsidP="00411B0B">
            <w:pPr>
              <w:rPr>
                <w:rFonts w:cs="Arial"/>
                <w:b/>
                <w:bCs/>
                <w:color w:val="000000"/>
                <w:sz w:val="20"/>
                <w:szCs w:val="20"/>
                <w:lang w:eastAsia="en-GB"/>
              </w:rPr>
            </w:pPr>
            <w:r w:rsidRPr="00411B0B">
              <w:rPr>
                <w:rFonts w:cs="Arial"/>
                <w:b/>
                <w:bCs/>
                <w:color w:val="000000"/>
                <w:sz w:val="20"/>
                <w:szCs w:val="20"/>
                <w:lang w:eastAsia="en-GB"/>
              </w:rPr>
              <w:t>Other Comprehensive (Income) &amp; Expenditure</w:t>
            </w:r>
          </w:p>
        </w:tc>
        <w:tc>
          <w:tcPr>
            <w:tcW w:w="443" w:type="dxa"/>
            <w:tcBorders>
              <w:top w:val="nil"/>
              <w:left w:val="nil"/>
              <w:bottom w:val="nil"/>
              <w:right w:val="nil"/>
            </w:tcBorders>
            <w:shd w:val="clear" w:color="000000" w:fill="FFFFFF"/>
            <w:vAlign w:val="center"/>
            <w:hideMark/>
          </w:tcPr>
          <w:p w14:paraId="10A61899" w14:textId="77777777" w:rsidR="00411B0B" w:rsidRPr="00411B0B" w:rsidRDefault="00411B0B" w:rsidP="00411B0B">
            <w:pPr>
              <w:rPr>
                <w:rFonts w:cs="Arial"/>
                <w:b/>
                <w:bCs/>
                <w:color w:val="000000"/>
                <w:sz w:val="20"/>
                <w:szCs w:val="20"/>
                <w:lang w:eastAsia="en-GB"/>
              </w:rPr>
            </w:pPr>
            <w:r w:rsidRPr="00411B0B">
              <w:rPr>
                <w:rFonts w:cs="Arial"/>
                <w:b/>
                <w:bCs/>
                <w:color w:val="000000"/>
                <w:sz w:val="20"/>
                <w:szCs w:val="20"/>
                <w:lang w:eastAsia="en-GB"/>
              </w:rPr>
              <w:t> </w:t>
            </w:r>
          </w:p>
        </w:tc>
        <w:tc>
          <w:tcPr>
            <w:tcW w:w="975" w:type="dxa"/>
            <w:tcBorders>
              <w:top w:val="nil"/>
              <w:left w:val="nil"/>
              <w:bottom w:val="nil"/>
              <w:right w:val="nil"/>
            </w:tcBorders>
            <w:shd w:val="clear" w:color="000000" w:fill="FFFFFF"/>
            <w:noWrap/>
            <w:vAlign w:val="center"/>
            <w:hideMark/>
          </w:tcPr>
          <w:p w14:paraId="4F0A6BA4"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1134" w:type="dxa"/>
            <w:tcBorders>
              <w:top w:val="nil"/>
              <w:left w:val="nil"/>
              <w:bottom w:val="nil"/>
              <w:right w:val="nil"/>
            </w:tcBorders>
            <w:shd w:val="clear" w:color="000000" w:fill="FFFFFF"/>
            <w:noWrap/>
            <w:vAlign w:val="center"/>
            <w:hideMark/>
          </w:tcPr>
          <w:p w14:paraId="5DD0460C"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850" w:type="dxa"/>
            <w:tcBorders>
              <w:top w:val="single" w:sz="4" w:space="0" w:color="auto"/>
              <w:left w:val="nil"/>
              <w:bottom w:val="nil"/>
              <w:right w:val="single" w:sz="4" w:space="0" w:color="auto"/>
            </w:tcBorders>
            <w:shd w:val="clear" w:color="000000" w:fill="FFFFFF"/>
            <w:noWrap/>
            <w:vAlign w:val="center"/>
            <w:hideMark/>
          </w:tcPr>
          <w:p w14:paraId="1A1C218A" w14:textId="27EB3918"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xml:space="preserve"> (1,9</w:t>
            </w:r>
            <w:r w:rsidR="00F5136C">
              <w:rPr>
                <w:rFonts w:cs="Arial"/>
                <w:b/>
                <w:bCs/>
                <w:color w:val="000000"/>
                <w:sz w:val="20"/>
                <w:szCs w:val="20"/>
                <w:lang w:eastAsia="en-GB"/>
              </w:rPr>
              <w:t>08</w:t>
            </w:r>
            <w:r w:rsidRPr="00411B0B">
              <w:rPr>
                <w:rFonts w:cs="Arial"/>
                <w:b/>
                <w:bCs/>
                <w:color w:val="000000"/>
                <w:sz w:val="20"/>
                <w:szCs w:val="20"/>
                <w:lang w:eastAsia="en-GB"/>
              </w:rPr>
              <w:t>)</w:t>
            </w:r>
          </w:p>
        </w:tc>
      </w:tr>
      <w:tr w:rsidR="00411B0B" w:rsidRPr="00411B0B" w14:paraId="589B3DCA" w14:textId="77777777" w:rsidTr="00411B0B">
        <w:trPr>
          <w:trHeight w:val="290"/>
        </w:trPr>
        <w:tc>
          <w:tcPr>
            <w:tcW w:w="1036" w:type="dxa"/>
            <w:tcBorders>
              <w:top w:val="nil"/>
              <w:left w:val="single" w:sz="4" w:space="0" w:color="auto"/>
              <w:bottom w:val="single" w:sz="4" w:space="0" w:color="auto"/>
              <w:right w:val="nil"/>
            </w:tcBorders>
            <w:shd w:val="clear" w:color="000000" w:fill="FFFFFF"/>
            <w:noWrap/>
            <w:vAlign w:val="center"/>
            <w:hideMark/>
          </w:tcPr>
          <w:p w14:paraId="094B6233"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61" w:type="dxa"/>
            <w:tcBorders>
              <w:top w:val="nil"/>
              <w:left w:val="nil"/>
              <w:bottom w:val="single" w:sz="4" w:space="0" w:color="auto"/>
              <w:right w:val="nil"/>
            </w:tcBorders>
            <w:shd w:val="clear" w:color="000000" w:fill="FFFFFF"/>
            <w:noWrap/>
            <w:vAlign w:val="center"/>
            <w:hideMark/>
          </w:tcPr>
          <w:p w14:paraId="2C02F467"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980" w:type="dxa"/>
            <w:tcBorders>
              <w:top w:val="single" w:sz="4" w:space="0" w:color="auto"/>
              <w:left w:val="nil"/>
              <w:bottom w:val="single" w:sz="4" w:space="0" w:color="auto"/>
              <w:right w:val="nil"/>
            </w:tcBorders>
            <w:shd w:val="clear" w:color="000000" w:fill="FFFFFF"/>
            <w:noWrap/>
            <w:vAlign w:val="center"/>
            <w:hideMark/>
          </w:tcPr>
          <w:p w14:paraId="0866DDE7" w14:textId="77777777"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xml:space="preserve"> (17,829)</w:t>
            </w:r>
          </w:p>
        </w:tc>
        <w:tc>
          <w:tcPr>
            <w:tcW w:w="3827" w:type="dxa"/>
            <w:tcBorders>
              <w:top w:val="nil"/>
              <w:left w:val="nil"/>
              <w:bottom w:val="single" w:sz="4" w:space="0" w:color="auto"/>
              <w:right w:val="nil"/>
            </w:tcBorders>
            <w:shd w:val="clear" w:color="000000" w:fill="FFFFFF"/>
            <w:vAlign w:val="center"/>
            <w:hideMark/>
          </w:tcPr>
          <w:p w14:paraId="6D5B8928" w14:textId="77777777" w:rsidR="00411B0B" w:rsidRPr="00411B0B" w:rsidRDefault="00411B0B" w:rsidP="00411B0B">
            <w:pPr>
              <w:rPr>
                <w:rFonts w:cs="Arial"/>
                <w:b/>
                <w:bCs/>
                <w:color w:val="000000"/>
                <w:sz w:val="20"/>
                <w:szCs w:val="20"/>
                <w:lang w:eastAsia="en-GB"/>
              </w:rPr>
            </w:pPr>
            <w:r w:rsidRPr="00411B0B">
              <w:rPr>
                <w:rFonts w:cs="Arial"/>
                <w:b/>
                <w:bCs/>
                <w:color w:val="000000"/>
                <w:sz w:val="20"/>
                <w:szCs w:val="20"/>
                <w:lang w:eastAsia="en-GB"/>
              </w:rPr>
              <w:t>Total Comprehensive (Income) &amp; Expenditure</w:t>
            </w:r>
          </w:p>
        </w:tc>
        <w:tc>
          <w:tcPr>
            <w:tcW w:w="443" w:type="dxa"/>
            <w:tcBorders>
              <w:top w:val="nil"/>
              <w:left w:val="nil"/>
              <w:bottom w:val="single" w:sz="4" w:space="0" w:color="auto"/>
              <w:right w:val="nil"/>
            </w:tcBorders>
            <w:shd w:val="clear" w:color="000000" w:fill="FFFFFF"/>
            <w:vAlign w:val="center"/>
            <w:hideMark/>
          </w:tcPr>
          <w:p w14:paraId="6BA9C41B" w14:textId="77777777" w:rsidR="00411B0B" w:rsidRPr="00411B0B" w:rsidRDefault="00411B0B" w:rsidP="00411B0B">
            <w:pPr>
              <w:rPr>
                <w:rFonts w:cs="Arial"/>
                <w:b/>
                <w:bCs/>
                <w:color w:val="000000"/>
                <w:sz w:val="20"/>
                <w:szCs w:val="20"/>
                <w:lang w:eastAsia="en-GB"/>
              </w:rPr>
            </w:pPr>
            <w:r w:rsidRPr="00411B0B">
              <w:rPr>
                <w:rFonts w:cs="Arial"/>
                <w:b/>
                <w:bCs/>
                <w:color w:val="000000"/>
                <w:sz w:val="20"/>
                <w:szCs w:val="20"/>
                <w:lang w:eastAsia="en-GB"/>
              </w:rPr>
              <w:t> </w:t>
            </w:r>
          </w:p>
        </w:tc>
        <w:tc>
          <w:tcPr>
            <w:tcW w:w="975" w:type="dxa"/>
            <w:tcBorders>
              <w:top w:val="nil"/>
              <w:left w:val="nil"/>
              <w:bottom w:val="single" w:sz="4" w:space="0" w:color="auto"/>
              <w:right w:val="nil"/>
            </w:tcBorders>
            <w:shd w:val="clear" w:color="000000" w:fill="FFFFFF"/>
            <w:noWrap/>
            <w:vAlign w:val="center"/>
            <w:hideMark/>
          </w:tcPr>
          <w:p w14:paraId="6AD53452"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1134" w:type="dxa"/>
            <w:tcBorders>
              <w:top w:val="nil"/>
              <w:left w:val="nil"/>
              <w:bottom w:val="single" w:sz="4" w:space="0" w:color="auto"/>
              <w:right w:val="nil"/>
            </w:tcBorders>
            <w:shd w:val="clear" w:color="000000" w:fill="FFFFFF"/>
            <w:noWrap/>
            <w:vAlign w:val="center"/>
            <w:hideMark/>
          </w:tcPr>
          <w:p w14:paraId="10451904" w14:textId="77777777" w:rsidR="00411B0B" w:rsidRPr="00411B0B" w:rsidRDefault="00411B0B" w:rsidP="00411B0B">
            <w:pPr>
              <w:rPr>
                <w:rFonts w:cs="Arial"/>
                <w:color w:val="000000"/>
                <w:sz w:val="20"/>
                <w:szCs w:val="20"/>
                <w:lang w:eastAsia="en-GB"/>
              </w:rPr>
            </w:pPr>
            <w:r w:rsidRPr="00411B0B">
              <w:rPr>
                <w:rFonts w:cs="Arial"/>
                <w:color w:val="000000"/>
                <w:sz w:val="20"/>
                <w:szCs w:val="20"/>
                <w:lang w:eastAsia="en-GB"/>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5DD5F3B" w14:textId="5F60E453" w:rsidR="00411B0B" w:rsidRPr="00411B0B" w:rsidRDefault="00411B0B" w:rsidP="00411B0B">
            <w:pPr>
              <w:jc w:val="right"/>
              <w:rPr>
                <w:rFonts w:cs="Arial"/>
                <w:b/>
                <w:bCs/>
                <w:color w:val="000000"/>
                <w:sz w:val="20"/>
                <w:szCs w:val="20"/>
                <w:lang w:eastAsia="en-GB"/>
              </w:rPr>
            </w:pPr>
            <w:r w:rsidRPr="00411B0B">
              <w:rPr>
                <w:rFonts w:cs="Arial"/>
                <w:b/>
                <w:bCs/>
                <w:color w:val="000000"/>
                <w:sz w:val="20"/>
                <w:szCs w:val="20"/>
                <w:lang w:eastAsia="en-GB"/>
              </w:rPr>
              <w:t xml:space="preserve"> (1,1</w:t>
            </w:r>
            <w:r w:rsidR="00F5136C">
              <w:rPr>
                <w:rFonts w:cs="Arial"/>
                <w:b/>
                <w:bCs/>
                <w:color w:val="000000"/>
                <w:sz w:val="20"/>
                <w:szCs w:val="20"/>
                <w:lang w:eastAsia="en-GB"/>
              </w:rPr>
              <w:t>08</w:t>
            </w:r>
            <w:r w:rsidRPr="00411B0B">
              <w:rPr>
                <w:rFonts w:cs="Arial"/>
                <w:b/>
                <w:bCs/>
                <w:color w:val="000000"/>
                <w:sz w:val="20"/>
                <w:szCs w:val="20"/>
                <w:lang w:eastAsia="en-GB"/>
              </w:rPr>
              <w:t>)</w:t>
            </w:r>
          </w:p>
        </w:tc>
      </w:tr>
    </w:tbl>
    <w:p w14:paraId="0CB6024F" w14:textId="77777777" w:rsidR="00411B0B" w:rsidRDefault="00411B0B" w:rsidP="00D34473">
      <w:pPr>
        <w:jc w:val="center"/>
        <w:rPr>
          <w:color w:val="FF0000"/>
          <w:highlight w:val="yellow"/>
        </w:rPr>
      </w:pPr>
    </w:p>
    <w:p w14:paraId="2AC2A9C3" w14:textId="77777777" w:rsidR="00BA639D" w:rsidRPr="009C13C9" w:rsidRDefault="00BA639D" w:rsidP="00BA639D">
      <w:pPr>
        <w:tabs>
          <w:tab w:val="left" w:pos="360"/>
        </w:tabs>
        <w:ind w:left="360"/>
      </w:pPr>
      <w:r w:rsidRPr="009C13C9">
        <w:t>This Statement shows the accounting cost in the year of providing services in accordance with the Code, rather than the amount to be funded from taxation. Some local authorities raise taxation to cover expenditure in accordance with regulations; this may be different from the accounting cost. The taxation position is shown in the Movement in Reserves Statement. This authority does not routinely exercise its powers to raise local taxation and instead relies upon Defra grant and income from chargeable activities.</w:t>
      </w:r>
    </w:p>
    <w:p w14:paraId="4468A91D" w14:textId="280EC601" w:rsidR="008A18DE" w:rsidRPr="004D5CA8" w:rsidRDefault="008A18DE" w:rsidP="006D2EED">
      <w:pPr>
        <w:pStyle w:val="HEADING"/>
        <w:jc w:val="center"/>
        <w:rPr>
          <w:highlight w:val="yellow"/>
        </w:rPr>
      </w:pPr>
    </w:p>
    <w:p w14:paraId="485A4597" w14:textId="02462EAC" w:rsidR="00976EED" w:rsidRPr="004D5CA8" w:rsidRDefault="00976EED" w:rsidP="006D2EED">
      <w:pPr>
        <w:pStyle w:val="HEADING"/>
        <w:jc w:val="center"/>
        <w:rPr>
          <w:highlight w:val="yellow"/>
        </w:rPr>
      </w:pPr>
    </w:p>
    <w:p w14:paraId="485A4598" w14:textId="77777777" w:rsidR="00976EED" w:rsidRPr="004D5CA8" w:rsidRDefault="00976EED" w:rsidP="006D2EED">
      <w:pPr>
        <w:pStyle w:val="HEADING"/>
        <w:jc w:val="center"/>
        <w:rPr>
          <w:highlight w:val="yellow"/>
        </w:rPr>
      </w:pPr>
    </w:p>
    <w:p w14:paraId="485A4599" w14:textId="77777777" w:rsidR="00976EED" w:rsidRPr="004D5CA8" w:rsidRDefault="00976EED" w:rsidP="006D2EED">
      <w:pPr>
        <w:pStyle w:val="HEADING"/>
        <w:jc w:val="center"/>
        <w:rPr>
          <w:highlight w:val="yellow"/>
        </w:rPr>
      </w:pPr>
    </w:p>
    <w:p w14:paraId="485A459A" w14:textId="77777777" w:rsidR="00976EED" w:rsidRPr="004D5CA8" w:rsidRDefault="00976EED" w:rsidP="006D2EED">
      <w:pPr>
        <w:pStyle w:val="HEADING"/>
        <w:jc w:val="center"/>
        <w:rPr>
          <w:highlight w:val="yellow"/>
        </w:rPr>
      </w:pPr>
    </w:p>
    <w:p w14:paraId="485A459B" w14:textId="77777777" w:rsidR="00976EED" w:rsidRPr="004D5CA8" w:rsidRDefault="00976EED" w:rsidP="006D2EED">
      <w:pPr>
        <w:pStyle w:val="HEADING"/>
        <w:jc w:val="center"/>
        <w:rPr>
          <w:highlight w:val="yellow"/>
        </w:rPr>
      </w:pPr>
    </w:p>
    <w:p w14:paraId="485A459C" w14:textId="77777777" w:rsidR="00976EED" w:rsidRPr="004D5CA8" w:rsidRDefault="00976EED" w:rsidP="006D2EED">
      <w:pPr>
        <w:pStyle w:val="HEADING"/>
        <w:jc w:val="center"/>
        <w:rPr>
          <w:highlight w:val="yellow"/>
        </w:rPr>
      </w:pPr>
    </w:p>
    <w:p w14:paraId="485A459D" w14:textId="77777777" w:rsidR="00976EED" w:rsidRPr="004D5CA8" w:rsidRDefault="00976EED" w:rsidP="006D2EED">
      <w:pPr>
        <w:pStyle w:val="HEADING"/>
        <w:jc w:val="center"/>
        <w:rPr>
          <w:highlight w:val="yellow"/>
        </w:rPr>
      </w:pPr>
    </w:p>
    <w:p w14:paraId="485A459E" w14:textId="1BDDCE88" w:rsidR="00976EED" w:rsidRDefault="002C7B2E" w:rsidP="00C01DC6">
      <w:pPr>
        <w:pStyle w:val="Heading1"/>
        <w:jc w:val="left"/>
      </w:pPr>
      <w:r w:rsidRPr="004D5CA8">
        <w:rPr>
          <w:highlight w:val="yellow"/>
        </w:rPr>
        <w:br w:type="page"/>
      </w:r>
      <w:bookmarkStart w:id="152" w:name="_Toc167965789"/>
      <w:r w:rsidR="00976EED" w:rsidRPr="009C13C9">
        <w:lastRenderedPageBreak/>
        <w:t>M</w:t>
      </w:r>
      <w:r w:rsidR="009C5A0E">
        <w:t>ovement in Reserves Statement (MIRS)</w:t>
      </w:r>
      <w:bookmarkEnd w:id="152"/>
    </w:p>
    <w:p w14:paraId="6996B0B0" w14:textId="77777777" w:rsidR="00CC37BA" w:rsidRDefault="00CC37BA" w:rsidP="00CA7A05">
      <w:pPr>
        <w:tabs>
          <w:tab w:val="left" w:pos="0"/>
        </w:tabs>
        <w:jc w:val="center"/>
        <w:rPr>
          <w:rFonts w:cs="Arial"/>
          <w:b/>
          <w:sz w:val="28"/>
          <w:szCs w:val="28"/>
        </w:rPr>
      </w:pPr>
    </w:p>
    <w:tbl>
      <w:tblPr>
        <w:tblW w:w="10092" w:type="dxa"/>
        <w:tblLook w:val="04A0" w:firstRow="1" w:lastRow="0" w:firstColumn="1" w:lastColumn="0" w:noHBand="0" w:noVBand="1"/>
      </w:tblPr>
      <w:tblGrid>
        <w:gridCol w:w="3676"/>
        <w:gridCol w:w="435"/>
        <w:gridCol w:w="917"/>
        <w:gridCol w:w="967"/>
        <w:gridCol w:w="1087"/>
        <w:gridCol w:w="1017"/>
        <w:gridCol w:w="1027"/>
        <w:gridCol w:w="1017"/>
      </w:tblGrid>
      <w:tr w:rsidR="00665F5E" w:rsidRPr="00665F5E" w14:paraId="1C0C29E1" w14:textId="77777777" w:rsidTr="00665F5E">
        <w:trPr>
          <w:trHeight w:val="930"/>
        </w:trPr>
        <w:tc>
          <w:tcPr>
            <w:tcW w:w="3676" w:type="dxa"/>
            <w:tcBorders>
              <w:top w:val="single" w:sz="8" w:space="0" w:color="auto"/>
              <w:left w:val="single" w:sz="8" w:space="0" w:color="auto"/>
              <w:bottom w:val="single" w:sz="8" w:space="0" w:color="auto"/>
              <w:right w:val="nil"/>
            </w:tcBorders>
            <w:shd w:val="clear" w:color="000000" w:fill="000000"/>
            <w:noWrap/>
            <w:vAlign w:val="bottom"/>
            <w:hideMark/>
          </w:tcPr>
          <w:p w14:paraId="7C67BDA9" w14:textId="77777777" w:rsidR="00665F5E" w:rsidRPr="00665F5E" w:rsidRDefault="00665F5E" w:rsidP="00665F5E">
            <w:pPr>
              <w:rPr>
                <w:rFonts w:ascii="Times New Roman" w:hAnsi="Times New Roman"/>
                <w:color w:val="000000"/>
                <w:sz w:val="20"/>
                <w:szCs w:val="20"/>
                <w:lang w:eastAsia="en-GB"/>
              </w:rPr>
            </w:pPr>
            <w:r w:rsidRPr="00665F5E">
              <w:rPr>
                <w:rFonts w:ascii="Times New Roman" w:hAnsi="Times New Roman"/>
                <w:color w:val="000000"/>
                <w:sz w:val="20"/>
                <w:szCs w:val="20"/>
                <w:lang w:eastAsia="en-GB"/>
              </w:rPr>
              <w:t> </w:t>
            </w:r>
          </w:p>
        </w:tc>
        <w:tc>
          <w:tcPr>
            <w:tcW w:w="435" w:type="dxa"/>
            <w:vMerge w:val="restart"/>
            <w:tcBorders>
              <w:top w:val="single" w:sz="8" w:space="0" w:color="auto"/>
              <w:left w:val="nil"/>
              <w:bottom w:val="single" w:sz="8" w:space="0" w:color="000000"/>
              <w:right w:val="single" w:sz="8" w:space="0" w:color="auto"/>
            </w:tcBorders>
            <w:shd w:val="clear" w:color="000000" w:fill="000000"/>
            <w:noWrap/>
            <w:textDirection w:val="btLr"/>
            <w:vAlign w:val="center"/>
            <w:hideMark/>
          </w:tcPr>
          <w:p w14:paraId="32E3EDC3" w14:textId="77777777" w:rsidR="00665F5E" w:rsidRPr="00665F5E" w:rsidRDefault="00665F5E" w:rsidP="00665F5E">
            <w:pPr>
              <w:jc w:val="center"/>
              <w:rPr>
                <w:rFonts w:cs="Arial"/>
                <w:b/>
                <w:bCs/>
                <w:color w:val="FFFFFF"/>
                <w:sz w:val="18"/>
                <w:szCs w:val="18"/>
                <w:lang w:eastAsia="en-GB"/>
              </w:rPr>
            </w:pPr>
            <w:r w:rsidRPr="00665F5E">
              <w:rPr>
                <w:rFonts w:cs="Arial"/>
                <w:b/>
                <w:bCs/>
                <w:color w:val="FFFFFF"/>
                <w:sz w:val="18"/>
                <w:szCs w:val="18"/>
                <w:lang w:eastAsia="en-GB"/>
              </w:rPr>
              <w:t>Note</w:t>
            </w:r>
          </w:p>
        </w:tc>
        <w:tc>
          <w:tcPr>
            <w:tcW w:w="917" w:type="dxa"/>
            <w:tcBorders>
              <w:top w:val="single" w:sz="8" w:space="0" w:color="auto"/>
              <w:left w:val="nil"/>
              <w:bottom w:val="single" w:sz="8" w:space="0" w:color="auto"/>
              <w:right w:val="single" w:sz="8" w:space="0" w:color="auto"/>
            </w:tcBorders>
            <w:shd w:val="clear" w:color="000000" w:fill="000000"/>
            <w:vAlign w:val="center"/>
            <w:hideMark/>
          </w:tcPr>
          <w:p w14:paraId="6D2524EF" w14:textId="77777777" w:rsidR="00665F5E" w:rsidRPr="00665F5E" w:rsidRDefault="00665F5E" w:rsidP="00665F5E">
            <w:pPr>
              <w:jc w:val="center"/>
              <w:rPr>
                <w:rFonts w:cs="Arial"/>
                <w:b/>
                <w:bCs/>
                <w:color w:val="FFFFFF"/>
                <w:sz w:val="18"/>
                <w:szCs w:val="18"/>
                <w:lang w:eastAsia="en-GB"/>
              </w:rPr>
            </w:pPr>
            <w:r w:rsidRPr="00665F5E">
              <w:rPr>
                <w:rFonts w:cs="Arial"/>
                <w:b/>
                <w:bCs/>
                <w:color w:val="FFFFFF"/>
                <w:sz w:val="18"/>
                <w:szCs w:val="18"/>
                <w:lang w:eastAsia="en-GB"/>
              </w:rPr>
              <w:t>General Reserve Balance</w:t>
            </w:r>
          </w:p>
        </w:tc>
        <w:tc>
          <w:tcPr>
            <w:tcW w:w="916" w:type="dxa"/>
            <w:tcBorders>
              <w:top w:val="single" w:sz="8" w:space="0" w:color="auto"/>
              <w:left w:val="nil"/>
              <w:bottom w:val="single" w:sz="8" w:space="0" w:color="auto"/>
              <w:right w:val="nil"/>
            </w:tcBorders>
            <w:shd w:val="clear" w:color="000000" w:fill="000000"/>
            <w:vAlign w:val="center"/>
            <w:hideMark/>
          </w:tcPr>
          <w:p w14:paraId="4506CF86" w14:textId="77777777" w:rsidR="00665F5E" w:rsidRPr="00665F5E" w:rsidRDefault="00665F5E" w:rsidP="00665F5E">
            <w:pPr>
              <w:jc w:val="center"/>
              <w:rPr>
                <w:rFonts w:cs="Arial"/>
                <w:b/>
                <w:bCs/>
                <w:color w:val="FFFFFF"/>
                <w:sz w:val="18"/>
                <w:szCs w:val="18"/>
                <w:lang w:eastAsia="en-GB"/>
              </w:rPr>
            </w:pPr>
            <w:r w:rsidRPr="00665F5E">
              <w:rPr>
                <w:rFonts w:cs="Arial"/>
                <w:b/>
                <w:bCs/>
                <w:color w:val="FFFFFF"/>
                <w:sz w:val="18"/>
                <w:szCs w:val="18"/>
                <w:lang w:eastAsia="en-GB"/>
              </w:rPr>
              <w:t>Capital Receipts Reserve</w:t>
            </w:r>
          </w:p>
        </w:tc>
        <w:tc>
          <w:tcPr>
            <w:tcW w:w="1087"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31541455" w14:textId="77777777" w:rsidR="00665F5E" w:rsidRPr="00665F5E" w:rsidRDefault="00665F5E" w:rsidP="00665F5E">
            <w:pPr>
              <w:jc w:val="center"/>
              <w:rPr>
                <w:rFonts w:cs="Arial"/>
                <w:b/>
                <w:bCs/>
                <w:color w:val="FFFFFF"/>
                <w:sz w:val="18"/>
                <w:szCs w:val="18"/>
                <w:lang w:eastAsia="en-GB"/>
              </w:rPr>
            </w:pPr>
            <w:r w:rsidRPr="00665F5E">
              <w:rPr>
                <w:rFonts w:cs="Arial"/>
                <w:b/>
                <w:bCs/>
                <w:color w:val="FFFFFF"/>
                <w:sz w:val="18"/>
                <w:szCs w:val="18"/>
                <w:lang w:eastAsia="en-GB"/>
              </w:rPr>
              <w:t>Capital Grants Unapplied</w:t>
            </w:r>
          </w:p>
        </w:tc>
        <w:tc>
          <w:tcPr>
            <w:tcW w:w="1017" w:type="dxa"/>
            <w:tcBorders>
              <w:top w:val="single" w:sz="8" w:space="0" w:color="auto"/>
              <w:left w:val="nil"/>
              <w:bottom w:val="single" w:sz="8" w:space="0" w:color="auto"/>
              <w:right w:val="nil"/>
            </w:tcBorders>
            <w:shd w:val="clear" w:color="000000" w:fill="000000"/>
            <w:vAlign w:val="center"/>
            <w:hideMark/>
          </w:tcPr>
          <w:p w14:paraId="019CD3C1" w14:textId="77777777" w:rsidR="00665F5E" w:rsidRPr="00665F5E" w:rsidRDefault="00665F5E" w:rsidP="00665F5E">
            <w:pPr>
              <w:jc w:val="center"/>
              <w:rPr>
                <w:rFonts w:cs="Arial"/>
                <w:b/>
                <w:bCs/>
                <w:color w:val="FFFFFF"/>
                <w:sz w:val="18"/>
                <w:szCs w:val="18"/>
                <w:lang w:eastAsia="en-GB"/>
              </w:rPr>
            </w:pPr>
            <w:r w:rsidRPr="00665F5E">
              <w:rPr>
                <w:rFonts w:cs="Arial"/>
                <w:b/>
                <w:bCs/>
                <w:color w:val="FFFFFF"/>
                <w:sz w:val="18"/>
                <w:szCs w:val="18"/>
                <w:lang w:eastAsia="en-GB"/>
              </w:rPr>
              <w:t>Total Useable Reserves</w:t>
            </w:r>
          </w:p>
        </w:tc>
        <w:tc>
          <w:tcPr>
            <w:tcW w:w="1027" w:type="dxa"/>
            <w:tcBorders>
              <w:top w:val="single" w:sz="8" w:space="0" w:color="auto"/>
              <w:left w:val="single" w:sz="8" w:space="0" w:color="auto"/>
              <w:bottom w:val="single" w:sz="8" w:space="0" w:color="auto"/>
              <w:right w:val="nil"/>
            </w:tcBorders>
            <w:shd w:val="clear" w:color="000000" w:fill="000000"/>
            <w:vAlign w:val="center"/>
            <w:hideMark/>
          </w:tcPr>
          <w:p w14:paraId="7874428A" w14:textId="77777777" w:rsidR="00665F5E" w:rsidRPr="00665F5E" w:rsidRDefault="00665F5E" w:rsidP="00665F5E">
            <w:pPr>
              <w:jc w:val="center"/>
              <w:rPr>
                <w:rFonts w:cs="Arial"/>
                <w:b/>
                <w:bCs/>
                <w:color w:val="FFFFFF"/>
                <w:sz w:val="18"/>
                <w:szCs w:val="18"/>
                <w:lang w:eastAsia="en-GB"/>
              </w:rPr>
            </w:pPr>
            <w:r w:rsidRPr="00665F5E">
              <w:rPr>
                <w:rFonts w:cs="Arial"/>
                <w:b/>
                <w:bCs/>
                <w:color w:val="FFFFFF"/>
                <w:sz w:val="18"/>
                <w:szCs w:val="18"/>
                <w:lang w:eastAsia="en-GB"/>
              </w:rPr>
              <w:t>Unusable Reserves</w:t>
            </w:r>
          </w:p>
        </w:tc>
        <w:tc>
          <w:tcPr>
            <w:tcW w:w="1017" w:type="dxa"/>
            <w:tcBorders>
              <w:top w:val="single" w:sz="8" w:space="0" w:color="auto"/>
              <w:left w:val="single" w:sz="4" w:space="0" w:color="auto"/>
              <w:bottom w:val="single" w:sz="8" w:space="0" w:color="auto"/>
              <w:right w:val="single" w:sz="8" w:space="0" w:color="auto"/>
            </w:tcBorders>
            <w:shd w:val="clear" w:color="000000" w:fill="000000"/>
            <w:vAlign w:val="center"/>
            <w:hideMark/>
          </w:tcPr>
          <w:p w14:paraId="1F29A784" w14:textId="77777777" w:rsidR="00665F5E" w:rsidRPr="00665F5E" w:rsidRDefault="00665F5E" w:rsidP="00665F5E">
            <w:pPr>
              <w:jc w:val="center"/>
              <w:rPr>
                <w:rFonts w:cs="Arial"/>
                <w:b/>
                <w:bCs/>
                <w:color w:val="FFFFFF"/>
                <w:sz w:val="18"/>
                <w:szCs w:val="18"/>
                <w:lang w:eastAsia="en-GB"/>
              </w:rPr>
            </w:pPr>
            <w:r w:rsidRPr="00665F5E">
              <w:rPr>
                <w:rFonts w:cs="Arial"/>
                <w:b/>
                <w:bCs/>
                <w:color w:val="FFFFFF"/>
                <w:sz w:val="18"/>
                <w:szCs w:val="18"/>
                <w:lang w:eastAsia="en-GB"/>
              </w:rPr>
              <w:t>Total Authority Reserves</w:t>
            </w:r>
          </w:p>
        </w:tc>
      </w:tr>
      <w:tr w:rsidR="00665F5E" w:rsidRPr="00665F5E" w14:paraId="16FC4C7A" w14:textId="77777777" w:rsidTr="00665F5E">
        <w:trPr>
          <w:trHeight w:val="300"/>
        </w:trPr>
        <w:tc>
          <w:tcPr>
            <w:tcW w:w="3676" w:type="dxa"/>
            <w:tcBorders>
              <w:top w:val="nil"/>
              <w:left w:val="single" w:sz="8" w:space="0" w:color="auto"/>
              <w:bottom w:val="single" w:sz="8" w:space="0" w:color="auto"/>
              <w:right w:val="nil"/>
            </w:tcBorders>
            <w:shd w:val="clear" w:color="000000" w:fill="000000"/>
            <w:noWrap/>
            <w:vAlign w:val="center"/>
            <w:hideMark/>
          </w:tcPr>
          <w:p w14:paraId="19AF55B0" w14:textId="77777777" w:rsidR="00665F5E" w:rsidRPr="00665F5E" w:rsidRDefault="00665F5E" w:rsidP="00665F5E">
            <w:pPr>
              <w:rPr>
                <w:rFonts w:cs="Arial"/>
                <w:color w:val="000000"/>
                <w:sz w:val="22"/>
                <w:szCs w:val="22"/>
                <w:lang w:eastAsia="en-GB"/>
              </w:rPr>
            </w:pPr>
            <w:r w:rsidRPr="00665F5E">
              <w:rPr>
                <w:rFonts w:cs="Arial"/>
                <w:color w:val="000000"/>
                <w:sz w:val="22"/>
                <w:szCs w:val="22"/>
                <w:lang w:eastAsia="en-GB"/>
              </w:rPr>
              <w:t> </w:t>
            </w:r>
          </w:p>
        </w:tc>
        <w:tc>
          <w:tcPr>
            <w:tcW w:w="435" w:type="dxa"/>
            <w:vMerge/>
            <w:tcBorders>
              <w:top w:val="single" w:sz="8" w:space="0" w:color="auto"/>
              <w:left w:val="nil"/>
              <w:bottom w:val="single" w:sz="8" w:space="0" w:color="000000"/>
              <w:right w:val="single" w:sz="8" w:space="0" w:color="auto"/>
            </w:tcBorders>
            <w:vAlign w:val="center"/>
            <w:hideMark/>
          </w:tcPr>
          <w:p w14:paraId="7676F635" w14:textId="77777777" w:rsidR="00665F5E" w:rsidRPr="00665F5E" w:rsidRDefault="00665F5E" w:rsidP="00665F5E">
            <w:pPr>
              <w:rPr>
                <w:rFonts w:cs="Arial"/>
                <w:b/>
                <w:bCs/>
                <w:color w:val="FFFFFF"/>
                <w:sz w:val="18"/>
                <w:szCs w:val="18"/>
                <w:lang w:eastAsia="en-GB"/>
              </w:rPr>
            </w:pPr>
          </w:p>
        </w:tc>
        <w:tc>
          <w:tcPr>
            <w:tcW w:w="917" w:type="dxa"/>
            <w:tcBorders>
              <w:top w:val="nil"/>
              <w:left w:val="nil"/>
              <w:bottom w:val="single" w:sz="8" w:space="0" w:color="auto"/>
              <w:right w:val="single" w:sz="8" w:space="0" w:color="auto"/>
            </w:tcBorders>
            <w:shd w:val="clear" w:color="000000" w:fill="000000"/>
            <w:noWrap/>
            <w:vAlign w:val="center"/>
            <w:hideMark/>
          </w:tcPr>
          <w:p w14:paraId="4CD05513" w14:textId="77777777" w:rsidR="00665F5E" w:rsidRPr="00665F5E" w:rsidRDefault="00665F5E" w:rsidP="00665F5E">
            <w:pPr>
              <w:jc w:val="center"/>
              <w:rPr>
                <w:rFonts w:cs="Arial"/>
                <w:b/>
                <w:bCs/>
                <w:color w:val="FFFFFF"/>
                <w:sz w:val="18"/>
                <w:szCs w:val="18"/>
                <w:lang w:eastAsia="en-GB"/>
              </w:rPr>
            </w:pPr>
            <w:r w:rsidRPr="00665F5E">
              <w:rPr>
                <w:rFonts w:cs="Arial"/>
                <w:b/>
                <w:bCs/>
                <w:color w:val="FFFFFF"/>
                <w:sz w:val="18"/>
                <w:szCs w:val="18"/>
                <w:lang w:eastAsia="en-GB"/>
              </w:rPr>
              <w:t>£000</w:t>
            </w:r>
          </w:p>
        </w:tc>
        <w:tc>
          <w:tcPr>
            <w:tcW w:w="916" w:type="dxa"/>
            <w:tcBorders>
              <w:top w:val="nil"/>
              <w:left w:val="nil"/>
              <w:bottom w:val="single" w:sz="8" w:space="0" w:color="auto"/>
              <w:right w:val="single" w:sz="8" w:space="0" w:color="auto"/>
            </w:tcBorders>
            <w:shd w:val="clear" w:color="000000" w:fill="000000"/>
            <w:noWrap/>
            <w:vAlign w:val="center"/>
            <w:hideMark/>
          </w:tcPr>
          <w:p w14:paraId="6F5CA3A0" w14:textId="77777777" w:rsidR="00665F5E" w:rsidRPr="00665F5E" w:rsidRDefault="00665F5E" w:rsidP="00665F5E">
            <w:pPr>
              <w:jc w:val="center"/>
              <w:rPr>
                <w:rFonts w:cs="Arial"/>
                <w:b/>
                <w:bCs/>
                <w:color w:val="FFFFFF"/>
                <w:sz w:val="18"/>
                <w:szCs w:val="18"/>
                <w:lang w:eastAsia="en-GB"/>
              </w:rPr>
            </w:pPr>
            <w:r w:rsidRPr="00665F5E">
              <w:rPr>
                <w:rFonts w:cs="Arial"/>
                <w:b/>
                <w:bCs/>
                <w:color w:val="FFFFFF"/>
                <w:sz w:val="18"/>
                <w:szCs w:val="18"/>
                <w:lang w:eastAsia="en-GB"/>
              </w:rPr>
              <w:t>£000</w:t>
            </w:r>
          </w:p>
        </w:tc>
        <w:tc>
          <w:tcPr>
            <w:tcW w:w="1087" w:type="dxa"/>
            <w:tcBorders>
              <w:top w:val="nil"/>
              <w:left w:val="nil"/>
              <w:bottom w:val="single" w:sz="8" w:space="0" w:color="auto"/>
              <w:right w:val="single" w:sz="8" w:space="0" w:color="auto"/>
            </w:tcBorders>
            <w:shd w:val="clear" w:color="000000" w:fill="000000"/>
            <w:noWrap/>
            <w:vAlign w:val="center"/>
            <w:hideMark/>
          </w:tcPr>
          <w:p w14:paraId="4FFE1647" w14:textId="77777777" w:rsidR="00665F5E" w:rsidRPr="00665F5E" w:rsidRDefault="00665F5E" w:rsidP="00665F5E">
            <w:pPr>
              <w:jc w:val="center"/>
              <w:rPr>
                <w:rFonts w:cs="Arial"/>
                <w:b/>
                <w:bCs/>
                <w:color w:val="FFFFFF"/>
                <w:sz w:val="18"/>
                <w:szCs w:val="18"/>
                <w:lang w:eastAsia="en-GB"/>
              </w:rPr>
            </w:pPr>
            <w:r w:rsidRPr="00665F5E">
              <w:rPr>
                <w:rFonts w:cs="Arial"/>
                <w:b/>
                <w:bCs/>
                <w:color w:val="FFFFFF"/>
                <w:sz w:val="18"/>
                <w:szCs w:val="18"/>
                <w:lang w:eastAsia="en-GB"/>
              </w:rPr>
              <w:t>£000</w:t>
            </w:r>
          </w:p>
        </w:tc>
        <w:tc>
          <w:tcPr>
            <w:tcW w:w="1017" w:type="dxa"/>
            <w:tcBorders>
              <w:top w:val="nil"/>
              <w:left w:val="nil"/>
              <w:bottom w:val="single" w:sz="8" w:space="0" w:color="auto"/>
              <w:right w:val="single" w:sz="8" w:space="0" w:color="auto"/>
            </w:tcBorders>
            <w:shd w:val="clear" w:color="000000" w:fill="000000"/>
            <w:noWrap/>
            <w:vAlign w:val="center"/>
            <w:hideMark/>
          </w:tcPr>
          <w:p w14:paraId="61A98406" w14:textId="77777777" w:rsidR="00665F5E" w:rsidRPr="00665F5E" w:rsidRDefault="00665F5E" w:rsidP="00665F5E">
            <w:pPr>
              <w:jc w:val="center"/>
              <w:rPr>
                <w:rFonts w:cs="Arial"/>
                <w:b/>
                <w:bCs/>
                <w:color w:val="FFFFFF"/>
                <w:sz w:val="18"/>
                <w:szCs w:val="18"/>
                <w:lang w:eastAsia="en-GB"/>
              </w:rPr>
            </w:pPr>
            <w:r w:rsidRPr="00665F5E">
              <w:rPr>
                <w:rFonts w:cs="Arial"/>
                <w:b/>
                <w:bCs/>
                <w:color w:val="FFFFFF"/>
                <w:sz w:val="18"/>
                <w:szCs w:val="18"/>
                <w:lang w:eastAsia="en-GB"/>
              </w:rPr>
              <w:t>£000</w:t>
            </w:r>
          </w:p>
        </w:tc>
        <w:tc>
          <w:tcPr>
            <w:tcW w:w="1027" w:type="dxa"/>
            <w:tcBorders>
              <w:top w:val="nil"/>
              <w:left w:val="nil"/>
              <w:bottom w:val="single" w:sz="8" w:space="0" w:color="auto"/>
              <w:right w:val="single" w:sz="8" w:space="0" w:color="auto"/>
            </w:tcBorders>
            <w:shd w:val="clear" w:color="000000" w:fill="000000"/>
            <w:noWrap/>
            <w:vAlign w:val="center"/>
            <w:hideMark/>
          </w:tcPr>
          <w:p w14:paraId="3F3AB90A" w14:textId="77777777" w:rsidR="00665F5E" w:rsidRPr="00665F5E" w:rsidRDefault="00665F5E" w:rsidP="00665F5E">
            <w:pPr>
              <w:jc w:val="center"/>
              <w:rPr>
                <w:rFonts w:cs="Arial"/>
                <w:b/>
                <w:bCs/>
                <w:color w:val="FFFFFF"/>
                <w:sz w:val="18"/>
                <w:szCs w:val="18"/>
                <w:lang w:eastAsia="en-GB"/>
              </w:rPr>
            </w:pPr>
            <w:r w:rsidRPr="00665F5E">
              <w:rPr>
                <w:rFonts w:cs="Arial"/>
                <w:b/>
                <w:bCs/>
                <w:color w:val="FFFFFF"/>
                <w:sz w:val="18"/>
                <w:szCs w:val="18"/>
                <w:lang w:eastAsia="en-GB"/>
              </w:rPr>
              <w:t>£000</w:t>
            </w:r>
          </w:p>
        </w:tc>
        <w:tc>
          <w:tcPr>
            <w:tcW w:w="1017" w:type="dxa"/>
            <w:tcBorders>
              <w:top w:val="nil"/>
              <w:left w:val="nil"/>
              <w:bottom w:val="single" w:sz="8" w:space="0" w:color="auto"/>
              <w:right w:val="single" w:sz="8" w:space="0" w:color="auto"/>
            </w:tcBorders>
            <w:shd w:val="clear" w:color="000000" w:fill="000000"/>
            <w:noWrap/>
            <w:vAlign w:val="center"/>
            <w:hideMark/>
          </w:tcPr>
          <w:p w14:paraId="4AD98CD3" w14:textId="77777777" w:rsidR="00665F5E" w:rsidRPr="00665F5E" w:rsidRDefault="00665F5E" w:rsidP="00665F5E">
            <w:pPr>
              <w:jc w:val="center"/>
              <w:rPr>
                <w:rFonts w:cs="Arial"/>
                <w:b/>
                <w:bCs/>
                <w:color w:val="FFFFFF"/>
                <w:sz w:val="18"/>
                <w:szCs w:val="18"/>
                <w:lang w:eastAsia="en-GB"/>
              </w:rPr>
            </w:pPr>
            <w:r w:rsidRPr="00665F5E">
              <w:rPr>
                <w:rFonts w:cs="Arial"/>
                <w:b/>
                <w:bCs/>
                <w:color w:val="FFFFFF"/>
                <w:sz w:val="18"/>
                <w:szCs w:val="18"/>
                <w:lang w:eastAsia="en-GB"/>
              </w:rPr>
              <w:t>£000</w:t>
            </w:r>
          </w:p>
        </w:tc>
      </w:tr>
      <w:tr w:rsidR="00665F5E" w:rsidRPr="00665F5E" w14:paraId="4A89EF54" w14:textId="77777777" w:rsidTr="00665F5E">
        <w:trPr>
          <w:trHeight w:val="300"/>
        </w:trPr>
        <w:tc>
          <w:tcPr>
            <w:tcW w:w="3676" w:type="dxa"/>
            <w:tcBorders>
              <w:top w:val="nil"/>
              <w:left w:val="single" w:sz="8" w:space="0" w:color="auto"/>
              <w:bottom w:val="single" w:sz="8" w:space="0" w:color="auto"/>
              <w:right w:val="single" w:sz="8" w:space="0" w:color="auto"/>
            </w:tcBorders>
            <w:shd w:val="clear" w:color="000000" w:fill="FFFFFF"/>
            <w:vAlign w:val="center"/>
            <w:hideMark/>
          </w:tcPr>
          <w:p w14:paraId="680EA548" w14:textId="77777777" w:rsidR="00665F5E" w:rsidRPr="00665F5E" w:rsidRDefault="00665F5E" w:rsidP="00665F5E">
            <w:pPr>
              <w:rPr>
                <w:rFonts w:cs="Arial"/>
                <w:b/>
                <w:bCs/>
                <w:color w:val="000000"/>
                <w:sz w:val="20"/>
                <w:szCs w:val="20"/>
                <w:lang w:eastAsia="en-GB"/>
              </w:rPr>
            </w:pPr>
            <w:r w:rsidRPr="00665F5E">
              <w:rPr>
                <w:rFonts w:cs="Arial"/>
                <w:b/>
                <w:bCs/>
                <w:color w:val="000000"/>
                <w:sz w:val="20"/>
                <w:szCs w:val="20"/>
                <w:lang w:eastAsia="en-GB"/>
              </w:rPr>
              <w:t xml:space="preserve">Balance at 31 March 2023   </w:t>
            </w:r>
          </w:p>
        </w:tc>
        <w:tc>
          <w:tcPr>
            <w:tcW w:w="435" w:type="dxa"/>
            <w:tcBorders>
              <w:top w:val="nil"/>
              <w:left w:val="nil"/>
              <w:bottom w:val="single" w:sz="8" w:space="0" w:color="auto"/>
              <w:right w:val="nil"/>
            </w:tcBorders>
            <w:shd w:val="clear" w:color="000000" w:fill="FFFFFF"/>
            <w:noWrap/>
            <w:vAlign w:val="center"/>
            <w:hideMark/>
          </w:tcPr>
          <w:p w14:paraId="14E7A781" w14:textId="77777777" w:rsidR="00665F5E" w:rsidRPr="00665F5E" w:rsidRDefault="00665F5E" w:rsidP="00665F5E">
            <w:pPr>
              <w:jc w:val="center"/>
              <w:rPr>
                <w:rFonts w:cs="Arial"/>
                <w:b/>
                <w:bCs/>
                <w:color w:val="000000"/>
                <w:sz w:val="20"/>
                <w:szCs w:val="20"/>
                <w:lang w:eastAsia="en-GB"/>
              </w:rPr>
            </w:pPr>
            <w:r w:rsidRPr="00665F5E">
              <w:rPr>
                <w:rFonts w:cs="Arial"/>
                <w:b/>
                <w:bCs/>
                <w:color w:val="000000"/>
                <w:sz w:val="20"/>
                <w:szCs w:val="20"/>
                <w:lang w:eastAsia="en-GB"/>
              </w:rPr>
              <w:t> </w:t>
            </w:r>
          </w:p>
        </w:tc>
        <w:tc>
          <w:tcPr>
            <w:tcW w:w="917" w:type="dxa"/>
            <w:tcBorders>
              <w:top w:val="nil"/>
              <w:left w:val="single" w:sz="8" w:space="0" w:color="auto"/>
              <w:bottom w:val="single" w:sz="8" w:space="0" w:color="auto"/>
              <w:right w:val="single" w:sz="8" w:space="0" w:color="auto"/>
            </w:tcBorders>
            <w:shd w:val="clear" w:color="000000" w:fill="FFFFFF"/>
            <w:noWrap/>
            <w:vAlign w:val="center"/>
            <w:hideMark/>
          </w:tcPr>
          <w:p w14:paraId="1611CC5E" w14:textId="77777777" w:rsidR="00665F5E" w:rsidRPr="00665F5E" w:rsidRDefault="00665F5E" w:rsidP="00665F5E">
            <w:pPr>
              <w:jc w:val="right"/>
              <w:rPr>
                <w:rFonts w:cs="Arial"/>
                <w:b/>
                <w:bCs/>
                <w:color w:val="000000"/>
                <w:sz w:val="20"/>
                <w:szCs w:val="20"/>
                <w:lang w:eastAsia="en-GB"/>
              </w:rPr>
            </w:pPr>
            <w:r w:rsidRPr="00665F5E">
              <w:rPr>
                <w:rFonts w:cs="Arial"/>
                <w:b/>
                <w:bCs/>
                <w:color w:val="000000"/>
                <w:sz w:val="20"/>
                <w:szCs w:val="20"/>
                <w:lang w:eastAsia="en-GB"/>
              </w:rPr>
              <w:t>3,411</w:t>
            </w:r>
          </w:p>
        </w:tc>
        <w:tc>
          <w:tcPr>
            <w:tcW w:w="916" w:type="dxa"/>
            <w:tcBorders>
              <w:top w:val="nil"/>
              <w:left w:val="nil"/>
              <w:bottom w:val="single" w:sz="8" w:space="0" w:color="auto"/>
              <w:right w:val="nil"/>
            </w:tcBorders>
            <w:shd w:val="clear" w:color="000000" w:fill="FFFFFF"/>
            <w:noWrap/>
            <w:vAlign w:val="center"/>
            <w:hideMark/>
          </w:tcPr>
          <w:p w14:paraId="43D9F715" w14:textId="77777777" w:rsidR="00665F5E" w:rsidRPr="00665F5E" w:rsidRDefault="00665F5E" w:rsidP="00665F5E">
            <w:pPr>
              <w:jc w:val="right"/>
              <w:rPr>
                <w:rFonts w:cs="Arial"/>
                <w:b/>
                <w:bCs/>
                <w:color w:val="000000"/>
                <w:sz w:val="20"/>
                <w:szCs w:val="20"/>
                <w:lang w:eastAsia="en-GB"/>
              </w:rPr>
            </w:pPr>
            <w:r w:rsidRPr="00665F5E">
              <w:rPr>
                <w:rFonts w:cs="Arial"/>
                <w:b/>
                <w:bCs/>
                <w:color w:val="000000"/>
                <w:sz w:val="20"/>
                <w:szCs w:val="20"/>
                <w:lang w:eastAsia="en-GB"/>
              </w:rPr>
              <w:t>1,275</w:t>
            </w:r>
          </w:p>
        </w:tc>
        <w:tc>
          <w:tcPr>
            <w:tcW w:w="1087" w:type="dxa"/>
            <w:tcBorders>
              <w:top w:val="nil"/>
              <w:left w:val="single" w:sz="8" w:space="0" w:color="auto"/>
              <w:bottom w:val="single" w:sz="8" w:space="0" w:color="auto"/>
              <w:right w:val="single" w:sz="8" w:space="0" w:color="auto"/>
            </w:tcBorders>
            <w:shd w:val="clear" w:color="000000" w:fill="FFFFFF"/>
            <w:noWrap/>
            <w:vAlign w:val="center"/>
            <w:hideMark/>
          </w:tcPr>
          <w:p w14:paraId="1BE8BEAB" w14:textId="77777777" w:rsidR="00665F5E" w:rsidRPr="00665F5E" w:rsidRDefault="00665F5E" w:rsidP="00665F5E">
            <w:pPr>
              <w:jc w:val="right"/>
              <w:rPr>
                <w:rFonts w:cs="Arial"/>
                <w:b/>
                <w:bCs/>
                <w:color w:val="000000"/>
                <w:sz w:val="20"/>
                <w:szCs w:val="20"/>
                <w:lang w:eastAsia="en-GB"/>
              </w:rPr>
            </w:pPr>
            <w:r w:rsidRPr="00665F5E">
              <w:rPr>
                <w:rFonts w:cs="Arial"/>
                <w:b/>
                <w:bCs/>
                <w:color w:val="000000"/>
                <w:sz w:val="20"/>
                <w:szCs w:val="20"/>
                <w:lang w:eastAsia="en-GB"/>
              </w:rPr>
              <w:t>255</w:t>
            </w:r>
          </w:p>
        </w:tc>
        <w:tc>
          <w:tcPr>
            <w:tcW w:w="1017" w:type="dxa"/>
            <w:tcBorders>
              <w:top w:val="nil"/>
              <w:left w:val="nil"/>
              <w:bottom w:val="single" w:sz="8" w:space="0" w:color="auto"/>
              <w:right w:val="nil"/>
            </w:tcBorders>
            <w:shd w:val="clear" w:color="000000" w:fill="FFFFFF"/>
            <w:noWrap/>
            <w:vAlign w:val="center"/>
            <w:hideMark/>
          </w:tcPr>
          <w:p w14:paraId="4AE75806" w14:textId="77777777" w:rsidR="00665F5E" w:rsidRPr="00665F5E" w:rsidRDefault="00665F5E" w:rsidP="00665F5E">
            <w:pPr>
              <w:jc w:val="right"/>
              <w:rPr>
                <w:rFonts w:cs="Arial"/>
                <w:b/>
                <w:bCs/>
                <w:color w:val="000000"/>
                <w:sz w:val="20"/>
                <w:szCs w:val="20"/>
                <w:lang w:eastAsia="en-GB"/>
              </w:rPr>
            </w:pPr>
            <w:r w:rsidRPr="00665F5E">
              <w:rPr>
                <w:rFonts w:cs="Arial"/>
                <w:b/>
                <w:bCs/>
                <w:color w:val="000000"/>
                <w:sz w:val="20"/>
                <w:szCs w:val="20"/>
                <w:lang w:eastAsia="en-GB"/>
              </w:rPr>
              <w:t>4,941</w:t>
            </w:r>
          </w:p>
        </w:tc>
        <w:tc>
          <w:tcPr>
            <w:tcW w:w="1027" w:type="dxa"/>
            <w:tcBorders>
              <w:top w:val="nil"/>
              <w:left w:val="single" w:sz="8" w:space="0" w:color="auto"/>
              <w:bottom w:val="single" w:sz="8" w:space="0" w:color="auto"/>
              <w:right w:val="single" w:sz="8" w:space="0" w:color="auto"/>
            </w:tcBorders>
            <w:shd w:val="clear" w:color="000000" w:fill="FFFFFF"/>
            <w:noWrap/>
            <w:vAlign w:val="center"/>
            <w:hideMark/>
          </w:tcPr>
          <w:p w14:paraId="2828B6F9" w14:textId="77777777" w:rsidR="00665F5E" w:rsidRPr="00665F5E" w:rsidRDefault="00665F5E" w:rsidP="00665F5E">
            <w:pPr>
              <w:jc w:val="right"/>
              <w:rPr>
                <w:rFonts w:cs="Arial"/>
                <w:b/>
                <w:bCs/>
                <w:color w:val="000000"/>
                <w:sz w:val="20"/>
                <w:szCs w:val="20"/>
                <w:lang w:eastAsia="en-GB"/>
              </w:rPr>
            </w:pPr>
            <w:r w:rsidRPr="00665F5E">
              <w:rPr>
                <w:rFonts w:cs="Arial"/>
                <w:b/>
                <w:bCs/>
                <w:color w:val="000000"/>
                <w:sz w:val="20"/>
                <w:szCs w:val="20"/>
                <w:lang w:eastAsia="en-GB"/>
              </w:rPr>
              <w:t>34,219</w:t>
            </w:r>
          </w:p>
        </w:tc>
        <w:tc>
          <w:tcPr>
            <w:tcW w:w="1017" w:type="dxa"/>
            <w:tcBorders>
              <w:top w:val="nil"/>
              <w:left w:val="nil"/>
              <w:bottom w:val="single" w:sz="8" w:space="0" w:color="auto"/>
              <w:right w:val="single" w:sz="8" w:space="0" w:color="auto"/>
            </w:tcBorders>
            <w:shd w:val="clear" w:color="000000" w:fill="FFFFFF"/>
            <w:noWrap/>
            <w:vAlign w:val="center"/>
            <w:hideMark/>
          </w:tcPr>
          <w:p w14:paraId="3D002B4D" w14:textId="77777777" w:rsidR="00665F5E" w:rsidRPr="00665F5E" w:rsidRDefault="00665F5E" w:rsidP="00665F5E">
            <w:pPr>
              <w:jc w:val="right"/>
              <w:rPr>
                <w:rFonts w:cs="Arial"/>
                <w:b/>
                <w:bCs/>
                <w:color w:val="000000"/>
                <w:sz w:val="20"/>
                <w:szCs w:val="20"/>
                <w:lang w:eastAsia="en-GB"/>
              </w:rPr>
            </w:pPr>
            <w:r w:rsidRPr="00665F5E">
              <w:rPr>
                <w:rFonts w:cs="Arial"/>
                <w:b/>
                <w:bCs/>
                <w:color w:val="000000"/>
                <w:sz w:val="20"/>
                <w:szCs w:val="20"/>
                <w:lang w:eastAsia="en-GB"/>
              </w:rPr>
              <w:t>39,160</w:t>
            </w:r>
          </w:p>
        </w:tc>
      </w:tr>
      <w:tr w:rsidR="00665F5E" w:rsidRPr="00665F5E" w14:paraId="24E188A2" w14:textId="77777777" w:rsidTr="00665F5E">
        <w:trPr>
          <w:trHeight w:val="290"/>
        </w:trPr>
        <w:tc>
          <w:tcPr>
            <w:tcW w:w="3676" w:type="dxa"/>
            <w:tcBorders>
              <w:top w:val="nil"/>
              <w:left w:val="single" w:sz="8" w:space="0" w:color="auto"/>
              <w:bottom w:val="nil"/>
              <w:right w:val="single" w:sz="8" w:space="0" w:color="auto"/>
            </w:tcBorders>
            <w:shd w:val="clear" w:color="auto" w:fill="auto"/>
            <w:noWrap/>
            <w:vAlign w:val="center"/>
            <w:hideMark/>
          </w:tcPr>
          <w:p w14:paraId="28AF58DC" w14:textId="1C0E492F" w:rsidR="00665F5E" w:rsidRPr="00665F5E" w:rsidRDefault="00665F5E" w:rsidP="00665F5E">
            <w:pPr>
              <w:rPr>
                <w:rFonts w:cs="Arial"/>
                <w:color w:val="000000"/>
                <w:sz w:val="20"/>
                <w:szCs w:val="20"/>
                <w:lang w:eastAsia="en-GB"/>
              </w:rPr>
            </w:pPr>
            <w:r w:rsidRPr="00665F5E">
              <w:rPr>
                <w:rFonts w:cs="Arial"/>
                <w:color w:val="000000"/>
                <w:sz w:val="20"/>
                <w:szCs w:val="20"/>
                <w:lang w:eastAsia="en-GB"/>
              </w:rPr>
              <w:t>Movement in reserves during 202</w:t>
            </w:r>
            <w:r w:rsidR="00C329A3">
              <w:rPr>
                <w:rFonts w:cs="Arial"/>
                <w:color w:val="000000"/>
                <w:sz w:val="20"/>
                <w:szCs w:val="20"/>
                <w:lang w:eastAsia="en-GB"/>
              </w:rPr>
              <w:t>3</w:t>
            </w:r>
            <w:r w:rsidRPr="00665F5E">
              <w:rPr>
                <w:rFonts w:cs="Arial"/>
                <w:color w:val="000000"/>
                <w:sz w:val="20"/>
                <w:szCs w:val="20"/>
                <w:lang w:eastAsia="en-GB"/>
              </w:rPr>
              <w:t>/2</w:t>
            </w:r>
            <w:r w:rsidR="00C329A3">
              <w:rPr>
                <w:rFonts w:cs="Arial"/>
                <w:color w:val="000000"/>
                <w:sz w:val="20"/>
                <w:szCs w:val="20"/>
                <w:lang w:eastAsia="en-GB"/>
              </w:rPr>
              <w:t>4</w:t>
            </w:r>
          </w:p>
        </w:tc>
        <w:tc>
          <w:tcPr>
            <w:tcW w:w="435" w:type="dxa"/>
            <w:tcBorders>
              <w:top w:val="nil"/>
              <w:left w:val="nil"/>
              <w:bottom w:val="nil"/>
              <w:right w:val="nil"/>
            </w:tcBorders>
            <w:shd w:val="clear" w:color="auto" w:fill="auto"/>
            <w:noWrap/>
            <w:vAlign w:val="center"/>
            <w:hideMark/>
          </w:tcPr>
          <w:p w14:paraId="69F0C69D" w14:textId="77777777" w:rsidR="00665F5E" w:rsidRPr="00665F5E" w:rsidRDefault="00665F5E" w:rsidP="00665F5E">
            <w:pPr>
              <w:rPr>
                <w:rFonts w:cs="Arial"/>
                <w:color w:val="000000"/>
                <w:sz w:val="20"/>
                <w:szCs w:val="20"/>
                <w:lang w:eastAsia="en-GB"/>
              </w:rPr>
            </w:pPr>
          </w:p>
        </w:tc>
        <w:tc>
          <w:tcPr>
            <w:tcW w:w="917" w:type="dxa"/>
            <w:tcBorders>
              <w:top w:val="nil"/>
              <w:left w:val="single" w:sz="8" w:space="0" w:color="auto"/>
              <w:bottom w:val="nil"/>
              <w:right w:val="single" w:sz="8" w:space="0" w:color="auto"/>
            </w:tcBorders>
            <w:shd w:val="clear" w:color="auto" w:fill="auto"/>
            <w:noWrap/>
            <w:vAlign w:val="center"/>
            <w:hideMark/>
          </w:tcPr>
          <w:p w14:paraId="550054F1" w14:textId="77777777" w:rsidR="00665F5E" w:rsidRPr="00665F5E" w:rsidRDefault="00665F5E" w:rsidP="00665F5E">
            <w:pPr>
              <w:rPr>
                <w:rFonts w:cs="Arial"/>
                <w:color w:val="000000"/>
                <w:sz w:val="20"/>
                <w:szCs w:val="20"/>
                <w:lang w:eastAsia="en-GB"/>
              </w:rPr>
            </w:pPr>
            <w:r w:rsidRPr="00665F5E">
              <w:rPr>
                <w:rFonts w:cs="Arial"/>
                <w:color w:val="000000"/>
                <w:sz w:val="20"/>
                <w:szCs w:val="20"/>
                <w:lang w:eastAsia="en-GB"/>
              </w:rPr>
              <w:t> </w:t>
            </w:r>
          </w:p>
        </w:tc>
        <w:tc>
          <w:tcPr>
            <w:tcW w:w="916" w:type="dxa"/>
            <w:tcBorders>
              <w:top w:val="nil"/>
              <w:left w:val="nil"/>
              <w:bottom w:val="nil"/>
              <w:right w:val="nil"/>
            </w:tcBorders>
            <w:shd w:val="clear" w:color="auto" w:fill="auto"/>
            <w:noWrap/>
            <w:vAlign w:val="center"/>
            <w:hideMark/>
          </w:tcPr>
          <w:p w14:paraId="08C78E93" w14:textId="77777777" w:rsidR="00665F5E" w:rsidRPr="00665F5E" w:rsidRDefault="00665F5E" w:rsidP="00665F5E">
            <w:pPr>
              <w:rPr>
                <w:rFonts w:cs="Arial"/>
                <w:color w:val="000000"/>
                <w:sz w:val="20"/>
                <w:szCs w:val="20"/>
                <w:lang w:eastAsia="en-GB"/>
              </w:rPr>
            </w:pPr>
          </w:p>
        </w:tc>
        <w:tc>
          <w:tcPr>
            <w:tcW w:w="1087" w:type="dxa"/>
            <w:tcBorders>
              <w:top w:val="nil"/>
              <w:left w:val="single" w:sz="8" w:space="0" w:color="auto"/>
              <w:bottom w:val="nil"/>
              <w:right w:val="single" w:sz="8" w:space="0" w:color="auto"/>
            </w:tcBorders>
            <w:shd w:val="clear" w:color="auto" w:fill="auto"/>
            <w:noWrap/>
            <w:vAlign w:val="center"/>
            <w:hideMark/>
          </w:tcPr>
          <w:p w14:paraId="6AB55BE4" w14:textId="77777777" w:rsidR="00665F5E" w:rsidRPr="00665F5E" w:rsidRDefault="00665F5E" w:rsidP="00665F5E">
            <w:pPr>
              <w:rPr>
                <w:rFonts w:cs="Arial"/>
                <w:color w:val="000000"/>
                <w:sz w:val="20"/>
                <w:szCs w:val="20"/>
                <w:lang w:eastAsia="en-GB"/>
              </w:rPr>
            </w:pPr>
            <w:r w:rsidRPr="00665F5E">
              <w:rPr>
                <w:rFonts w:cs="Arial"/>
                <w:color w:val="000000"/>
                <w:sz w:val="20"/>
                <w:szCs w:val="20"/>
                <w:lang w:eastAsia="en-GB"/>
              </w:rPr>
              <w:t> </w:t>
            </w:r>
          </w:p>
        </w:tc>
        <w:tc>
          <w:tcPr>
            <w:tcW w:w="1017" w:type="dxa"/>
            <w:tcBorders>
              <w:top w:val="nil"/>
              <w:left w:val="nil"/>
              <w:bottom w:val="nil"/>
              <w:right w:val="nil"/>
            </w:tcBorders>
            <w:shd w:val="clear" w:color="auto" w:fill="auto"/>
            <w:noWrap/>
            <w:vAlign w:val="center"/>
            <w:hideMark/>
          </w:tcPr>
          <w:p w14:paraId="4A932666" w14:textId="77777777" w:rsidR="00665F5E" w:rsidRPr="00665F5E" w:rsidRDefault="00665F5E" w:rsidP="00665F5E">
            <w:pPr>
              <w:rPr>
                <w:rFonts w:cs="Arial"/>
                <w:color w:val="000000"/>
                <w:sz w:val="20"/>
                <w:szCs w:val="20"/>
                <w:lang w:eastAsia="en-GB"/>
              </w:rPr>
            </w:pPr>
          </w:p>
        </w:tc>
        <w:tc>
          <w:tcPr>
            <w:tcW w:w="1027" w:type="dxa"/>
            <w:tcBorders>
              <w:top w:val="nil"/>
              <w:left w:val="single" w:sz="8" w:space="0" w:color="auto"/>
              <w:bottom w:val="nil"/>
              <w:right w:val="single" w:sz="8" w:space="0" w:color="auto"/>
            </w:tcBorders>
            <w:shd w:val="clear" w:color="auto" w:fill="auto"/>
            <w:noWrap/>
            <w:vAlign w:val="center"/>
            <w:hideMark/>
          </w:tcPr>
          <w:p w14:paraId="0A34F877" w14:textId="77777777" w:rsidR="00665F5E" w:rsidRPr="00665F5E" w:rsidRDefault="00665F5E" w:rsidP="00665F5E">
            <w:pPr>
              <w:rPr>
                <w:rFonts w:cs="Arial"/>
                <w:color w:val="000000"/>
                <w:sz w:val="20"/>
                <w:szCs w:val="20"/>
                <w:lang w:eastAsia="en-GB"/>
              </w:rPr>
            </w:pPr>
            <w:r w:rsidRPr="00665F5E">
              <w:rPr>
                <w:rFonts w:cs="Arial"/>
                <w:color w:val="000000"/>
                <w:sz w:val="20"/>
                <w:szCs w:val="20"/>
                <w:lang w:eastAsia="en-GB"/>
              </w:rPr>
              <w:t> </w:t>
            </w:r>
          </w:p>
        </w:tc>
        <w:tc>
          <w:tcPr>
            <w:tcW w:w="1017" w:type="dxa"/>
            <w:tcBorders>
              <w:top w:val="nil"/>
              <w:left w:val="nil"/>
              <w:bottom w:val="nil"/>
              <w:right w:val="single" w:sz="8" w:space="0" w:color="auto"/>
            </w:tcBorders>
            <w:shd w:val="clear" w:color="auto" w:fill="auto"/>
            <w:noWrap/>
            <w:vAlign w:val="center"/>
            <w:hideMark/>
          </w:tcPr>
          <w:p w14:paraId="2D2CA5CE" w14:textId="77777777" w:rsidR="00665F5E" w:rsidRPr="00665F5E" w:rsidRDefault="00665F5E" w:rsidP="00665F5E">
            <w:pPr>
              <w:rPr>
                <w:rFonts w:cs="Arial"/>
                <w:b/>
                <w:bCs/>
                <w:color w:val="000000"/>
                <w:sz w:val="20"/>
                <w:szCs w:val="20"/>
                <w:lang w:eastAsia="en-GB"/>
              </w:rPr>
            </w:pPr>
            <w:r w:rsidRPr="00665F5E">
              <w:rPr>
                <w:rFonts w:cs="Arial"/>
                <w:b/>
                <w:bCs/>
                <w:color w:val="000000"/>
                <w:sz w:val="20"/>
                <w:szCs w:val="20"/>
                <w:lang w:eastAsia="en-GB"/>
              </w:rPr>
              <w:t> </w:t>
            </w:r>
          </w:p>
        </w:tc>
      </w:tr>
      <w:tr w:rsidR="00665F5E" w:rsidRPr="00665F5E" w14:paraId="7898A87D" w14:textId="77777777" w:rsidTr="00665F5E">
        <w:trPr>
          <w:trHeight w:val="290"/>
        </w:trPr>
        <w:tc>
          <w:tcPr>
            <w:tcW w:w="3676" w:type="dxa"/>
            <w:tcBorders>
              <w:top w:val="nil"/>
              <w:left w:val="single" w:sz="8" w:space="0" w:color="auto"/>
              <w:bottom w:val="nil"/>
              <w:right w:val="single" w:sz="8" w:space="0" w:color="auto"/>
            </w:tcBorders>
            <w:shd w:val="clear" w:color="auto" w:fill="auto"/>
            <w:noWrap/>
            <w:vAlign w:val="center"/>
            <w:hideMark/>
          </w:tcPr>
          <w:p w14:paraId="7B437C8D" w14:textId="77777777" w:rsidR="00665F5E" w:rsidRPr="00665F5E" w:rsidRDefault="00665F5E" w:rsidP="00665F5E">
            <w:pPr>
              <w:rPr>
                <w:rFonts w:cs="Arial"/>
                <w:color w:val="000000"/>
                <w:sz w:val="20"/>
                <w:szCs w:val="20"/>
                <w:lang w:eastAsia="en-GB"/>
              </w:rPr>
            </w:pPr>
            <w:r w:rsidRPr="00665F5E">
              <w:rPr>
                <w:rFonts w:cs="Arial"/>
                <w:color w:val="000000"/>
                <w:sz w:val="20"/>
                <w:szCs w:val="20"/>
                <w:lang w:eastAsia="en-GB"/>
              </w:rPr>
              <w:t>Total Comprehensive Income and Expenditure</w:t>
            </w:r>
          </w:p>
        </w:tc>
        <w:tc>
          <w:tcPr>
            <w:tcW w:w="435" w:type="dxa"/>
            <w:tcBorders>
              <w:top w:val="nil"/>
              <w:left w:val="nil"/>
              <w:bottom w:val="nil"/>
              <w:right w:val="nil"/>
            </w:tcBorders>
            <w:shd w:val="clear" w:color="auto" w:fill="auto"/>
            <w:noWrap/>
            <w:vAlign w:val="center"/>
            <w:hideMark/>
          </w:tcPr>
          <w:p w14:paraId="670E14EC" w14:textId="77777777" w:rsidR="00665F5E" w:rsidRPr="00665F5E" w:rsidRDefault="00665F5E" w:rsidP="00665F5E">
            <w:pPr>
              <w:rPr>
                <w:rFonts w:cs="Arial"/>
                <w:color w:val="000000"/>
                <w:sz w:val="20"/>
                <w:szCs w:val="20"/>
                <w:lang w:eastAsia="en-GB"/>
              </w:rPr>
            </w:pPr>
          </w:p>
        </w:tc>
        <w:tc>
          <w:tcPr>
            <w:tcW w:w="917" w:type="dxa"/>
            <w:tcBorders>
              <w:top w:val="nil"/>
              <w:left w:val="single" w:sz="8" w:space="0" w:color="auto"/>
              <w:bottom w:val="nil"/>
              <w:right w:val="single" w:sz="8" w:space="0" w:color="auto"/>
            </w:tcBorders>
            <w:shd w:val="clear" w:color="auto" w:fill="auto"/>
            <w:noWrap/>
            <w:vAlign w:val="center"/>
            <w:hideMark/>
          </w:tcPr>
          <w:p w14:paraId="22458A90" w14:textId="63A2AA0F" w:rsidR="00665F5E" w:rsidRPr="00665F5E" w:rsidRDefault="00665F5E" w:rsidP="00665F5E">
            <w:pPr>
              <w:jc w:val="right"/>
              <w:rPr>
                <w:rFonts w:cs="Arial"/>
                <w:color w:val="000000"/>
                <w:sz w:val="20"/>
                <w:szCs w:val="20"/>
                <w:lang w:eastAsia="en-GB"/>
              </w:rPr>
            </w:pPr>
            <w:r w:rsidRPr="00665F5E">
              <w:rPr>
                <w:rFonts w:cs="Arial"/>
                <w:color w:val="000000"/>
                <w:sz w:val="20"/>
                <w:szCs w:val="20"/>
                <w:lang w:eastAsia="en-GB"/>
              </w:rPr>
              <w:t>-</w:t>
            </w:r>
            <w:r w:rsidR="00850A75">
              <w:rPr>
                <w:rFonts w:cs="Arial"/>
                <w:color w:val="000000"/>
                <w:sz w:val="20"/>
                <w:szCs w:val="20"/>
                <w:lang w:eastAsia="en-GB"/>
              </w:rPr>
              <w:t>8</w:t>
            </w:r>
            <w:r w:rsidR="00F5136C">
              <w:rPr>
                <w:rFonts w:cs="Arial"/>
                <w:color w:val="000000"/>
                <w:sz w:val="20"/>
                <w:szCs w:val="20"/>
                <w:lang w:eastAsia="en-GB"/>
              </w:rPr>
              <w:t>00</w:t>
            </w:r>
          </w:p>
        </w:tc>
        <w:tc>
          <w:tcPr>
            <w:tcW w:w="916" w:type="dxa"/>
            <w:tcBorders>
              <w:top w:val="nil"/>
              <w:left w:val="nil"/>
              <w:bottom w:val="nil"/>
              <w:right w:val="nil"/>
            </w:tcBorders>
            <w:shd w:val="clear" w:color="auto" w:fill="auto"/>
            <w:noWrap/>
            <w:vAlign w:val="center"/>
            <w:hideMark/>
          </w:tcPr>
          <w:p w14:paraId="60E16E35" w14:textId="77777777" w:rsidR="00665F5E" w:rsidRPr="00665F5E" w:rsidRDefault="00665F5E" w:rsidP="00665F5E">
            <w:pPr>
              <w:jc w:val="right"/>
              <w:rPr>
                <w:rFonts w:cs="Arial"/>
                <w:color w:val="000000"/>
                <w:sz w:val="20"/>
                <w:szCs w:val="20"/>
                <w:lang w:eastAsia="en-GB"/>
              </w:rPr>
            </w:pPr>
          </w:p>
        </w:tc>
        <w:tc>
          <w:tcPr>
            <w:tcW w:w="1087" w:type="dxa"/>
            <w:tcBorders>
              <w:top w:val="nil"/>
              <w:left w:val="single" w:sz="8" w:space="0" w:color="auto"/>
              <w:bottom w:val="nil"/>
              <w:right w:val="single" w:sz="8" w:space="0" w:color="auto"/>
            </w:tcBorders>
            <w:shd w:val="clear" w:color="auto" w:fill="auto"/>
            <w:noWrap/>
            <w:vAlign w:val="center"/>
            <w:hideMark/>
          </w:tcPr>
          <w:p w14:paraId="434DD46D" w14:textId="77777777" w:rsidR="00665F5E" w:rsidRPr="00665F5E" w:rsidRDefault="00665F5E" w:rsidP="00665F5E">
            <w:pPr>
              <w:rPr>
                <w:rFonts w:cs="Arial"/>
                <w:color w:val="000000"/>
                <w:sz w:val="20"/>
                <w:szCs w:val="20"/>
                <w:lang w:eastAsia="en-GB"/>
              </w:rPr>
            </w:pPr>
            <w:r w:rsidRPr="00665F5E">
              <w:rPr>
                <w:rFonts w:cs="Arial"/>
                <w:color w:val="000000"/>
                <w:sz w:val="20"/>
                <w:szCs w:val="20"/>
                <w:lang w:eastAsia="en-GB"/>
              </w:rPr>
              <w:t> </w:t>
            </w:r>
          </w:p>
        </w:tc>
        <w:tc>
          <w:tcPr>
            <w:tcW w:w="1017" w:type="dxa"/>
            <w:tcBorders>
              <w:top w:val="nil"/>
              <w:left w:val="nil"/>
              <w:bottom w:val="nil"/>
              <w:right w:val="nil"/>
            </w:tcBorders>
            <w:shd w:val="clear" w:color="000000" w:fill="FFFFFF"/>
            <w:noWrap/>
            <w:vAlign w:val="center"/>
            <w:hideMark/>
          </w:tcPr>
          <w:p w14:paraId="1BDB2607" w14:textId="6C217955" w:rsidR="00665F5E" w:rsidRPr="00665F5E" w:rsidRDefault="00665F5E" w:rsidP="00665F5E">
            <w:pPr>
              <w:jc w:val="right"/>
              <w:rPr>
                <w:rFonts w:cs="Arial"/>
                <w:b/>
                <w:bCs/>
                <w:color w:val="000000"/>
                <w:sz w:val="20"/>
                <w:szCs w:val="20"/>
                <w:lang w:eastAsia="en-GB"/>
              </w:rPr>
            </w:pPr>
            <w:r w:rsidRPr="00665F5E">
              <w:rPr>
                <w:rFonts w:cs="Arial"/>
                <w:b/>
                <w:bCs/>
                <w:color w:val="000000"/>
                <w:sz w:val="20"/>
                <w:szCs w:val="20"/>
                <w:lang w:eastAsia="en-GB"/>
              </w:rPr>
              <w:t>-</w:t>
            </w:r>
            <w:r w:rsidR="00850A75">
              <w:rPr>
                <w:rFonts w:cs="Arial"/>
                <w:b/>
                <w:bCs/>
                <w:color w:val="000000"/>
                <w:sz w:val="20"/>
                <w:szCs w:val="20"/>
                <w:lang w:eastAsia="en-GB"/>
              </w:rPr>
              <w:t>8</w:t>
            </w:r>
            <w:r w:rsidR="00F5136C">
              <w:rPr>
                <w:rFonts w:cs="Arial"/>
                <w:b/>
                <w:bCs/>
                <w:color w:val="000000"/>
                <w:sz w:val="20"/>
                <w:szCs w:val="20"/>
                <w:lang w:eastAsia="en-GB"/>
              </w:rPr>
              <w:t>00</w:t>
            </w:r>
          </w:p>
        </w:tc>
        <w:tc>
          <w:tcPr>
            <w:tcW w:w="1027" w:type="dxa"/>
            <w:tcBorders>
              <w:top w:val="nil"/>
              <w:left w:val="single" w:sz="8" w:space="0" w:color="auto"/>
              <w:bottom w:val="nil"/>
              <w:right w:val="single" w:sz="8" w:space="0" w:color="auto"/>
            </w:tcBorders>
            <w:shd w:val="clear" w:color="auto" w:fill="auto"/>
            <w:noWrap/>
            <w:vAlign w:val="center"/>
            <w:hideMark/>
          </w:tcPr>
          <w:p w14:paraId="414E9882" w14:textId="6032AA62" w:rsidR="00665F5E" w:rsidRPr="00665F5E" w:rsidRDefault="00665F5E" w:rsidP="00665F5E">
            <w:pPr>
              <w:jc w:val="right"/>
              <w:rPr>
                <w:rFonts w:cs="Arial"/>
                <w:color w:val="000000"/>
                <w:sz w:val="20"/>
                <w:szCs w:val="20"/>
                <w:lang w:eastAsia="en-GB"/>
              </w:rPr>
            </w:pPr>
            <w:r w:rsidRPr="00665F5E">
              <w:rPr>
                <w:rFonts w:cs="Arial"/>
                <w:color w:val="000000"/>
                <w:sz w:val="20"/>
                <w:szCs w:val="20"/>
                <w:lang w:eastAsia="en-GB"/>
              </w:rPr>
              <w:t>1,9</w:t>
            </w:r>
            <w:r w:rsidR="00F5136C">
              <w:rPr>
                <w:rFonts w:cs="Arial"/>
                <w:color w:val="000000"/>
                <w:sz w:val="20"/>
                <w:szCs w:val="20"/>
                <w:lang w:eastAsia="en-GB"/>
              </w:rPr>
              <w:t>08</w:t>
            </w:r>
          </w:p>
        </w:tc>
        <w:tc>
          <w:tcPr>
            <w:tcW w:w="1017" w:type="dxa"/>
            <w:tcBorders>
              <w:top w:val="nil"/>
              <w:left w:val="nil"/>
              <w:bottom w:val="nil"/>
              <w:right w:val="single" w:sz="8" w:space="0" w:color="auto"/>
            </w:tcBorders>
            <w:shd w:val="clear" w:color="000000" w:fill="FFFFFF"/>
            <w:noWrap/>
            <w:vAlign w:val="center"/>
            <w:hideMark/>
          </w:tcPr>
          <w:p w14:paraId="7F3D9561" w14:textId="23100AC0" w:rsidR="00665F5E" w:rsidRPr="00665F5E" w:rsidRDefault="00665F5E" w:rsidP="00665F5E">
            <w:pPr>
              <w:jc w:val="right"/>
              <w:rPr>
                <w:rFonts w:cs="Arial"/>
                <w:b/>
                <w:bCs/>
                <w:color w:val="000000"/>
                <w:sz w:val="20"/>
                <w:szCs w:val="20"/>
                <w:lang w:eastAsia="en-GB"/>
              </w:rPr>
            </w:pPr>
            <w:r w:rsidRPr="00665F5E">
              <w:rPr>
                <w:rFonts w:cs="Arial"/>
                <w:b/>
                <w:bCs/>
                <w:color w:val="000000"/>
                <w:sz w:val="20"/>
                <w:szCs w:val="20"/>
                <w:lang w:eastAsia="en-GB"/>
              </w:rPr>
              <w:t>1,1</w:t>
            </w:r>
            <w:r w:rsidR="00F5136C">
              <w:rPr>
                <w:rFonts w:cs="Arial"/>
                <w:b/>
                <w:bCs/>
                <w:color w:val="000000"/>
                <w:sz w:val="20"/>
                <w:szCs w:val="20"/>
                <w:lang w:eastAsia="en-GB"/>
              </w:rPr>
              <w:t>08</w:t>
            </w:r>
          </w:p>
        </w:tc>
      </w:tr>
      <w:tr w:rsidR="00665F5E" w:rsidRPr="00665F5E" w14:paraId="45917436" w14:textId="77777777" w:rsidTr="00665F5E">
        <w:trPr>
          <w:trHeight w:val="290"/>
        </w:trPr>
        <w:tc>
          <w:tcPr>
            <w:tcW w:w="3676" w:type="dxa"/>
            <w:tcBorders>
              <w:top w:val="nil"/>
              <w:left w:val="single" w:sz="8" w:space="0" w:color="auto"/>
              <w:bottom w:val="nil"/>
              <w:right w:val="single" w:sz="8" w:space="0" w:color="auto"/>
            </w:tcBorders>
            <w:shd w:val="clear" w:color="auto" w:fill="auto"/>
            <w:noWrap/>
            <w:vAlign w:val="center"/>
            <w:hideMark/>
          </w:tcPr>
          <w:p w14:paraId="1384C62A" w14:textId="77777777" w:rsidR="00665F5E" w:rsidRPr="00665F5E" w:rsidRDefault="00665F5E" w:rsidP="00665F5E">
            <w:pPr>
              <w:rPr>
                <w:rFonts w:cs="Arial"/>
                <w:color w:val="000000"/>
                <w:sz w:val="20"/>
                <w:szCs w:val="20"/>
                <w:lang w:eastAsia="en-GB"/>
              </w:rPr>
            </w:pPr>
            <w:r w:rsidRPr="00665F5E">
              <w:rPr>
                <w:rFonts w:cs="Arial"/>
                <w:color w:val="000000"/>
                <w:sz w:val="20"/>
                <w:szCs w:val="20"/>
                <w:lang w:eastAsia="en-GB"/>
              </w:rPr>
              <w:t>Adjustments between accounting basis and funding basis under regulations</w:t>
            </w:r>
          </w:p>
        </w:tc>
        <w:tc>
          <w:tcPr>
            <w:tcW w:w="435" w:type="dxa"/>
            <w:tcBorders>
              <w:top w:val="nil"/>
              <w:left w:val="nil"/>
              <w:bottom w:val="nil"/>
              <w:right w:val="nil"/>
            </w:tcBorders>
            <w:shd w:val="clear" w:color="auto" w:fill="auto"/>
            <w:noWrap/>
            <w:vAlign w:val="center"/>
            <w:hideMark/>
          </w:tcPr>
          <w:p w14:paraId="67B2EB62" w14:textId="77777777" w:rsidR="00665F5E" w:rsidRPr="00665F5E" w:rsidRDefault="00665F5E" w:rsidP="00665F5E">
            <w:pPr>
              <w:jc w:val="center"/>
              <w:rPr>
                <w:rFonts w:cs="Arial"/>
                <w:color w:val="000000"/>
                <w:sz w:val="20"/>
                <w:szCs w:val="20"/>
                <w:lang w:eastAsia="en-GB"/>
              </w:rPr>
            </w:pPr>
            <w:r w:rsidRPr="00665F5E">
              <w:rPr>
                <w:rFonts w:cs="Arial"/>
                <w:color w:val="000000"/>
                <w:sz w:val="20"/>
                <w:szCs w:val="20"/>
                <w:lang w:eastAsia="en-GB"/>
              </w:rPr>
              <w:t>9</w:t>
            </w:r>
          </w:p>
        </w:tc>
        <w:tc>
          <w:tcPr>
            <w:tcW w:w="917" w:type="dxa"/>
            <w:tcBorders>
              <w:top w:val="nil"/>
              <w:left w:val="single" w:sz="8" w:space="0" w:color="auto"/>
              <w:bottom w:val="nil"/>
              <w:right w:val="single" w:sz="8" w:space="0" w:color="auto"/>
            </w:tcBorders>
            <w:shd w:val="clear" w:color="auto" w:fill="auto"/>
            <w:noWrap/>
            <w:vAlign w:val="center"/>
            <w:hideMark/>
          </w:tcPr>
          <w:p w14:paraId="55FCFC4C" w14:textId="3F341F6C" w:rsidR="00665F5E" w:rsidRPr="00665F5E" w:rsidRDefault="00665F5E" w:rsidP="00665F5E">
            <w:pPr>
              <w:jc w:val="right"/>
              <w:rPr>
                <w:rFonts w:cs="Arial"/>
                <w:color w:val="000000"/>
                <w:sz w:val="20"/>
                <w:szCs w:val="20"/>
                <w:lang w:eastAsia="en-GB"/>
              </w:rPr>
            </w:pPr>
            <w:r w:rsidRPr="00665F5E">
              <w:rPr>
                <w:rFonts w:cs="Arial"/>
                <w:color w:val="000000"/>
                <w:sz w:val="20"/>
                <w:szCs w:val="20"/>
                <w:lang w:eastAsia="en-GB"/>
              </w:rPr>
              <w:t>1,1</w:t>
            </w:r>
            <w:r w:rsidR="00F5136C">
              <w:rPr>
                <w:rFonts w:cs="Arial"/>
                <w:color w:val="000000"/>
                <w:sz w:val="20"/>
                <w:szCs w:val="20"/>
                <w:lang w:eastAsia="en-GB"/>
              </w:rPr>
              <w:t>78</w:t>
            </w:r>
          </w:p>
        </w:tc>
        <w:tc>
          <w:tcPr>
            <w:tcW w:w="916" w:type="dxa"/>
            <w:tcBorders>
              <w:top w:val="nil"/>
              <w:left w:val="nil"/>
              <w:bottom w:val="nil"/>
              <w:right w:val="nil"/>
            </w:tcBorders>
            <w:shd w:val="clear" w:color="auto" w:fill="auto"/>
            <w:noWrap/>
            <w:vAlign w:val="center"/>
            <w:hideMark/>
          </w:tcPr>
          <w:p w14:paraId="6567C673" w14:textId="77777777" w:rsidR="00665F5E" w:rsidRPr="00665F5E" w:rsidRDefault="00665F5E" w:rsidP="00665F5E">
            <w:pPr>
              <w:jc w:val="right"/>
              <w:rPr>
                <w:rFonts w:cs="Arial"/>
                <w:color w:val="000000"/>
                <w:sz w:val="20"/>
                <w:szCs w:val="20"/>
                <w:lang w:eastAsia="en-GB"/>
              </w:rPr>
            </w:pPr>
            <w:r w:rsidRPr="00665F5E">
              <w:rPr>
                <w:rFonts w:cs="Arial"/>
                <w:color w:val="000000"/>
                <w:sz w:val="20"/>
                <w:szCs w:val="20"/>
                <w:lang w:eastAsia="en-GB"/>
              </w:rPr>
              <w:t>-455</w:t>
            </w:r>
          </w:p>
        </w:tc>
        <w:tc>
          <w:tcPr>
            <w:tcW w:w="1087" w:type="dxa"/>
            <w:tcBorders>
              <w:top w:val="nil"/>
              <w:left w:val="single" w:sz="8" w:space="0" w:color="auto"/>
              <w:bottom w:val="nil"/>
              <w:right w:val="single" w:sz="8" w:space="0" w:color="auto"/>
            </w:tcBorders>
            <w:shd w:val="clear" w:color="auto" w:fill="auto"/>
            <w:noWrap/>
            <w:vAlign w:val="center"/>
            <w:hideMark/>
          </w:tcPr>
          <w:p w14:paraId="5935179F" w14:textId="4CC57CAC" w:rsidR="00665F5E" w:rsidRPr="00665F5E" w:rsidRDefault="00665F5E" w:rsidP="00665F5E">
            <w:pPr>
              <w:jc w:val="right"/>
              <w:rPr>
                <w:rFonts w:cs="Arial"/>
                <w:color w:val="000000"/>
                <w:sz w:val="20"/>
                <w:szCs w:val="20"/>
                <w:lang w:eastAsia="en-GB"/>
              </w:rPr>
            </w:pPr>
            <w:r w:rsidRPr="00665F5E">
              <w:rPr>
                <w:rFonts w:cs="Arial"/>
                <w:color w:val="000000"/>
                <w:sz w:val="20"/>
                <w:szCs w:val="20"/>
                <w:lang w:eastAsia="en-GB"/>
              </w:rPr>
              <w:t>-</w:t>
            </w:r>
            <w:r w:rsidR="00CE537B">
              <w:rPr>
                <w:rFonts w:cs="Arial"/>
                <w:color w:val="000000"/>
                <w:sz w:val="20"/>
                <w:szCs w:val="20"/>
                <w:lang w:eastAsia="en-GB"/>
              </w:rPr>
              <w:t>3</w:t>
            </w:r>
          </w:p>
        </w:tc>
        <w:tc>
          <w:tcPr>
            <w:tcW w:w="1017" w:type="dxa"/>
            <w:tcBorders>
              <w:top w:val="nil"/>
              <w:left w:val="nil"/>
              <w:bottom w:val="nil"/>
              <w:right w:val="nil"/>
            </w:tcBorders>
            <w:shd w:val="clear" w:color="000000" w:fill="FFFFFF"/>
            <w:noWrap/>
            <w:vAlign w:val="center"/>
            <w:hideMark/>
          </w:tcPr>
          <w:p w14:paraId="64D8138A" w14:textId="3FE6320A" w:rsidR="00665F5E" w:rsidRPr="00665F5E" w:rsidRDefault="00850A75" w:rsidP="00665F5E">
            <w:pPr>
              <w:jc w:val="right"/>
              <w:rPr>
                <w:rFonts w:cs="Arial"/>
                <w:b/>
                <w:bCs/>
                <w:color w:val="000000"/>
                <w:sz w:val="20"/>
                <w:szCs w:val="20"/>
                <w:lang w:eastAsia="en-GB"/>
              </w:rPr>
            </w:pPr>
            <w:r>
              <w:rPr>
                <w:rFonts w:cs="Arial"/>
                <w:b/>
                <w:bCs/>
                <w:color w:val="000000"/>
                <w:sz w:val="20"/>
                <w:szCs w:val="20"/>
                <w:lang w:eastAsia="en-GB"/>
              </w:rPr>
              <w:t>7</w:t>
            </w:r>
            <w:r w:rsidR="00F5136C">
              <w:rPr>
                <w:rFonts w:cs="Arial"/>
                <w:b/>
                <w:bCs/>
                <w:color w:val="000000"/>
                <w:sz w:val="20"/>
                <w:szCs w:val="20"/>
                <w:lang w:eastAsia="en-GB"/>
              </w:rPr>
              <w:t>20</w:t>
            </w:r>
          </w:p>
        </w:tc>
        <w:tc>
          <w:tcPr>
            <w:tcW w:w="1027" w:type="dxa"/>
            <w:tcBorders>
              <w:top w:val="nil"/>
              <w:left w:val="single" w:sz="8" w:space="0" w:color="auto"/>
              <w:bottom w:val="nil"/>
              <w:right w:val="single" w:sz="8" w:space="0" w:color="auto"/>
            </w:tcBorders>
            <w:shd w:val="clear" w:color="auto" w:fill="auto"/>
            <w:noWrap/>
            <w:vAlign w:val="center"/>
            <w:hideMark/>
          </w:tcPr>
          <w:p w14:paraId="50727ABC" w14:textId="22DDA488" w:rsidR="00665F5E" w:rsidRPr="00665F5E" w:rsidRDefault="00665F5E" w:rsidP="00665F5E">
            <w:pPr>
              <w:jc w:val="right"/>
              <w:rPr>
                <w:rFonts w:cs="Arial"/>
                <w:color w:val="000000"/>
                <w:sz w:val="20"/>
                <w:szCs w:val="20"/>
                <w:lang w:eastAsia="en-GB"/>
              </w:rPr>
            </w:pPr>
            <w:r w:rsidRPr="00665F5E">
              <w:rPr>
                <w:rFonts w:cs="Arial"/>
                <w:color w:val="000000"/>
                <w:sz w:val="20"/>
                <w:szCs w:val="20"/>
                <w:lang w:eastAsia="en-GB"/>
              </w:rPr>
              <w:t>-</w:t>
            </w:r>
            <w:r w:rsidR="00850A75">
              <w:rPr>
                <w:rFonts w:cs="Arial"/>
                <w:color w:val="000000"/>
                <w:sz w:val="20"/>
                <w:szCs w:val="20"/>
                <w:lang w:eastAsia="en-GB"/>
              </w:rPr>
              <w:t>7</w:t>
            </w:r>
            <w:r w:rsidR="00F5136C">
              <w:rPr>
                <w:rFonts w:cs="Arial"/>
                <w:color w:val="000000"/>
                <w:sz w:val="20"/>
                <w:szCs w:val="20"/>
                <w:lang w:eastAsia="en-GB"/>
              </w:rPr>
              <w:t>20</w:t>
            </w:r>
          </w:p>
        </w:tc>
        <w:tc>
          <w:tcPr>
            <w:tcW w:w="1017" w:type="dxa"/>
            <w:tcBorders>
              <w:top w:val="nil"/>
              <w:left w:val="nil"/>
              <w:bottom w:val="nil"/>
              <w:right w:val="single" w:sz="8" w:space="0" w:color="auto"/>
            </w:tcBorders>
            <w:shd w:val="clear" w:color="000000" w:fill="FFFFFF"/>
            <w:noWrap/>
            <w:vAlign w:val="center"/>
            <w:hideMark/>
          </w:tcPr>
          <w:p w14:paraId="52DB63D3" w14:textId="77777777" w:rsidR="00665F5E" w:rsidRPr="00665F5E" w:rsidRDefault="00665F5E" w:rsidP="00665F5E">
            <w:pPr>
              <w:jc w:val="right"/>
              <w:rPr>
                <w:rFonts w:cs="Arial"/>
                <w:b/>
                <w:bCs/>
                <w:color w:val="000000"/>
                <w:sz w:val="20"/>
                <w:szCs w:val="20"/>
                <w:lang w:eastAsia="en-GB"/>
              </w:rPr>
            </w:pPr>
            <w:r w:rsidRPr="00665F5E">
              <w:rPr>
                <w:rFonts w:cs="Arial"/>
                <w:b/>
                <w:bCs/>
                <w:color w:val="000000"/>
                <w:sz w:val="20"/>
                <w:szCs w:val="20"/>
                <w:lang w:eastAsia="en-GB"/>
              </w:rPr>
              <w:t>0</w:t>
            </w:r>
          </w:p>
        </w:tc>
      </w:tr>
      <w:tr w:rsidR="00665F5E" w:rsidRPr="00665F5E" w14:paraId="579795E3" w14:textId="77777777" w:rsidTr="00665F5E">
        <w:trPr>
          <w:trHeight w:val="300"/>
        </w:trPr>
        <w:tc>
          <w:tcPr>
            <w:tcW w:w="3676" w:type="dxa"/>
            <w:tcBorders>
              <w:top w:val="nil"/>
              <w:left w:val="single" w:sz="8" w:space="0" w:color="auto"/>
              <w:bottom w:val="nil"/>
              <w:right w:val="single" w:sz="8" w:space="0" w:color="auto"/>
            </w:tcBorders>
            <w:shd w:val="clear" w:color="auto" w:fill="auto"/>
            <w:noWrap/>
            <w:vAlign w:val="center"/>
            <w:hideMark/>
          </w:tcPr>
          <w:p w14:paraId="78241E4B" w14:textId="323DC411" w:rsidR="00665F5E" w:rsidRPr="00665F5E" w:rsidRDefault="00665F5E" w:rsidP="00665F5E">
            <w:pPr>
              <w:rPr>
                <w:rFonts w:cs="Arial"/>
                <w:color w:val="000000"/>
                <w:sz w:val="20"/>
                <w:szCs w:val="20"/>
                <w:lang w:eastAsia="en-GB"/>
              </w:rPr>
            </w:pPr>
            <w:r w:rsidRPr="00665F5E">
              <w:rPr>
                <w:rFonts w:cs="Arial"/>
                <w:color w:val="000000"/>
                <w:sz w:val="20"/>
                <w:szCs w:val="20"/>
                <w:lang w:eastAsia="en-GB"/>
              </w:rPr>
              <w:t>Increase/decrease for 202</w:t>
            </w:r>
            <w:r w:rsidR="00C329A3">
              <w:rPr>
                <w:rFonts w:cs="Arial"/>
                <w:color w:val="000000"/>
                <w:sz w:val="20"/>
                <w:szCs w:val="20"/>
                <w:lang w:eastAsia="en-GB"/>
              </w:rPr>
              <w:t>3</w:t>
            </w:r>
            <w:r w:rsidRPr="00665F5E">
              <w:rPr>
                <w:rFonts w:cs="Arial"/>
                <w:color w:val="000000"/>
                <w:sz w:val="20"/>
                <w:szCs w:val="20"/>
                <w:lang w:eastAsia="en-GB"/>
              </w:rPr>
              <w:t>/2</w:t>
            </w:r>
            <w:r w:rsidR="00C329A3">
              <w:rPr>
                <w:rFonts w:cs="Arial"/>
                <w:color w:val="000000"/>
                <w:sz w:val="20"/>
                <w:szCs w:val="20"/>
                <w:lang w:eastAsia="en-GB"/>
              </w:rPr>
              <w:t>4</w:t>
            </w:r>
          </w:p>
        </w:tc>
        <w:tc>
          <w:tcPr>
            <w:tcW w:w="435" w:type="dxa"/>
            <w:tcBorders>
              <w:top w:val="nil"/>
              <w:left w:val="nil"/>
              <w:bottom w:val="nil"/>
              <w:right w:val="nil"/>
            </w:tcBorders>
            <w:shd w:val="clear" w:color="auto" w:fill="auto"/>
            <w:noWrap/>
            <w:vAlign w:val="center"/>
            <w:hideMark/>
          </w:tcPr>
          <w:p w14:paraId="1CAB2BEB" w14:textId="77777777" w:rsidR="00665F5E" w:rsidRPr="00665F5E" w:rsidRDefault="00665F5E" w:rsidP="00665F5E">
            <w:pPr>
              <w:rPr>
                <w:rFonts w:cs="Arial"/>
                <w:color w:val="000000"/>
                <w:sz w:val="20"/>
                <w:szCs w:val="20"/>
                <w:lang w:eastAsia="en-GB"/>
              </w:rPr>
            </w:pPr>
          </w:p>
        </w:tc>
        <w:tc>
          <w:tcPr>
            <w:tcW w:w="917" w:type="dxa"/>
            <w:tcBorders>
              <w:top w:val="nil"/>
              <w:left w:val="single" w:sz="8" w:space="0" w:color="auto"/>
              <w:bottom w:val="nil"/>
              <w:right w:val="single" w:sz="8" w:space="0" w:color="auto"/>
            </w:tcBorders>
            <w:shd w:val="clear" w:color="auto" w:fill="auto"/>
            <w:noWrap/>
            <w:vAlign w:val="center"/>
            <w:hideMark/>
          </w:tcPr>
          <w:p w14:paraId="6DC095D5" w14:textId="73E376D9" w:rsidR="00665F5E" w:rsidRPr="00665F5E" w:rsidRDefault="00665F5E" w:rsidP="00665F5E">
            <w:pPr>
              <w:jc w:val="right"/>
              <w:rPr>
                <w:rFonts w:cs="Arial"/>
                <w:color w:val="000000"/>
                <w:sz w:val="20"/>
                <w:szCs w:val="20"/>
                <w:lang w:eastAsia="en-GB"/>
              </w:rPr>
            </w:pPr>
            <w:r w:rsidRPr="00665F5E">
              <w:rPr>
                <w:rFonts w:cs="Arial"/>
                <w:color w:val="000000"/>
                <w:sz w:val="20"/>
                <w:szCs w:val="20"/>
                <w:lang w:eastAsia="en-GB"/>
              </w:rPr>
              <w:t>3</w:t>
            </w:r>
            <w:r w:rsidR="00850A75">
              <w:rPr>
                <w:rFonts w:cs="Arial"/>
                <w:color w:val="000000"/>
                <w:sz w:val="20"/>
                <w:szCs w:val="20"/>
                <w:lang w:eastAsia="en-GB"/>
              </w:rPr>
              <w:t>7</w:t>
            </w:r>
            <w:r w:rsidR="00CE537B">
              <w:rPr>
                <w:rFonts w:cs="Arial"/>
                <w:color w:val="000000"/>
                <w:sz w:val="20"/>
                <w:szCs w:val="20"/>
                <w:lang w:eastAsia="en-GB"/>
              </w:rPr>
              <w:t>8</w:t>
            </w:r>
          </w:p>
        </w:tc>
        <w:tc>
          <w:tcPr>
            <w:tcW w:w="916" w:type="dxa"/>
            <w:tcBorders>
              <w:top w:val="nil"/>
              <w:left w:val="nil"/>
              <w:bottom w:val="nil"/>
              <w:right w:val="single" w:sz="8" w:space="0" w:color="auto"/>
            </w:tcBorders>
            <w:shd w:val="clear" w:color="auto" w:fill="auto"/>
            <w:noWrap/>
            <w:vAlign w:val="center"/>
            <w:hideMark/>
          </w:tcPr>
          <w:p w14:paraId="104106D1" w14:textId="77777777" w:rsidR="00665F5E" w:rsidRPr="00665F5E" w:rsidRDefault="00665F5E" w:rsidP="00665F5E">
            <w:pPr>
              <w:jc w:val="right"/>
              <w:rPr>
                <w:rFonts w:cs="Arial"/>
                <w:color w:val="000000"/>
                <w:sz w:val="20"/>
                <w:szCs w:val="20"/>
                <w:lang w:eastAsia="en-GB"/>
              </w:rPr>
            </w:pPr>
            <w:r w:rsidRPr="00665F5E">
              <w:rPr>
                <w:rFonts w:cs="Arial"/>
                <w:color w:val="000000"/>
                <w:sz w:val="20"/>
                <w:szCs w:val="20"/>
                <w:lang w:eastAsia="en-GB"/>
              </w:rPr>
              <w:t>-455</w:t>
            </w:r>
          </w:p>
        </w:tc>
        <w:tc>
          <w:tcPr>
            <w:tcW w:w="1087" w:type="dxa"/>
            <w:tcBorders>
              <w:top w:val="nil"/>
              <w:left w:val="nil"/>
              <w:bottom w:val="nil"/>
              <w:right w:val="single" w:sz="8" w:space="0" w:color="auto"/>
            </w:tcBorders>
            <w:shd w:val="clear" w:color="auto" w:fill="auto"/>
            <w:noWrap/>
            <w:vAlign w:val="center"/>
            <w:hideMark/>
          </w:tcPr>
          <w:p w14:paraId="29AF2BE9" w14:textId="7706D441" w:rsidR="00665F5E" w:rsidRPr="00665F5E" w:rsidRDefault="00665F5E" w:rsidP="00665F5E">
            <w:pPr>
              <w:jc w:val="right"/>
              <w:rPr>
                <w:rFonts w:cs="Arial"/>
                <w:color w:val="000000"/>
                <w:sz w:val="20"/>
                <w:szCs w:val="20"/>
                <w:lang w:eastAsia="en-GB"/>
              </w:rPr>
            </w:pPr>
            <w:r w:rsidRPr="00665F5E">
              <w:rPr>
                <w:rFonts w:cs="Arial"/>
                <w:color w:val="000000"/>
                <w:sz w:val="20"/>
                <w:szCs w:val="20"/>
                <w:lang w:eastAsia="en-GB"/>
              </w:rPr>
              <w:t>-</w:t>
            </w:r>
            <w:r w:rsidR="00CE537B">
              <w:rPr>
                <w:rFonts w:cs="Arial"/>
                <w:color w:val="000000"/>
                <w:sz w:val="20"/>
                <w:szCs w:val="20"/>
                <w:lang w:eastAsia="en-GB"/>
              </w:rPr>
              <w:t>3</w:t>
            </w:r>
          </w:p>
        </w:tc>
        <w:tc>
          <w:tcPr>
            <w:tcW w:w="1017" w:type="dxa"/>
            <w:tcBorders>
              <w:top w:val="nil"/>
              <w:left w:val="nil"/>
              <w:bottom w:val="nil"/>
              <w:right w:val="single" w:sz="8" w:space="0" w:color="auto"/>
            </w:tcBorders>
            <w:shd w:val="clear" w:color="auto" w:fill="auto"/>
            <w:noWrap/>
            <w:vAlign w:val="center"/>
            <w:hideMark/>
          </w:tcPr>
          <w:p w14:paraId="40345506" w14:textId="2C2D73F4" w:rsidR="00665F5E" w:rsidRPr="00665F5E" w:rsidRDefault="00665F5E" w:rsidP="00665F5E">
            <w:pPr>
              <w:jc w:val="right"/>
              <w:rPr>
                <w:rFonts w:cs="Arial"/>
                <w:color w:val="000000"/>
                <w:sz w:val="20"/>
                <w:szCs w:val="20"/>
                <w:lang w:eastAsia="en-GB"/>
              </w:rPr>
            </w:pPr>
            <w:r w:rsidRPr="00665F5E">
              <w:rPr>
                <w:rFonts w:cs="Arial"/>
                <w:color w:val="000000"/>
                <w:sz w:val="20"/>
                <w:szCs w:val="20"/>
                <w:lang w:eastAsia="en-GB"/>
              </w:rPr>
              <w:t>-</w:t>
            </w:r>
            <w:r w:rsidR="00431F19">
              <w:rPr>
                <w:rFonts w:cs="Arial"/>
                <w:color w:val="000000"/>
                <w:sz w:val="20"/>
                <w:szCs w:val="20"/>
                <w:lang w:eastAsia="en-GB"/>
              </w:rPr>
              <w:t>80</w:t>
            </w:r>
          </w:p>
        </w:tc>
        <w:tc>
          <w:tcPr>
            <w:tcW w:w="1027" w:type="dxa"/>
            <w:tcBorders>
              <w:top w:val="nil"/>
              <w:left w:val="nil"/>
              <w:bottom w:val="nil"/>
              <w:right w:val="single" w:sz="8" w:space="0" w:color="auto"/>
            </w:tcBorders>
            <w:shd w:val="clear" w:color="auto" w:fill="auto"/>
            <w:noWrap/>
            <w:vAlign w:val="center"/>
            <w:hideMark/>
          </w:tcPr>
          <w:p w14:paraId="32AE96AE" w14:textId="49639658" w:rsidR="00665F5E" w:rsidRPr="00665F5E" w:rsidRDefault="00665F5E" w:rsidP="00665F5E">
            <w:pPr>
              <w:jc w:val="right"/>
              <w:rPr>
                <w:rFonts w:cs="Arial"/>
                <w:color w:val="000000"/>
                <w:sz w:val="20"/>
                <w:szCs w:val="20"/>
                <w:lang w:eastAsia="en-GB"/>
              </w:rPr>
            </w:pPr>
            <w:r w:rsidRPr="00665F5E">
              <w:rPr>
                <w:rFonts w:cs="Arial"/>
                <w:color w:val="000000"/>
                <w:sz w:val="20"/>
                <w:szCs w:val="20"/>
                <w:lang w:eastAsia="en-GB"/>
              </w:rPr>
              <w:t>1,</w:t>
            </w:r>
            <w:r w:rsidR="00F5136C">
              <w:rPr>
                <w:rFonts w:cs="Arial"/>
                <w:color w:val="000000"/>
                <w:sz w:val="20"/>
                <w:szCs w:val="20"/>
                <w:lang w:eastAsia="en-GB"/>
              </w:rPr>
              <w:t>188</w:t>
            </w:r>
          </w:p>
        </w:tc>
        <w:tc>
          <w:tcPr>
            <w:tcW w:w="1017" w:type="dxa"/>
            <w:tcBorders>
              <w:top w:val="nil"/>
              <w:left w:val="nil"/>
              <w:bottom w:val="nil"/>
              <w:right w:val="single" w:sz="8" w:space="0" w:color="auto"/>
            </w:tcBorders>
            <w:shd w:val="clear" w:color="auto" w:fill="auto"/>
            <w:noWrap/>
            <w:vAlign w:val="center"/>
            <w:hideMark/>
          </w:tcPr>
          <w:p w14:paraId="6ED76055" w14:textId="7EA98F03" w:rsidR="00665F5E" w:rsidRPr="00665F5E" w:rsidRDefault="00665F5E" w:rsidP="00665F5E">
            <w:pPr>
              <w:jc w:val="right"/>
              <w:rPr>
                <w:rFonts w:cs="Arial"/>
                <w:color w:val="000000"/>
                <w:sz w:val="20"/>
                <w:szCs w:val="20"/>
                <w:lang w:eastAsia="en-GB"/>
              </w:rPr>
            </w:pPr>
            <w:r w:rsidRPr="00665F5E">
              <w:rPr>
                <w:rFonts w:cs="Arial"/>
                <w:color w:val="000000"/>
                <w:sz w:val="20"/>
                <w:szCs w:val="20"/>
                <w:lang w:eastAsia="en-GB"/>
              </w:rPr>
              <w:t>1,1</w:t>
            </w:r>
            <w:r w:rsidR="00F5136C">
              <w:rPr>
                <w:rFonts w:cs="Arial"/>
                <w:color w:val="000000"/>
                <w:sz w:val="20"/>
                <w:szCs w:val="20"/>
                <w:lang w:eastAsia="en-GB"/>
              </w:rPr>
              <w:t>08</w:t>
            </w:r>
          </w:p>
        </w:tc>
      </w:tr>
      <w:tr w:rsidR="00665F5E" w:rsidRPr="00665F5E" w14:paraId="512B3865" w14:textId="77777777" w:rsidTr="00665F5E">
        <w:trPr>
          <w:trHeight w:val="300"/>
        </w:trPr>
        <w:tc>
          <w:tcPr>
            <w:tcW w:w="36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5E0CCA" w14:textId="77777777" w:rsidR="00665F5E" w:rsidRPr="00665F5E" w:rsidRDefault="00665F5E" w:rsidP="00665F5E">
            <w:pPr>
              <w:rPr>
                <w:rFonts w:cs="Arial"/>
                <w:b/>
                <w:bCs/>
                <w:color w:val="000000"/>
                <w:sz w:val="20"/>
                <w:szCs w:val="20"/>
                <w:lang w:eastAsia="en-GB"/>
              </w:rPr>
            </w:pPr>
            <w:r w:rsidRPr="00665F5E">
              <w:rPr>
                <w:rFonts w:cs="Arial"/>
                <w:b/>
                <w:bCs/>
                <w:color w:val="000000"/>
                <w:sz w:val="20"/>
                <w:szCs w:val="20"/>
                <w:lang w:eastAsia="en-GB"/>
              </w:rPr>
              <w:t>Balance at 31 March 2024 carried forward</w:t>
            </w:r>
          </w:p>
        </w:tc>
        <w:tc>
          <w:tcPr>
            <w:tcW w:w="435" w:type="dxa"/>
            <w:tcBorders>
              <w:top w:val="single" w:sz="8" w:space="0" w:color="auto"/>
              <w:left w:val="nil"/>
              <w:bottom w:val="single" w:sz="8" w:space="0" w:color="auto"/>
              <w:right w:val="nil"/>
            </w:tcBorders>
            <w:shd w:val="clear" w:color="auto" w:fill="auto"/>
            <w:noWrap/>
            <w:vAlign w:val="center"/>
            <w:hideMark/>
          </w:tcPr>
          <w:p w14:paraId="4C1D8DBB" w14:textId="77777777" w:rsidR="00665F5E" w:rsidRPr="00665F5E" w:rsidRDefault="00665F5E" w:rsidP="00665F5E">
            <w:pPr>
              <w:jc w:val="center"/>
              <w:rPr>
                <w:rFonts w:cs="Arial"/>
                <w:b/>
                <w:bCs/>
                <w:color w:val="000000"/>
                <w:sz w:val="20"/>
                <w:szCs w:val="20"/>
                <w:lang w:eastAsia="en-GB"/>
              </w:rPr>
            </w:pPr>
            <w:r w:rsidRPr="00665F5E">
              <w:rPr>
                <w:rFonts w:cs="Arial"/>
                <w:b/>
                <w:bCs/>
                <w:color w:val="000000"/>
                <w:sz w:val="20"/>
                <w:szCs w:val="20"/>
                <w:lang w:eastAsia="en-GB"/>
              </w:rPr>
              <w:t> </w:t>
            </w:r>
          </w:p>
        </w:tc>
        <w:tc>
          <w:tcPr>
            <w:tcW w:w="9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D30B96" w14:textId="402F5C18" w:rsidR="00665F5E" w:rsidRPr="00665F5E" w:rsidRDefault="00665F5E" w:rsidP="00665F5E">
            <w:pPr>
              <w:jc w:val="right"/>
              <w:rPr>
                <w:rFonts w:cs="Arial"/>
                <w:b/>
                <w:bCs/>
                <w:color w:val="000000"/>
                <w:sz w:val="20"/>
                <w:szCs w:val="20"/>
                <w:lang w:eastAsia="en-GB"/>
              </w:rPr>
            </w:pPr>
            <w:r w:rsidRPr="00665F5E">
              <w:rPr>
                <w:rFonts w:cs="Arial"/>
                <w:b/>
                <w:bCs/>
                <w:color w:val="000000"/>
                <w:sz w:val="20"/>
                <w:szCs w:val="20"/>
                <w:lang w:eastAsia="en-GB"/>
              </w:rPr>
              <w:t>3,7</w:t>
            </w:r>
            <w:r w:rsidR="00CE537B">
              <w:rPr>
                <w:rFonts w:cs="Arial"/>
                <w:b/>
                <w:bCs/>
                <w:color w:val="000000"/>
                <w:sz w:val="20"/>
                <w:szCs w:val="20"/>
                <w:lang w:eastAsia="en-GB"/>
              </w:rPr>
              <w:t>89</w:t>
            </w:r>
          </w:p>
        </w:tc>
        <w:tc>
          <w:tcPr>
            <w:tcW w:w="916" w:type="dxa"/>
            <w:tcBorders>
              <w:top w:val="single" w:sz="8" w:space="0" w:color="auto"/>
              <w:left w:val="nil"/>
              <w:bottom w:val="single" w:sz="8" w:space="0" w:color="auto"/>
              <w:right w:val="single" w:sz="8" w:space="0" w:color="auto"/>
            </w:tcBorders>
            <w:shd w:val="clear" w:color="auto" w:fill="auto"/>
            <w:noWrap/>
            <w:vAlign w:val="center"/>
            <w:hideMark/>
          </w:tcPr>
          <w:p w14:paraId="4F704C5D" w14:textId="77777777" w:rsidR="00665F5E" w:rsidRPr="00665F5E" w:rsidRDefault="00665F5E" w:rsidP="00665F5E">
            <w:pPr>
              <w:jc w:val="right"/>
              <w:rPr>
                <w:rFonts w:cs="Arial"/>
                <w:b/>
                <w:bCs/>
                <w:color w:val="000000"/>
                <w:sz w:val="20"/>
                <w:szCs w:val="20"/>
                <w:lang w:eastAsia="en-GB"/>
              </w:rPr>
            </w:pPr>
            <w:r w:rsidRPr="00665F5E">
              <w:rPr>
                <w:rFonts w:cs="Arial"/>
                <w:b/>
                <w:bCs/>
                <w:color w:val="000000"/>
                <w:sz w:val="20"/>
                <w:szCs w:val="20"/>
                <w:lang w:eastAsia="en-GB"/>
              </w:rPr>
              <w:t>820</w:t>
            </w:r>
          </w:p>
        </w:tc>
        <w:tc>
          <w:tcPr>
            <w:tcW w:w="1087" w:type="dxa"/>
            <w:tcBorders>
              <w:top w:val="single" w:sz="8" w:space="0" w:color="auto"/>
              <w:left w:val="nil"/>
              <w:bottom w:val="single" w:sz="8" w:space="0" w:color="auto"/>
              <w:right w:val="single" w:sz="8" w:space="0" w:color="auto"/>
            </w:tcBorders>
            <w:shd w:val="clear" w:color="auto" w:fill="auto"/>
            <w:noWrap/>
            <w:vAlign w:val="center"/>
            <w:hideMark/>
          </w:tcPr>
          <w:p w14:paraId="222E6195" w14:textId="02A59618" w:rsidR="00665F5E" w:rsidRPr="00665F5E" w:rsidRDefault="00665F5E" w:rsidP="00665F5E">
            <w:pPr>
              <w:jc w:val="right"/>
              <w:rPr>
                <w:rFonts w:cs="Arial"/>
                <w:b/>
                <w:bCs/>
                <w:color w:val="000000"/>
                <w:sz w:val="20"/>
                <w:szCs w:val="20"/>
                <w:lang w:eastAsia="en-GB"/>
              </w:rPr>
            </w:pPr>
            <w:r w:rsidRPr="00665F5E">
              <w:rPr>
                <w:rFonts w:cs="Arial"/>
                <w:b/>
                <w:bCs/>
                <w:color w:val="000000"/>
                <w:sz w:val="20"/>
                <w:szCs w:val="20"/>
                <w:lang w:eastAsia="en-GB"/>
              </w:rPr>
              <w:t>2</w:t>
            </w:r>
            <w:r w:rsidR="00CE537B">
              <w:rPr>
                <w:rFonts w:cs="Arial"/>
                <w:b/>
                <w:bCs/>
                <w:color w:val="000000"/>
                <w:sz w:val="20"/>
                <w:szCs w:val="20"/>
                <w:lang w:eastAsia="en-GB"/>
              </w:rPr>
              <w:t>52</w:t>
            </w:r>
          </w:p>
        </w:tc>
        <w:tc>
          <w:tcPr>
            <w:tcW w:w="1017" w:type="dxa"/>
            <w:tcBorders>
              <w:top w:val="single" w:sz="8" w:space="0" w:color="auto"/>
              <w:left w:val="nil"/>
              <w:bottom w:val="single" w:sz="8" w:space="0" w:color="auto"/>
              <w:right w:val="single" w:sz="8" w:space="0" w:color="auto"/>
            </w:tcBorders>
            <w:shd w:val="clear" w:color="auto" w:fill="auto"/>
            <w:noWrap/>
            <w:vAlign w:val="center"/>
            <w:hideMark/>
          </w:tcPr>
          <w:p w14:paraId="686243C7" w14:textId="3C9176D2" w:rsidR="00665F5E" w:rsidRPr="00665F5E" w:rsidRDefault="00665F5E" w:rsidP="00665F5E">
            <w:pPr>
              <w:jc w:val="right"/>
              <w:rPr>
                <w:rFonts w:cs="Arial"/>
                <w:b/>
                <w:bCs/>
                <w:color w:val="000000"/>
                <w:sz w:val="20"/>
                <w:szCs w:val="20"/>
                <w:lang w:eastAsia="en-GB"/>
              </w:rPr>
            </w:pPr>
            <w:r w:rsidRPr="00665F5E">
              <w:rPr>
                <w:rFonts w:cs="Arial"/>
                <w:b/>
                <w:bCs/>
                <w:color w:val="000000"/>
                <w:sz w:val="20"/>
                <w:szCs w:val="20"/>
                <w:lang w:eastAsia="en-GB"/>
              </w:rPr>
              <w:t>4,8</w:t>
            </w:r>
            <w:r w:rsidR="00CE537B">
              <w:rPr>
                <w:rFonts w:cs="Arial"/>
                <w:b/>
                <w:bCs/>
                <w:color w:val="000000"/>
                <w:sz w:val="20"/>
                <w:szCs w:val="20"/>
                <w:lang w:eastAsia="en-GB"/>
              </w:rPr>
              <w:t>61</w:t>
            </w:r>
          </w:p>
        </w:tc>
        <w:tc>
          <w:tcPr>
            <w:tcW w:w="1027" w:type="dxa"/>
            <w:tcBorders>
              <w:top w:val="single" w:sz="8" w:space="0" w:color="auto"/>
              <w:left w:val="nil"/>
              <w:bottom w:val="single" w:sz="8" w:space="0" w:color="auto"/>
              <w:right w:val="single" w:sz="8" w:space="0" w:color="auto"/>
            </w:tcBorders>
            <w:shd w:val="clear" w:color="auto" w:fill="auto"/>
            <w:noWrap/>
            <w:vAlign w:val="center"/>
            <w:hideMark/>
          </w:tcPr>
          <w:p w14:paraId="1CCF2168" w14:textId="4E3C4332" w:rsidR="00665F5E" w:rsidRPr="00665F5E" w:rsidRDefault="00665F5E" w:rsidP="00665F5E">
            <w:pPr>
              <w:jc w:val="right"/>
              <w:rPr>
                <w:rFonts w:cs="Arial"/>
                <w:b/>
                <w:bCs/>
                <w:color w:val="000000"/>
                <w:sz w:val="20"/>
                <w:szCs w:val="20"/>
                <w:lang w:eastAsia="en-GB"/>
              </w:rPr>
            </w:pPr>
            <w:r w:rsidRPr="00665F5E">
              <w:rPr>
                <w:rFonts w:cs="Arial"/>
                <w:b/>
                <w:bCs/>
                <w:color w:val="000000"/>
                <w:sz w:val="20"/>
                <w:szCs w:val="20"/>
                <w:lang w:eastAsia="en-GB"/>
              </w:rPr>
              <w:t>35,4</w:t>
            </w:r>
            <w:r w:rsidR="00F5136C">
              <w:rPr>
                <w:rFonts w:cs="Arial"/>
                <w:b/>
                <w:bCs/>
                <w:color w:val="000000"/>
                <w:sz w:val="20"/>
                <w:szCs w:val="20"/>
                <w:lang w:eastAsia="en-GB"/>
              </w:rPr>
              <w:t>07</w:t>
            </w:r>
          </w:p>
        </w:tc>
        <w:tc>
          <w:tcPr>
            <w:tcW w:w="1017" w:type="dxa"/>
            <w:tcBorders>
              <w:top w:val="single" w:sz="8" w:space="0" w:color="auto"/>
              <w:left w:val="nil"/>
              <w:bottom w:val="single" w:sz="8" w:space="0" w:color="auto"/>
              <w:right w:val="single" w:sz="8" w:space="0" w:color="auto"/>
            </w:tcBorders>
            <w:shd w:val="clear" w:color="auto" w:fill="auto"/>
            <w:noWrap/>
            <w:vAlign w:val="center"/>
            <w:hideMark/>
          </w:tcPr>
          <w:p w14:paraId="51414CC6" w14:textId="7BC86413" w:rsidR="00665F5E" w:rsidRPr="00665F5E" w:rsidRDefault="00665F5E" w:rsidP="00665F5E">
            <w:pPr>
              <w:jc w:val="right"/>
              <w:rPr>
                <w:rFonts w:cs="Arial"/>
                <w:b/>
                <w:bCs/>
                <w:color w:val="000000"/>
                <w:sz w:val="20"/>
                <w:szCs w:val="20"/>
                <w:lang w:eastAsia="en-GB"/>
              </w:rPr>
            </w:pPr>
            <w:r w:rsidRPr="00665F5E">
              <w:rPr>
                <w:rFonts w:cs="Arial"/>
                <w:b/>
                <w:bCs/>
                <w:color w:val="000000"/>
                <w:sz w:val="20"/>
                <w:szCs w:val="20"/>
                <w:lang w:eastAsia="en-GB"/>
              </w:rPr>
              <w:t>40,</w:t>
            </w:r>
            <w:r w:rsidR="00850A75">
              <w:rPr>
                <w:rFonts w:cs="Arial"/>
                <w:b/>
                <w:bCs/>
                <w:color w:val="000000"/>
                <w:sz w:val="20"/>
                <w:szCs w:val="20"/>
                <w:lang w:eastAsia="en-GB"/>
              </w:rPr>
              <w:t>2</w:t>
            </w:r>
            <w:r w:rsidR="00F5136C">
              <w:rPr>
                <w:rFonts w:cs="Arial"/>
                <w:b/>
                <w:bCs/>
                <w:color w:val="000000"/>
                <w:sz w:val="20"/>
                <w:szCs w:val="20"/>
                <w:lang w:eastAsia="en-GB"/>
              </w:rPr>
              <w:t>68</w:t>
            </w:r>
          </w:p>
        </w:tc>
      </w:tr>
    </w:tbl>
    <w:p w14:paraId="43FDB37F" w14:textId="77777777" w:rsidR="00CC37BA" w:rsidRPr="00CC37BA" w:rsidRDefault="00CC37BA" w:rsidP="00CA7A05">
      <w:pPr>
        <w:tabs>
          <w:tab w:val="left" w:pos="0"/>
        </w:tabs>
        <w:jc w:val="center"/>
        <w:rPr>
          <w:rFonts w:cs="Arial"/>
          <w:b/>
          <w:sz w:val="28"/>
          <w:szCs w:val="28"/>
        </w:rPr>
      </w:pPr>
    </w:p>
    <w:p w14:paraId="485A459F" w14:textId="77777777" w:rsidR="00976EED" w:rsidRDefault="00976EED" w:rsidP="00976EED">
      <w:pPr>
        <w:tabs>
          <w:tab w:val="left" w:pos="0"/>
        </w:tabs>
        <w:rPr>
          <w:rFonts w:cs="Arial"/>
          <w:b/>
          <w:sz w:val="28"/>
          <w:szCs w:val="28"/>
        </w:rPr>
      </w:pPr>
    </w:p>
    <w:p w14:paraId="26497716" w14:textId="35A1E575" w:rsidR="009F03E4" w:rsidRPr="009F03E4" w:rsidRDefault="009F03E4" w:rsidP="00976EED">
      <w:pPr>
        <w:tabs>
          <w:tab w:val="left" w:pos="0"/>
        </w:tabs>
        <w:rPr>
          <w:rFonts w:cs="Arial"/>
          <w:bCs/>
        </w:rPr>
      </w:pPr>
      <w:r w:rsidRPr="009F03E4">
        <w:rPr>
          <w:rFonts w:cs="Arial"/>
          <w:bCs/>
        </w:rPr>
        <w:t>The equivalent figures for 202</w:t>
      </w:r>
      <w:r w:rsidR="00411B0B">
        <w:rPr>
          <w:rFonts w:cs="Arial"/>
          <w:bCs/>
        </w:rPr>
        <w:t>2</w:t>
      </w:r>
      <w:r w:rsidRPr="009F03E4">
        <w:rPr>
          <w:rFonts w:cs="Arial"/>
          <w:bCs/>
        </w:rPr>
        <w:t>/2</w:t>
      </w:r>
      <w:r w:rsidR="00411B0B">
        <w:rPr>
          <w:rFonts w:cs="Arial"/>
          <w:bCs/>
        </w:rPr>
        <w:t>3</w:t>
      </w:r>
      <w:r w:rsidRPr="009F03E4">
        <w:rPr>
          <w:rFonts w:cs="Arial"/>
          <w:bCs/>
        </w:rPr>
        <w:t xml:space="preserve"> were:</w:t>
      </w:r>
    </w:p>
    <w:tbl>
      <w:tblPr>
        <w:tblpPr w:leftFromText="180" w:rightFromText="180" w:vertAnchor="text" w:horzAnchor="margin" w:tblpY="31"/>
        <w:tblW w:w="10148" w:type="dxa"/>
        <w:tblLook w:val="04A0" w:firstRow="1" w:lastRow="0" w:firstColumn="1" w:lastColumn="0" w:noHBand="0" w:noVBand="1"/>
      </w:tblPr>
      <w:tblGrid>
        <w:gridCol w:w="3681"/>
        <w:gridCol w:w="435"/>
        <w:gridCol w:w="917"/>
        <w:gridCol w:w="967"/>
        <w:gridCol w:w="1087"/>
        <w:gridCol w:w="1017"/>
        <w:gridCol w:w="1027"/>
        <w:gridCol w:w="1017"/>
      </w:tblGrid>
      <w:tr w:rsidR="00665F5E" w:rsidRPr="00CC37BA" w14:paraId="36871D4F" w14:textId="77777777" w:rsidTr="00665F5E">
        <w:trPr>
          <w:trHeight w:val="940"/>
        </w:trPr>
        <w:tc>
          <w:tcPr>
            <w:tcW w:w="3681" w:type="dxa"/>
            <w:tcBorders>
              <w:top w:val="single" w:sz="4" w:space="0" w:color="auto"/>
              <w:left w:val="single" w:sz="4" w:space="0" w:color="auto"/>
              <w:bottom w:val="single" w:sz="4" w:space="0" w:color="auto"/>
              <w:right w:val="nil"/>
            </w:tcBorders>
            <w:shd w:val="clear" w:color="000000" w:fill="000000"/>
            <w:noWrap/>
            <w:vAlign w:val="bottom"/>
            <w:hideMark/>
          </w:tcPr>
          <w:p w14:paraId="4826ED0E" w14:textId="77777777" w:rsidR="00665F5E" w:rsidRPr="00CC37BA" w:rsidRDefault="00665F5E" w:rsidP="00665F5E">
            <w:pPr>
              <w:jc w:val="center"/>
              <w:rPr>
                <w:rFonts w:cs="Arial"/>
                <w:color w:val="000000"/>
                <w:sz w:val="22"/>
                <w:szCs w:val="22"/>
                <w:lang w:eastAsia="en-GB"/>
              </w:rPr>
            </w:pPr>
            <w:r w:rsidRPr="00411B0B">
              <w:rPr>
                <w:rFonts w:cs="Arial"/>
                <w:color w:val="FFFFFF" w:themeColor="background1"/>
                <w:sz w:val="22"/>
                <w:szCs w:val="22"/>
                <w:lang w:eastAsia="en-GB"/>
              </w:rPr>
              <w:t>Restated</w:t>
            </w:r>
          </w:p>
        </w:tc>
        <w:tc>
          <w:tcPr>
            <w:tcW w:w="435" w:type="dxa"/>
            <w:vMerge w:val="restart"/>
            <w:tcBorders>
              <w:top w:val="single" w:sz="4" w:space="0" w:color="auto"/>
              <w:left w:val="nil"/>
              <w:bottom w:val="single" w:sz="4" w:space="0" w:color="auto"/>
              <w:right w:val="nil"/>
            </w:tcBorders>
            <w:shd w:val="clear" w:color="000000" w:fill="000000"/>
            <w:noWrap/>
            <w:textDirection w:val="btLr"/>
            <w:vAlign w:val="bottom"/>
            <w:hideMark/>
          </w:tcPr>
          <w:p w14:paraId="18610795" w14:textId="77777777" w:rsidR="00665F5E" w:rsidRPr="00CC37BA" w:rsidRDefault="00665F5E" w:rsidP="00665F5E">
            <w:pPr>
              <w:jc w:val="center"/>
              <w:rPr>
                <w:rFonts w:cs="Arial"/>
                <w:b/>
                <w:bCs/>
                <w:color w:val="FFFFFF"/>
                <w:sz w:val="18"/>
                <w:szCs w:val="18"/>
                <w:lang w:eastAsia="en-GB"/>
              </w:rPr>
            </w:pPr>
            <w:r w:rsidRPr="00CC37BA">
              <w:rPr>
                <w:rFonts w:cs="Arial"/>
                <w:b/>
                <w:bCs/>
                <w:color w:val="FFFFFF"/>
                <w:sz w:val="18"/>
                <w:szCs w:val="18"/>
                <w:lang w:eastAsia="en-GB"/>
              </w:rPr>
              <w:t>Note</w:t>
            </w:r>
          </w:p>
        </w:tc>
        <w:tc>
          <w:tcPr>
            <w:tcW w:w="917"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5D6C9C45" w14:textId="77777777" w:rsidR="00665F5E" w:rsidRPr="00CC37BA" w:rsidRDefault="00665F5E" w:rsidP="00665F5E">
            <w:pPr>
              <w:jc w:val="center"/>
              <w:rPr>
                <w:rFonts w:cs="Arial"/>
                <w:b/>
                <w:bCs/>
                <w:color w:val="FFFFFF"/>
                <w:sz w:val="18"/>
                <w:szCs w:val="18"/>
                <w:lang w:eastAsia="en-GB"/>
              </w:rPr>
            </w:pPr>
            <w:r w:rsidRPr="00CC37BA">
              <w:rPr>
                <w:rFonts w:cs="Arial"/>
                <w:b/>
                <w:bCs/>
                <w:color w:val="FFFFFF"/>
                <w:sz w:val="18"/>
                <w:szCs w:val="18"/>
                <w:lang w:eastAsia="en-GB"/>
              </w:rPr>
              <w:t>General Reserve Balance</w:t>
            </w:r>
          </w:p>
        </w:tc>
        <w:tc>
          <w:tcPr>
            <w:tcW w:w="967" w:type="dxa"/>
            <w:tcBorders>
              <w:top w:val="single" w:sz="4" w:space="0" w:color="auto"/>
              <w:left w:val="nil"/>
              <w:bottom w:val="single" w:sz="4" w:space="0" w:color="auto"/>
              <w:right w:val="nil"/>
            </w:tcBorders>
            <w:shd w:val="clear" w:color="000000" w:fill="000000"/>
            <w:vAlign w:val="bottom"/>
            <w:hideMark/>
          </w:tcPr>
          <w:p w14:paraId="2AB3E54D" w14:textId="77777777" w:rsidR="00665F5E" w:rsidRPr="00CC37BA" w:rsidRDefault="00665F5E" w:rsidP="00665F5E">
            <w:pPr>
              <w:jc w:val="center"/>
              <w:rPr>
                <w:rFonts w:cs="Arial"/>
                <w:b/>
                <w:bCs/>
                <w:color w:val="FFFFFF"/>
                <w:sz w:val="18"/>
                <w:szCs w:val="18"/>
                <w:lang w:eastAsia="en-GB"/>
              </w:rPr>
            </w:pPr>
            <w:r w:rsidRPr="00CC37BA">
              <w:rPr>
                <w:rFonts w:cs="Arial"/>
                <w:b/>
                <w:bCs/>
                <w:color w:val="FFFFFF"/>
                <w:sz w:val="18"/>
                <w:szCs w:val="18"/>
                <w:lang w:eastAsia="en-GB"/>
              </w:rPr>
              <w:t>Capital Receipts Reserve</w:t>
            </w:r>
          </w:p>
        </w:tc>
        <w:tc>
          <w:tcPr>
            <w:tcW w:w="1087"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52707378" w14:textId="77777777" w:rsidR="00665F5E" w:rsidRPr="00CC37BA" w:rsidRDefault="00665F5E" w:rsidP="00665F5E">
            <w:pPr>
              <w:jc w:val="center"/>
              <w:rPr>
                <w:rFonts w:cs="Arial"/>
                <w:b/>
                <w:bCs/>
                <w:color w:val="FFFFFF"/>
                <w:sz w:val="18"/>
                <w:szCs w:val="18"/>
                <w:lang w:eastAsia="en-GB"/>
              </w:rPr>
            </w:pPr>
            <w:r w:rsidRPr="00CC37BA">
              <w:rPr>
                <w:rFonts w:cs="Arial"/>
                <w:b/>
                <w:bCs/>
                <w:color w:val="FFFFFF"/>
                <w:sz w:val="18"/>
                <w:szCs w:val="18"/>
                <w:lang w:eastAsia="en-GB"/>
              </w:rPr>
              <w:t>Capital Grants Unapplied</w:t>
            </w:r>
          </w:p>
        </w:tc>
        <w:tc>
          <w:tcPr>
            <w:tcW w:w="1017" w:type="dxa"/>
            <w:tcBorders>
              <w:top w:val="single" w:sz="4" w:space="0" w:color="auto"/>
              <w:left w:val="nil"/>
              <w:bottom w:val="single" w:sz="4" w:space="0" w:color="auto"/>
              <w:right w:val="nil"/>
            </w:tcBorders>
            <w:shd w:val="clear" w:color="000000" w:fill="000000"/>
            <w:vAlign w:val="bottom"/>
            <w:hideMark/>
          </w:tcPr>
          <w:p w14:paraId="3F0A9AC9" w14:textId="77777777" w:rsidR="00665F5E" w:rsidRPr="00CC37BA" w:rsidRDefault="00665F5E" w:rsidP="00665F5E">
            <w:pPr>
              <w:jc w:val="center"/>
              <w:rPr>
                <w:rFonts w:cs="Arial"/>
                <w:b/>
                <w:bCs/>
                <w:color w:val="FFFFFF"/>
                <w:sz w:val="18"/>
                <w:szCs w:val="18"/>
                <w:lang w:eastAsia="en-GB"/>
              </w:rPr>
            </w:pPr>
            <w:r w:rsidRPr="00CC37BA">
              <w:rPr>
                <w:rFonts w:cs="Arial"/>
                <w:b/>
                <w:bCs/>
                <w:color w:val="FFFFFF"/>
                <w:sz w:val="18"/>
                <w:szCs w:val="18"/>
                <w:lang w:eastAsia="en-GB"/>
              </w:rPr>
              <w:t>Total Useable Reserves</w:t>
            </w:r>
          </w:p>
        </w:tc>
        <w:tc>
          <w:tcPr>
            <w:tcW w:w="1027"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14E0E2D8" w14:textId="77777777" w:rsidR="00665F5E" w:rsidRPr="00CC37BA" w:rsidRDefault="00665F5E" w:rsidP="00665F5E">
            <w:pPr>
              <w:jc w:val="center"/>
              <w:rPr>
                <w:rFonts w:cs="Arial"/>
                <w:b/>
                <w:bCs/>
                <w:color w:val="FFFFFF"/>
                <w:sz w:val="18"/>
                <w:szCs w:val="18"/>
                <w:lang w:eastAsia="en-GB"/>
              </w:rPr>
            </w:pPr>
            <w:r w:rsidRPr="00CC37BA">
              <w:rPr>
                <w:rFonts w:cs="Arial"/>
                <w:b/>
                <w:bCs/>
                <w:color w:val="FFFFFF"/>
                <w:sz w:val="18"/>
                <w:szCs w:val="18"/>
                <w:lang w:eastAsia="en-GB"/>
              </w:rPr>
              <w:t>Unusable Reserves</w:t>
            </w:r>
          </w:p>
        </w:tc>
        <w:tc>
          <w:tcPr>
            <w:tcW w:w="1017" w:type="dxa"/>
            <w:tcBorders>
              <w:top w:val="single" w:sz="4" w:space="0" w:color="auto"/>
              <w:left w:val="nil"/>
              <w:bottom w:val="single" w:sz="4" w:space="0" w:color="auto"/>
              <w:right w:val="single" w:sz="4" w:space="0" w:color="auto"/>
            </w:tcBorders>
            <w:shd w:val="clear" w:color="000000" w:fill="000000"/>
            <w:vAlign w:val="bottom"/>
            <w:hideMark/>
          </w:tcPr>
          <w:p w14:paraId="126B396F" w14:textId="77777777" w:rsidR="00665F5E" w:rsidRPr="00CC37BA" w:rsidRDefault="00665F5E" w:rsidP="00665F5E">
            <w:pPr>
              <w:jc w:val="center"/>
              <w:rPr>
                <w:rFonts w:cs="Arial"/>
                <w:b/>
                <w:bCs/>
                <w:color w:val="FFFFFF"/>
                <w:sz w:val="18"/>
                <w:szCs w:val="18"/>
                <w:lang w:eastAsia="en-GB"/>
              </w:rPr>
            </w:pPr>
            <w:r w:rsidRPr="00CC37BA">
              <w:rPr>
                <w:rFonts w:cs="Arial"/>
                <w:b/>
                <w:bCs/>
                <w:color w:val="FFFFFF"/>
                <w:sz w:val="18"/>
                <w:szCs w:val="18"/>
                <w:lang w:eastAsia="en-GB"/>
              </w:rPr>
              <w:t>Total Authority Reserves</w:t>
            </w:r>
          </w:p>
        </w:tc>
      </w:tr>
      <w:tr w:rsidR="00665F5E" w:rsidRPr="00CC37BA" w14:paraId="4B1C7C12" w14:textId="77777777" w:rsidTr="00665F5E">
        <w:trPr>
          <w:trHeight w:val="290"/>
        </w:trPr>
        <w:tc>
          <w:tcPr>
            <w:tcW w:w="3681" w:type="dxa"/>
            <w:tcBorders>
              <w:top w:val="single" w:sz="4" w:space="0" w:color="auto"/>
              <w:left w:val="single" w:sz="4" w:space="0" w:color="auto"/>
              <w:bottom w:val="single" w:sz="4" w:space="0" w:color="auto"/>
              <w:right w:val="nil"/>
            </w:tcBorders>
            <w:shd w:val="clear" w:color="000000" w:fill="000000"/>
            <w:noWrap/>
            <w:vAlign w:val="bottom"/>
            <w:hideMark/>
          </w:tcPr>
          <w:p w14:paraId="787C2C33" w14:textId="77777777" w:rsidR="00665F5E" w:rsidRPr="00CC37BA" w:rsidRDefault="00665F5E" w:rsidP="00665F5E">
            <w:pPr>
              <w:rPr>
                <w:rFonts w:cs="Arial"/>
                <w:color w:val="000000"/>
                <w:sz w:val="22"/>
                <w:szCs w:val="22"/>
                <w:lang w:eastAsia="en-GB"/>
              </w:rPr>
            </w:pPr>
            <w:r w:rsidRPr="00CC37BA">
              <w:rPr>
                <w:rFonts w:cs="Arial"/>
                <w:color w:val="000000"/>
                <w:sz w:val="22"/>
                <w:szCs w:val="22"/>
                <w:lang w:eastAsia="en-GB"/>
              </w:rPr>
              <w:t> </w:t>
            </w:r>
          </w:p>
        </w:tc>
        <w:tc>
          <w:tcPr>
            <w:tcW w:w="435" w:type="dxa"/>
            <w:vMerge/>
            <w:tcBorders>
              <w:top w:val="single" w:sz="4" w:space="0" w:color="auto"/>
              <w:left w:val="nil"/>
              <w:bottom w:val="nil"/>
              <w:right w:val="nil"/>
            </w:tcBorders>
            <w:vAlign w:val="center"/>
            <w:hideMark/>
          </w:tcPr>
          <w:p w14:paraId="4EB88BD3" w14:textId="77777777" w:rsidR="00665F5E" w:rsidRPr="00CC37BA" w:rsidRDefault="00665F5E" w:rsidP="00665F5E">
            <w:pPr>
              <w:rPr>
                <w:rFonts w:cs="Arial"/>
                <w:b/>
                <w:bCs/>
                <w:color w:val="FFFFFF"/>
                <w:sz w:val="18"/>
                <w:szCs w:val="18"/>
                <w:lang w:eastAsia="en-GB"/>
              </w:rPr>
            </w:pPr>
          </w:p>
        </w:tc>
        <w:tc>
          <w:tcPr>
            <w:tcW w:w="917" w:type="dxa"/>
            <w:tcBorders>
              <w:top w:val="single" w:sz="4" w:space="0" w:color="auto"/>
              <w:left w:val="single" w:sz="4" w:space="0" w:color="auto"/>
              <w:bottom w:val="nil"/>
              <w:right w:val="single" w:sz="4" w:space="0" w:color="auto"/>
            </w:tcBorders>
            <w:shd w:val="clear" w:color="000000" w:fill="000000"/>
            <w:noWrap/>
            <w:vAlign w:val="bottom"/>
            <w:hideMark/>
          </w:tcPr>
          <w:p w14:paraId="18D8FBB1" w14:textId="77777777" w:rsidR="00665F5E" w:rsidRPr="00CC37BA" w:rsidRDefault="00665F5E" w:rsidP="00665F5E">
            <w:pPr>
              <w:jc w:val="center"/>
              <w:rPr>
                <w:rFonts w:cs="Arial"/>
                <w:b/>
                <w:bCs/>
                <w:color w:val="FFFFFF"/>
                <w:sz w:val="18"/>
                <w:szCs w:val="18"/>
                <w:lang w:eastAsia="en-GB"/>
              </w:rPr>
            </w:pPr>
            <w:r w:rsidRPr="00CC37BA">
              <w:rPr>
                <w:rFonts w:cs="Arial"/>
                <w:b/>
                <w:bCs/>
                <w:color w:val="FFFFFF"/>
                <w:sz w:val="18"/>
                <w:szCs w:val="18"/>
                <w:lang w:eastAsia="en-GB"/>
              </w:rPr>
              <w:t>£0</w:t>
            </w:r>
            <w:r>
              <w:rPr>
                <w:rFonts w:cs="Arial"/>
                <w:b/>
                <w:bCs/>
                <w:color w:val="FFFFFF"/>
                <w:sz w:val="18"/>
                <w:szCs w:val="18"/>
                <w:lang w:eastAsia="en-GB"/>
              </w:rPr>
              <w:t>00</w:t>
            </w:r>
          </w:p>
        </w:tc>
        <w:tc>
          <w:tcPr>
            <w:tcW w:w="967" w:type="dxa"/>
            <w:tcBorders>
              <w:top w:val="single" w:sz="4" w:space="0" w:color="auto"/>
              <w:left w:val="nil"/>
              <w:bottom w:val="nil"/>
              <w:right w:val="nil"/>
            </w:tcBorders>
            <w:shd w:val="clear" w:color="000000" w:fill="000000"/>
            <w:noWrap/>
            <w:vAlign w:val="bottom"/>
            <w:hideMark/>
          </w:tcPr>
          <w:p w14:paraId="573C6734" w14:textId="77777777" w:rsidR="00665F5E" w:rsidRPr="00CC37BA" w:rsidRDefault="00665F5E" w:rsidP="00665F5E">
            <w:pPr>
              <w:jc w:val="center"/>
              <w:rPr>
                <w:rFonts w:cs="Arial"/>
                <w:b/>
                <w:bCs/>
                <w:color w:val="FFFFFF"/>
                <w:sz w:val="18"/>
                <w:szCs w:val="18"/>
                <w:lang w:eastAsia="en-GB"/>
              </w:rPr>
            </w:pPr>
            <w:r w:rsidRPr="00CC37BA">
              <w:rPr>
                <w:rFonts w:cs="Arial"/>
                <w:b/>
                <w:bCs/>
                <w:color w:val="FFFFFF"/>
                <w:sz w:val="18"/>
                <w:szCs w:val="18"/>
                <w:lang w:eastAsia="en-GB"/>
              </w:rPr>
              <w:t>£0</w:t>
            </w:r>
            <w:r>
              <w:rPr>
                <w:rFonts w:cs="Arial"/>
                <w:b/>
                <w:bCs/>
                <w:color w:val="FFFFFF"/>
                <w:sz w:val="18"/>
                <w:szCs w:val="18"/>
                <w:lang w:eastAsia="en-GB"/>
              </w:rPr>
              <w:t>00</w:t>
            </w:r>
          </w:p>
        </w:tc>
        <w:tc>
          <w:tcPr>
            <w:tcW w:w="1087" w:type="dxa"/>
            <w:tcBorders>
              <w:top w:val="single" w:sz="4" w:space="0" w:color="auto"/>
              <w:left w:val="single" w:sz="4" w:space="0" w:color="auto"/>
              <w:bottom w:val="nil"/>
              <w:right w:val="single" w:sz="4" w:space="0" w:color="auto"/>
            </w:tcBorders>
            <w:shd w:val="clear" w:color="000000" w:fill="000000"/>
            <w:noWrap/>
            <w:vAlign w:val="bottom"/>
            <w:hideMark/>
          </w:tcPr>
          <w:p w14:paraId="43500EAE" w14:textId="77777777" w:rsidR="00665F5E" w:rsidRPr="00CC37BA" w:rsidRDefault="00665F5E" w:rsidP="00665F5E">
            <w:pPr>
              <w:jc w:val="center"/>
              <w:rPr>
                <w:rFonts w:cs="Arial"/>
                <w:b/>
                <w:bCs/>
                <w:color w:val="FFFFFF"/>
                <w:sz w:val="18"/>
                <w:szCs w:val="18"/>
                <w:lang w:eastAsia="en-GB"/>
              </w:rPr>
            </w:pPr>
            <w:r w:rsidRPr="00CC37BA">
              <w:rPr>
                <w:rFonts w:cs="Arial"/>
                <w:b/>
                <w:bCs/>
                <w:color w:val="FFFFFF"/>
                <w:sz w:val="18"/>
                <w:szCs w:val="18"/>
                <w:lang w:eastAsia="en-GB"/>
              </w:rPr>
              <w:t>£0</w:t>
            </w:r>
            <w:r>
              <w:rPr>
                <w:rFonts w:cs="Arial"/>
                <w:b/>
                <w:bCs/>
                <w:color w:val="FFFFFF"/>
                <w:sz w:val="18"/>
                <w:szCs w:val="18"/>
                <w:lang w:eastAsia="en-GB"/>
              </w:rPr>
              <w:t>00</w:t>
            </w:r>
          </w:p>
        </w:tc>
        <w:tc>
          <w:tcPr>
            <w:tcW w:w="1017" w:type="dxa"/>
            <w:tcBorders>
              <w:top w:val="single" w:sz="4" w:space="0" w:color="auto"/>
              <w:left w:val="nil"/>
              <w:bottom w:val="nil"/>
              <w:right w:val="nil"/>
            </w:tcBorders>
            <w:shd w:val="clear" w:color="000000" w:fill="000000"/>
            <w:noWrap/>
            <w:vAlign w:val="bottom"/>
            <w:hideMark/>
          </w:tcPr>
          <w:p w14:paraId="71500C6A" w14:textId="77777777" w:rsidR="00665F5E" w:rsidRPr="00CC37BA" w:rsidRDefault="00665F5E" w:rsidP="00665F5E">
            <w:pPr>
              <w:jc w:val="center"/>
              <w:rPr>
                <w:rFonts w:cs="Arial"/>
                <w:b/>
                <w:bCs/>
                <w:color w:val="FFFFFF"/>
                <w:sz w:val="18"/>
                <w:szCs w:val="18"/>
                <w:lang w:eastAsia="en-GB"/>
              </w:rPr>
            </w:pPr>
            <w:r w:rsidRPr="00CC37BA">
              <w:rPr>
                <w:rFonts w:cs="Arial"/>
                <w:b/>
                <w:bCs/>
                <w:color w:val="FFFFFF"/>
                <w:sz w:val="18"/>
                <w:szCs w:val="18"/>
                <w:lang w:eastAsia="en-GB"/>
              </w:rPr>
              <w:t>£0</w:t>
            </w:r>
            <w:r>
              <w:rPr>
                <w:rFonts w:cs="Arial"/>
                <w:b/>
                <w:bCs/>
                <w:color w:val="FFFFFF"/>
                <w:sz w:val="18"/>
                <w:szCs w:val="18"/>
                <w:lang w:eastAsia="en-GB"/>
              </w:rPr>
              <w:t>00</w:t>
            </w:r>
          </w:p>
        </w:tc>
        <w:tc>
          <w:tcPr>
            <w:tcW w:w="1027" w:type="dxa"/>
            <w:tcBorders>
              <w:top w:val="single" w:sz="4" w:space="0" w:color="auto"/>
              <w:left w:val="single" w:sz="4" w:space="0" w:color="auto"/>
              <w:bottom w:val="nil"/>
              <w:right w:val="single" w:sz="4" w:space="0" w:color="auto"/>
            </w:tcBorders>
            <w:shd w:val="clear" w:color="000000" w:fill="000000"/>
            <w:noWrap/>
            <w:vAlign w:val="bottom"/>
            <w:hideMark/>
          </w:tcPr>
          <w:p w14:paraId="26F92B3B" w14:textId="77777777" w:rsidR="00665F5E" w:rsidRPr="00CC37BA" w:rsidRDefault="00665F5E" w:rsidP="00665F5E">
            <w:pPr>
              <w:jc w:val="center"/>
              <w:rPr>
                <w:rFonts w:cs="Arial"/>
                <w:b/>
                <w:bCs/>
                <w:color w:val="FFFFFF"/>
                <w:sz w:val="18"/>
                <w:szCs w:val="18"/>
                <w:lang w:eastAsia="en-GB"/>
              </w:rPr>
            </w:pPr>
            <w:r w:rsidRPr="00CC37BA">
              <w:rPr>
                <w:rFonts w:cs="Arial"/>
                <w:b/>
                <w:bCs/>
                <w:color w:val="FFFFFF"/>
                <w:sz w:val="18"/>
                <w:szCs w:val="18"/>
                <w:lang w:eastAsia="en-GB"/>
              </w:rPr>
              <w:t>£0</w:t>
            </w:r>
            <w:r>
              <w:rPr>
                <w:rFonts w:cs="Arial"/>
                <w:b/>
                <w:bCs/>
                <w:color w:val="FFFFFF"/>
                <w:sz w:val="18"/>
                <w:szCs w:val="18"/>
                <w:lang w:eastAsia="en-GB"/>
              </w:rPr>
              <w:t>00</w:t>
            </w:r>
          </w:p>
        </w:tc>
        <w:tc>
          <w:tcPr>
            <w:tcW w:w="1017" w:type="dxa"/>
            <w:tcBorders>
              <w:top w:val="single" w:sz="4" w:space="0" w:color="auto"/>
              <w:left w:val="nil"/>
              <w:bottom w:val="nil"/>
              <w:right w:val="single" w:sz="4" w:space="0" w:color="auto"/>
            </w:tcBorders>
            <w:shd w:val="clear" w:color="000000" w:fill="000000"/>
            <w:noWrap/>
            <w:vAlign w:val="bottom"/>
            <w:hideMark/>
          </w:tcPr>
          <w:p w14:paraId="3FFC3F7D" w14:textId="77777777" w:rsidR="00665F5E" w:rsidRPr="00CC37BA" w:rsidRDefault="00665F5E" w:rsidP="00665F5E">
            <w:pPr>
              <w:jc w:val="center"/>
              <w:rPr>
                <w:rFonts w:cs="Arial"/>
                <w:b/>
                <w:bCs/>
                <w:color w:val="FFFFFF"/>
                <w:sz w:val="18"/>
                <w:szCs w:val="18"/>
                <w:lang w:eastAsia="en-GB"/>
              </w:rPr>
            </w:pPr>
            <w:r w:rsidRPr="00CC37BA">
              <w:rPr>
                <w:rFonts w:cs="Arial"/>
                <w:b/>
                <w:bCs/>
                <w:color w:val="FFFFFF"/>
                <w:sz w:val="18"/>
                <w:szCs w:val="18"/>
                <w:lang w:eastAsia="en-GB"/>
              </w:rPr>
              <w:t>£0</w:t>
            </w:r>
            <w:r>
              <w:rPr>
                <w:rFonts w:cs="Arial"/>
                <w:b/>
                <w:bCs/>
                <w:color w:val="FFFFFF"/>
                <w:sz w:val="18"/>
                <w:szCs w:val="18"/>
                <w:lang w:eastAsia="en-GB"/>
              </w:rPr>
              <w:t>00</w:t>
            </w:r>
          </w:p>
        </w:tc>
      </w:tr>
      <w:tr w:rsidR="00665F5E" w:rsidRPr="00CC37BA" w14:paraId="01F4C82D" w14:textId="77777777" w:rsidTr="00665F5E">
        <w:trPr>
          <w:trHeight w:val="490"/>
        </w:trPr>
        <w:tc>
          <w:tcPr>
            <w:tcW w:w="3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09A54" w14:textId="77777777" w:rsidR="00665F5E" w:rsidRPr="00CC37BA" w:rsidRDefault="00665F5E" w:rsidP="00665F5E">
            <w:pPr>
              <w:rPr>
                <w:rFonts w:cs="Arial"/>
                <w:b/>
                <w:bCs/>
                <w:sz w:val="20"/>
                <w:szCs w:val="20"/>
                <w:lang w:eastAsia="en-GB"/>
              </w:rPr>
            </w:pPr>
            <w:r w:rsidRPr="00CC37BA">
              <w:rPr>
                <w:rFonts w:cs="Arial"/>
                <w:b/>
                <w:bCs/>
                <w:sz w:val="20"/>
                <w:szCs w:val="20"/>
                <w:lang w:eastAsia="en-GB"/>
              </w:rPr>
              <w:t>Balance at 31 March 2022</w:t>
            </w:r>
          </w:p>
        </w:tc>
        <w:tc>
          <w:tcPr>
            <w:tcW w:w="435" w:type="dxa"/>
            <w:tcBorders>
              <w:top w:val="nil"/>
              <w:left w:val="single" w:sz="4" w:space="0" w:color="auto"/>
              <w:bottom w:val="single" w:sz="4" w:space="0" w:color="auto"/>
              <w:right w:val="nil"/>
            </w:tcBorders>
            <w:shd w:val="clear" w:color="000000" w:fill="FFFFFF"/>
            <w:noWrap/>
            <w:vAlign w:val="center"/>
            <w:hideMark/>
          </w:tcPr>
          <w:p w14:paraId="43BD4F8C" w14:textId="77777777" w:rsidR="00665F5E" w:rsidRPr="00CC37BA" w:rsidRDefault="00665F5E" w:rsidP="00665F5E">
            <w:pPr>
              <w:jc w:val="center"/>
              <w:rPr>
                <w:rFonts w:cs="Arial"/>
                <w:b/>
                <w:bCs/>
                <w:color w:val="000000"/>
                <w:sz w:val="20"/>
                <w:szCs w:val="20"/>
                <w:lang w:eastAsia="en-GB"/>
              </w:rPr>
            </w:pPr>
            <w:r w:rsidRPr="00CC37BA">
              <w:rPr>
                <w:rFonts w:cs="Arial"/>
                <w:b/>
                <w:bCs/>
                <w:color w:val="000000"/>
                <w:sz w:val="20"/>
                <w:szCs w:val="20"/>
                <w:lang w:eastAsia="en-GB"/>
              </w:rPr>
              <w:t> </w:t>
            </w:r>
          </w:p>
        </w:tc>
        <w:tc>
          <w:tcPr>
            <w:tcW w:w="917" w:type="dxa"/>
            <w:tcBorders>
              <w:top w:val="nil"/>
              <w:left w:val="single" w:sz="4" w:space="0" w:color="auto"/>
              <w:bottom w:val="single" w:sz="4" w:space="0" w:color="auto"/>
              <w:right w:val="single" w:sz="4" w:space="0" w:color="auto"/>
            </w:tcBorders>
            <w:shd w:val="clear" w:color="000000" w:fill="FFFFFF"/>
            <w:noWrap/>
            <w:vAlign w:val="center"/>
            <w:hideMark/>
          </w:tcPr>
          <w:p w14:paraId="50A18F31" w14:textId="77777777" w:rsidR="00665F5E" w:rsidRPr="00CC37BA" w:rsidRDefault="00665F5E" w:rsidP="00665F5E">
            <w:pPr>
              <w:jc w:val="right"/>
              <w:rPr>
                <w:rFonts w:cs="Arial"/>
                <w:b/>
                <w:bCs/>
                <w:sz w:val="20"/>
                <w:szCs w:val="20"/>
                <w:lang w:eastAsia="en-GB"/>
              </w:rPr>
            </w:pPr>
            <w:r w:rsidRPr="00CC37BA">
              <w:rPr>
                <w:rFonts w:cs="Arial"/>
                <w:b/>
                <w:bCs/>
                <w:sz w:val="20"/>
                <w:szCs w:val="20"/>
                <w:lang w:eastAsia="en-GB"/>
              </w:rPr>
              <w:t>3,535</w:t>
            </w:r>
          </w:p>
        </w:tc>
        <w:tc>
          <w:tcPr>
            <w:tcW w:w="967" w:type="dxa"/>
            <w:tcBorders>
              <w:top w:val="nil"/>
              <w:left w:val="nil"/>
              <w:bottom w:val="single" w:sz="4" w:space="0" w:color="auto"/>
              <w:right w:val="nil"/>
            </w:tcBorders>
            <w:shd w:val="clear" w:color="000000" w:fill="FFFFFF"/>
            <w:noWrap/>
            <w:vAlign w:val="center"/>
            <w:hideMark/>
          </w:tcPr>
          <w:p w14:paraId="60FF22C4" w14:textId="77777777" w:rsidR="00665F5E" w:rsidRPr="00CC37BA" w:rsidRDefault="00665F5E" w:rsidP="00665F5E">
            <w:pPr>
              <w:jc w:val="right"/>
              <w:rPr>
                <w:rFonts w:cs="Arial"/>
                <w:b/>
                <w:bCs/>
                <w:sz w:val="20"/>
                <w:szCs w:val="20"/>
                <w:lang w:eastAsia="en-GB"/>
              </w:rPr>
            </w:pPr>
            <w:r w:rsidRPr="00CC37BA">
              <w:rPr>
                <w:rFonts w:cs="Arial"/>
                <w:b/>
                <w:bCs/>
                <w:sz w:val="20"/>
                <w:szCs w:val="20"/>
                <w:lang w:eastAsia="en-GB"/>
              </w:rPr>
              <w:t>0</w:t>
            </w:r>
          </w:p>
        </w:tc>
        <w:tc>
          <w:tcPr>
            <w:tcW w:w="1087" w:type="dxa"/>
            <w:tcBorders>
              <w:top w:val="nil"/>
              <w:left w:val="single" w:sz="4" w:space="0" w:color="auto"/>
              <w:bottom w:val="single" w:sz="4" w:space="0" w:color="auto"/>
              <w:right w:val="single" w:sz="4" w:space="0" w:color="auto"/>
            </w:tcBorders>
            <w:shd w:val="clear" w:color="000000" w:fill="FFFFFF"/>
            <w:noWrap/>
            <w:vAlign w:val="center"/>
            <w:hideMark/>
          </w:tcPr>
          <w:p w14:paraId="36E59C7C" w14:textId="77777777" w:rsidR="00665F5E" w:rsidRPr="00CC37BA" w:rsidRDefault="00665F5E" w:rsidP="00665F5E">
            <w:pPr>
              <w:jc w:val="right"/>
              <w:rPr>
                <w:rFonts w:cs="Arial"/>
                <w:b/>
                <w:bCs/>
                <w:sz w:val="20"/>
                <w:szCs w:val="20"/>
                <w:lang w:eastAsia="en-GB"/>
              </w:rPr>
            </w:pPr>
            <w:r w:rsidRPr="00CC37BA">
              <w:rPr>
                <w:rFonts w:cs="Arial"/>
                <w:b/>
                <w:bCs/>
                <w:sz w:val="20"/>
                <w:szCs w:val="20"/>
                <w:lang w:eastAsia="en-GB"/>
              </w:rPr>
              <w:t>283</w:t>
            </w:r>
          </w:p>
        </w:tc>
        <w:tc>
          <w:tcPr>
            <w:tcW w:w="1017" w:type="dxa"/>
            <w:tcBorders>
              <w:top w:val="nil"/>
              <w:left w:val="nil"/>
              <w:bottom w:val="single" w:sz="4" w:space="0" w:color="auto"/>
              <w:right w:val="nil"/>
            </w:tcBorders>
            <w:shd w:val="clear" w:color="000000" w:fill="FFFFFF"/>
            <w:noWrap/>
            <w:vAlign w:val="center"/>
            <w:hideMark/>
          </w:tcPr>
          <w:p w14:paraId="21B10E60" w14:textId="77777777" w:rsidR="00665F5E" w:rsidRPr="00CC37BA" w:rsidRDefault="00665F5E" w:rsidP="00665F5E">
            <w:pPr>
              <w:jc w:val="right"/>
              <w:rPr>
                <w:rFonts w:cs="Arial"/>
                <w:b/>
                <w:bCs/>
                <w:sz w:val="20"/>
                <w:szCs w:val="20"/>
                <w:lang w:eastAsia="en-GB"/>
              </w:rPr>
            </w:pPr>
            <w:r w:rsidRPr="00CC37BA">
              <w:rPr>
                <w:rFonts w:cs="Arial"/>
                <w:b/>
                <w:bCs/>
                <w:sz w:val="20"/>
                <w:szCs w:val="20"/>
                <w:lang w:eastAsia="en-GB"/>
              </w:rPr>
              <w:t>3,818</w:t>
            </w:r>
          </w:p>
        </w:tc>
        <w:tc>
          <w:tcPr>
            <w:tcW w:w="1027" w:type="dxa"/>
            <w:tcBorders>
              <w:top w:val="nil"/>
              <w:left w:val="single" w:sz="4" w:space="0" w:color="auto"/>
              <w:bottom w:val="single" w:sz="4" w:space="0" w:color="auto"/>
              <w:right w:val="single" w:sz="4" w:space="0" w:color="auto"/>
            </w:tcBorders>
            <w:shd w:val="clear" w:color="000000" w:fill="FFFFFF"/>
            <w:noWrap/>
            <w:vAlign w:val="center"/>
            <w:hideMark/>
          </w:tcPr>
          <w:p w14:paraId="20813DBD" w14:textId="77777777" w:rsidR="00665F5E" w:rsidRPr="00CC37BA" w:rsidRDefault="00665F5E" w:rsidP="00665F5E">
            <w:pPr>
              <w:jc w:val="right"/>
              <w:rPr>
                <w:rFonts w:cs="Arial"/>
                <w:b/>
                <w:bCs/>
                <w:sz w:val="20"/>
                <w:szCs w:val="20"/>
                <w:lang w:eastAsia="en-GB"/>
              </w:rPr>
            </w:pPr>
            <w:r w:rsidRPr="00CC37BA">
              <w:rPr>
                <w:rFonts w:cs="Arial"/>
                <w:b/>
                <w:bCs/>
                <w:sz w:val="20"/>
                <w:szCs w:val="20"/>
                <w:lang w:eastAsia="en-GB"/>
              </w:rPr>
              <w:t>17,513</w:t>
            </w:r>
          </w:p>
        </w:tc>
        <w:tc>
          <w:tcPr>
            <w:tcW w:w="1017" w:type="dxa"/>
            <w:tcBorders>
              <w:top w:val="nil"/>
              <w:left w:val="nil"/>
              <w:bottom w:val="single" w:sz="4" w:space="0" w:color="auto"/>
              <w:right w:val="single" w:sz="4" w:space="0" w:color="auto"/>
            </w:tcBorders>
            <w:shd w:val="clear" w:color="000000" w:fill="FFFFFF"/>
            <w:noWrap/>
            <w:vAlign w:val="center"/>
            <w:hideMark/>
          </w:tcPr>
          <w:p w14:paraId="192A2C5E" w14:textId="77777777" w:rsidR="00665F5E" w:rsidRPr="00CC37BA" w:rsidRDefault="00665F5E" w:rsidP="00665F5E">
            <w:pPr>
              <w:jc w:val="right"/>
              <w:rPr>
                <w:rFonts w:cs="Arial"/>
                <w:b/>
                <w:bCs/>
                <w:sz w:val="20"/>
                <w:szCs w:val="20"/>
                <w:lang w:eastAsia="en-GB"/>
              </w:rPr>
            </w:pPr>
            <w:r w:rsidRPr="00CC37BA">
              <w:rPr>
                <w:rFonts w:cs="Arial"/>
                <w:b/>
                <w:bCs/>
                <w:sz w:val="20"/>
                <w:szCs w:val="20"/>
                <w:lang w:eastAsia="en-GB"/>
              </w:rPr>
              <w:t>21,331</w:t>
            </w:r>
          </w:p>
        </w:tc>
      </w:tr>
      <w:tr w:rsidR="00665F5E" w:rsidRPr="00CC37BA" w14:paraId="2AED6B62" w14:textId="77777777" w:rsidTr="00665F5E">
        <w:trPr>
          <w:trHeight w:val="490"/>
        </w:trPr>
        <w:tc>
          <w:tcPr>
            <w:tcW w:w="3681" w:type="dxa"/>
            <w:tcBorders>
              <w:top w:val="nil"/>
              <w:left w:val="single" w:sz="4" w:space="0" w:color="auto"/>
              <w:bottom w:val="nil"/>
              <w:right w:val="single" w:sz="4" w:space="0" w:color="auto"/>
            </w:tcBorders>
            <w:shd w:val="clear" w:color="auto" w:fill="auto"/>
            <w:noWrap/>
            <w:vAlign w:val="center"/>
            <w:hideMark/>
          </w:tcPr>
          <w:p w14:paraId="26B01867" w14:textId="77777777" w:rsidR="00665F5E" w:rsidRPr="00CC37BA" w:rsidRDefault="00665F5E" w:rsidP="00665F5E">
            <w:pPr>
              <w:rPr>
                <w:rFonts w:cs="Arial"/>
                <w:color w:val="000000"/>
                <w:sz w:val="20"/>
                <w:szCs w:val="20"/>
                <w:lang w:eastAsia="en-GB"/>
              </w:rPr>
            </w:pPr>
            <w:r w:rsidRPr="00CC37BA">
              <w:rPr>
                <w:rFonts w:cs="Arial"/>
                <w:color w:val="000000"/>
                <w:sz w:val="20"/>
                <w:szCs w:val="20"/>
                <w:lang w:eastAsia="en-GB"/>
              </w:rPr>
              <w:t>Movement in reserves during 2022/23</w:t>
            </w:r>
          </w:p>
        </w:tc>
        <w:tc>
          <w:tcPr>
            <w:tcW w:w="435" w:type="dxa"/>
            <w:tcBorders>
              <w:top w:val="nil"/>
              <w:left w:val="single" w:sz="4" w:space="0" w:color="auto"/>
              <w:bottom w:val="nil"/>
              <w:right w:val="nil"/>
            </w:tcBorders>
            <w:shd w:val="clear" w:color="auto" w:fill="auto"/>
            <w:noWrap/>
            <w:vAlign w:val="center"/>
            <w:hideMark/>
          </w:tcPr>
          <w:p w14:paraId="4CA4E7C9" w14:textId="77777777" w:rsidR="00665F5E" w:rsidRPr="00CC37BA" w:rsidRDefault="00665F5E" w:rsidP="00665F5E">
            <w:pPr>
              <w:rPr>
                <w:rFonts w:cs="Arial"/>
                <w:color w:val="000000"/>
                <w:sz w:val="20"/>
                <w:szCs w:val="20"/>
                <w:lang w:eastAsia="en-GB"/>
              </w:rPr>
            </w:pPr>
          </w:p>
        </w:tc>
        <w:tc>
          <w:tcPr>
            <w:tcW w:w="917" w:type="dxa"/>
            <w:tcBorders>
              <w:top w:val="nil"/>
              <w:left w:val="single" w:sz="4" w:space="0" w:color="auto"/>
              <w:bottom w:val="nil"/>
              <w:right w:val="single" w:sz="4" w:space="0" w:color="auto"/>
            </w:tcBorders>
            <w:shd w:val="clear" w:color="auto" w:fill="auto"/>
            <w:noWrap/>
            <w:vAlign w:val="center"/>
            <w:hideMark/>
          </w:tcPr>
          <w:p w14:paraId="6D5CD59F" w14:textId="77777777" w:rsidR="00665F5E" w:rsidRPr="00CC37BA" w:rsidRDefault="00665F5E" w:rsidP="00665F5E">
            <w:pPr>
              <w:rPr>
                <w:rFonts w:cs="Arial"/>
                <w:color w:val="000000"/>
                <w:sz w:val="20"/>
                <w:szCs w:val="20"/>
                <w:lang w:eastAsia="en-GB"/>
              </w:rPr>
            </w:pPr>
            <w:r w:rsidRPr="00CC37BA">
              <w:rPr>
                <w:rFonts w:cs="Arial"/>
                <w:color w:val="000000"/>
                <w:sz w:val="20"/>
                <w:szCs w:val="20"/>
                <w:lang w:eastAsia="en-GB"/>
              </w:rPr>
              <w:t> </w:t>
            </w:r>
          </w:p>
        </w:tc>
        <w:tc>
          <w:tcPr>
            <w:tcW w:w="967" w:type="dxa"/>
            <w:tcBorders>
              <w:top w:val="nil"/>
              <w:left w:val="nil"/>
              <w:bottom w:val="nil"/>
              <w:right w:val="nil"/>
            </w:tcBorders>
            <w:shd w:val="clear" w:color="auto" w:fill="auto"/>
            <w:noWrap/>
            <w:vAlign w:val="center"/>
            <w:hideMark/>
          </w:tcPr>
          <w:p w14:paraId="1D7C192B" w14:textId="77777777" w:rsidR="00665F5E" w:rsidRPr="00CC37BA" w:rsidRDefault="00665F5E" w:rsidP="00665F5E">
            <w:pPr>
              <w:rPr>
                <w:rFonts w:cs="Arial"/>
                <w:color w:val="000000"/>
                <w:sz w:val="20"/>
                <w:szCs w:val="20"/>
                <w:lang w:eastAsia="en-GB"/>
              </w:rPr>
            </w:pPr>
          </w:p>
        </w:tc>
        <w:tc>
          <w:tcPr>
            <w:tcW w:w="1087" w:type="dxa"/>
            <w:tcBorders>
              <w:top w:val="nil"/>
              <w:left w:val="single" w:sz="4" w:space="0" w:color="auto"/>
              <w:bottom w:val="nil"/>
              <w:right w:val="single" w:sz="4" w:space="0" w:color="auto"/>
            </w:tcBorders>
            <w:shd w:val="clear" w:color="auto" w:fill="auto"/>
            <w:noWrap/>
            <w:vAlign w:val="center"/>
            <w:hideMark/>
          </w:tcPr>
          <w:p w14:paraId="3CDE4962" w14:textId="77777777" w:rsidR="00665F5E" w:rsidRPr="00CC37BA" w:rsidRDefault="00665F5E" w:rsidP="00665F5E">
            <w:pPr>
              <w:rPr>
                <w:rFonts w:cs="Arial"/>
                <w:color w:val="000000"/>
                <w:sz w:val="20"/>
                <w:szCs w:val="20"/>
                <w:lang w:eastAsia="en-GB"/>
              </w:rPr>
            </w:pPr>
            <w:r w:rsidRPr="00CC37BA">
              <w:rPr>
                <w:rFonts w:cs="Arial"/>
                <w:color w:val="000000"/>
                <w:sz w:val="20"/>
                <w:szCs w:val="20"/>
                <w:lang w:eastAsia="en-GB"/>
              </w:rPr>
              <w:t> </w:t>
            </w:r>
          </w:p>
        </w:tc>
        <w:tc>
          <w:tcPr>
            <w:tcW w:w="1017" w:type="dxa"/>
            <w:tcBorders>
              <w:top w:val="nil"/>
              <w:left w:val="nil"/>
              <w:bottom w:val="nil"/>
              <w:right w:val="nil"/>
            </w:tcBorders>
            <w:shd w:val="clear" w:color="auto" w:fill="auto"/>
            <w:noWrap/>
            <w:vAlign w:val="center"/>
            <w:hideMark/>
          </w:tcPr>
          <w:p w14:paraId="36B2085F" w14:textId="77777777" w:rsidR="00665F5E" w:rsidRPr="00CC37BA" w:rsidRDefault="00665F5E" w:rsidP="00665F5E">
            <w:pPr>
              <w:rPr>
                <w:rFonts w:cs="Arial"/>
                <w:color w:val="000000"/>
                <w:sz w:val="20"/>
                <w:szCs w:val="20"/>
                <w:lang w:eastAsia="en-GB"/>
              </w:rPr>
            </w:pPr>
          </w:p>
        </w:tc>
        <w:tc>
          <w:tcPr>
            <w:tcW w:w="1027" w:type="dxa"/>
            <w:tcBorders>
              <w:top w:val="nil"/>
              <w:left w:val="single" w:sz="4" w:space="0" w:color="auto"/>
              <w:bottom w:val="nil"/>
              <w:right w:val="single" w:sz="4" w:space="0" w:color="auto"/>
            </w:tcBorders>
            <w:shd w:val="clear" w:color="auto" w:fill="auto"/>
            <w:noWrap/>
            <w:vAlign w:val="center"/>
            <w:hideMark/>
          </w:tcPr>
          <w:p w14:paraId="66F80132" w14:textId="77777777" w:rsidR="00665F5E" w:rsidRPr="00CC37BA" w:rsidRDefault="00665F5E" w:rsidP="00665F5E">
            <w:pPr>
              <w:rPr>
                <w:rFonts w:cs="Arial"/>
                <w:color w:val="000000"/>
                <w:sz w:val="20"/>
                <w:szCs w:val="20"/>
                <w:lang w:eastAsia="en-GB"/>
              </w:rPr>
            </w:pPr>
            <w:r w:rsidRPr="00CC37BA">
              <w:rPr>
                <w:rFonts w:cs="Arial"/>
                <w:color w:val="000000"/>
                <w:sz w:val="20"/>
                <w:szCs w:val="20"/>
                <w:lang w:eastAsia="en-GB"/>
              </w:rPr>
              <w:t> </w:t>
            </w:r>
          </w:p>
        </w:tc>
        <w:tc>
          <w:tcPr>
            <w:tcW w:w="1017" w:type="dxa"/>
            <w:tcBorders>
              <w:top w:val="nil"/>
              <w:left w:val="nil"/>
              <w:bottom w:val="nil"/>
              <w:right w:val="single" w:sz="4" w:space="0" w:color="auto"/>
            </w:tcBorders>
            <w:shd w:val="clear" w:color="auto" w:fill="auto"/>
            <w:noWrap/>
            <w:vAlign w:val="center"/>
            <w:hideMark/>
          </w:tcPr>
          <w:p w14:paraId="5352CF74" w14:textId="77777777" w:rsidR="00665F5E" w:rsidRPr="00CC37BA" w:rsidRDefault="00665F5E" w:rsidP="00665F5E">
            <w:pPr>
              <w:rPr>
                <w:rFonts w:cs="Arial"/>
                <w:b/>
                <w:bCs/>
                <w:color w:val="000000"/>
                <w:sz w:val="20"/>
                <w:szCs w:val="20"/>
                <w:lang w:eastAsia="en-GB"/>
              </w:rPr>
            </w:pPr>
            <w:r w:rsidRPr="00CC37BA">
              <w:rPr>
                <w:rFonts w:cs="Arial"/>
                <w:b/>
                <w:bCs/>
                <w:color w:val="000000"/>
                <w:sz w:val="20"/>
                <w:szCs w:val="20"/>
                <w:lang w:eastAsia="en-GB"/>
              </w:rPr>
              <w:t> </w:t>
            </w:r>
          </w:p>
        </w:tc>
      </w:tr>
      <w:tr w:rsidR="00665F5E" w:rsidRPr="00CC37BA" w14:paraId="2066CA5A" w14:textId="77777777" w:rsidTr="00665F5E">
        <w:trPr>
          <w:trHeight w:val="490"/>
        </w:trPr>
        <w:tc>
          <w:tcPr>
            <w:tcW w:w="3681" w:type="dxa"/>
            <w:tcBorders>
              <w:top w:val="nil"/>
              <w:left w:val="single" w:sz="4" w:space="0" w:color="auto"/>
              <w:bottom w:val="nil"/>
              <w:right w:val="single" w:sz="4" w:space="0" w:color="auto"/>
            </w:tcBorders>
            <w:shd w:val="clear" w:color="auto" w:fill="auto"/>
            <w:noWrap/>
            <w:vAlign w:val="center"/>
            <w:hideMark/>
          </w:tcPr>
          <w:p w14:paraId="713D6B0F" w14:textId="77777777" w:rsidR="00665F5E" w:rsidRPr="00CC37BA" w:rsidRDefault="00665F5E" w:rsidP="00665F5E">
            <w:pPr>
              <w:rPr>
                <w:rFonts w:cs="Arial"/>
                <w:color w:val="000000"/>
                <w:sz w:val="20"/>
                <w:szCs w:val="20"/>
                <w:lang w:eastAsia="en-GB"/>
              </w:rPr>
            </w:pPr>
            <w:r w:rsidRPr="00CC37BA">
              <w:rPr>
                <w:rFonts w:cs="Arial"/>
                <w:color w:val="000000"/>
                <w:sz w:val="20"/>
                <w:szCs w:val="20"/>
                <w:lang w:eastAsia="en-GB"/>
              </w:rPr>
              <w:t>Total Comprehensive Income and Expenditure</w:t>
            </w:r>
          </w:p>
        </w:tc>
        <w:tc>
          <w:tcPr>
            <w:tcW w:w="435" w:type="dxa"/>
            <w:tcBorders>
              <w:top w:val="nil"/>
              <w:left w:val="single" w:sz="4" w:space="0" w:color="auto"/>
              <w:bottom w:val="nil"/>
              <w:right w:val="nil"/>
            </w:tcBorders>
            <w:shd w:val="clear" w:color="auto" w:fill="auto"/>
            <w:noWrap/>
            <w:vAlign w:val="center"/>
            <w:hideMark/>
          </w:tcPr>
          <w:p w14:paraId="5C412432" w14:textId="77777777" w:rsidR="00665F5E" w:rsidRPr="00CC37BA" w:rsidRDefault="00665F5E" w:rsidP="00665F5E">
            <w:pPr>
              <w:rPr>
                <w:rFonts w:cs="Arial"/>
                <w:color w:val="000000"/>
                <w:sz w:val="20"/>
                <w:szCs w:val="20"/>
                <w:lang w:eastAsia="en-GB"/>
              </w:rPr>
            </w:pPr>
          </w:p>
        </w:tc>
        <w:tc>
          <w:tcPr>
            <w:tcW w:w="917" w:type="dxa"/>
            <w:tcBorders>
              <w:top w:val="nil"/>
              <w:left w:val="single" w:sz="4" w:space="0" w:color="auto"/>
              <w:bottom w:val="nil"/>
              <w:right w:val="single" w:sz="4" w:space="0" w:color="auto"/>
            </w:tcBorders>
            <w:shd w:val="clear" w:color="auto" w:fill="auto"/>
            <w:noWrap/>
            <w:vAlign w:val="center"/>
            <w:hideMark/>
          </w:tcPr>
          <w:p w14:paraId="4A1674D8" w14:textId="77777777" w:rsidR="00665F5E" w:rsidRPr="00CC37BA" w:rsidRDefault="00665F5E" w:rsidP="00665F5E">
            <w:pPr>
              <w:jc w:val="right"/>
              <w:rPr>
                <w:rFonts w:cs="Arial"/>
                <w:color w:val="000000"/>
                <w:sz w:val="20"/>
                <w:szCs w:val="20"/>
                <w:lang w:eastAsia="en-GB"/>
              </w:rPr>
            </w:pPr>
            <w:r>
              <w:rPr>
                <w:rFonts w:cs="Arial"/>
                <w:color w:val="000000"/>
                <w:sz w:val="20"/>
                <w:szCs w:val="20"/>
                <w:lang w:eastAsia="en-GB"/>
              </w:rPr>
              <w:t>(</w:t>
            </w:r>
            <w:r w:rsidRPr="00CC37BA">
              <w:rPr>
                <w:rFonts w:cs="Arial"/>
                <w:color w:val="000000"/>
                <w:sz w:val="20"/>
                <w:szCs w:val="20"/>
                <w:lang w:eastAsia="en-GB"/>
              </w:rPr>
              <w:t>2,</w:t>
            </w:r>
            <w:r>
              <w:rPr>
                <w:rFonts w:cs="Arial"/>
                <w:color w:val="000000"/>
                <w:sz w:val="20"/>
                <w:szCs w:val="20"/>
                <w:lang w:eastAsia="en-GB"/>
              </w:rPr>
              <w:t>459)</w:t>
            </w:r>
          </w:p>
        </w:tc>
        <w:tc>
          <w:tcPr>
            <w:tcW w:w="967" w:type="dxa"/>
            <w:tcBorders>
              <w:top w:val="nil"/>
              <w:left w:val="nil"/>
              <w:bottom w:val="nil"/>
              <w:right w:val="nil"/>
            </w:tcBorders>
            <w:shd w:val="clear" w:color="auto" w:fill="auto"/>
            <w:noWrap/>
            <w:vAlign w:val="center"/>
            <w:hideMark/>
          </w:tcPr>
          <w:p w14:paraId="5A8D64C6" w14:textId="77777777" w:rsidR="00665F5E" w:rsidRPr="00CC37BA" w:rsidRDefault="00665F5E" w:rsidP="00665F5E">
            <w:pPr>
              <w:jc w:val="right"/>
              <w:rPr>
                <w:rFonts w:cs="Arial"/>
                <w:color w:val="000000"/>
                <w:sz w:val="20"/>
                <w:szCs w:val="20"/>
                <w:lang w:eastAsia="en-GB"/>
              </w:rPr>
            </w:pPr>
          </w:p>
        </w:tc>
        <w:tc>
          <w:tcPr>
            <w:tcW w:w="1087" w:type="dxa"/>
            <w:tcBorders>
              <w:top w:val="nil"/>
              <w:left w:val="single" w:sz="4" w:space="0" w:color="auto"/>
              <w:bottom w:val="nil"/>
              <w:right w:val="single" w:sz="4" w:space="0" w:color="auto"/>
            </w:tcBorders>
            <w:shd w:val="clear" w:color="auto" w:fill="auto"/>
            <w:noWrap/>
            <w:vAlign w:val="center"/>
            <w:hideMark/>
          </w:tcPr>
          <w:p w14:paraId="7D5FE5C1" w14:textId="77777777" w:rsidR="00665F5E" w:rsidRPr="00CC37BA" w:rsidRDefault="00665F5E" w:rsidP="00665F5E">
            <w:pPr>
              <w:rPr>
                <w:rFonts w:cs="Arial"/>
                <w:color w:val="000000"/>
                <w:sz w:val="20"/>
                <w:szCs w:val="20"/>
                <w:lang w:eastAsia="en-GB"/>
              </w:rPr>
            </w:pPr>
            <w:r w:rsidRPr="00CC37BA">
              <w:rPr>
                <w:rFonts w:cs="Arial"/>
                <w:color w:val="000000"/>
                <w:sz w:val="20"/>
                <w:szCs w:val="20"/>
                <w:lang w:eastAsia="en-GB"/>
              </w:rPr>
              <w:t> </w:t>
            </w:r>
          </w:p>
        </w:tc>
        <w:tc>
          <w:tcPr>
            <w:tcW w:w="1017" w:type="dxa"/>
            <w:tcBorders>
              <w:top w:val="nil"/>
              <w:left w:val="nil"/>
              <w:bottom w:val="nil"/>
              <w:right w:val="nil"/>
            </w:tcBorders>
            <w:shd w:val="clear" w:color="000000" w:fill="FFFFFF"/>
            <w:noWrap/>
            <w:vAlign w:val="center"/>
            <w:hideMark/>
          </w:tcPr>
          <w:p w14:paraId="62FE178B" w14:textId="77777777" w:rsidR="00665F5E" w:rsidRPr="00CC37BA" w:rsidRDefault="00665F5E" w:rsidP="00665F5E">
            <w:pPr>
              <w:jc w:val="right"/>
              <w:rPr>
                <w:rFonts w:cs="Arial"/>
                <w:b/>
                <w:bCs/>
                <w:sz w:val="20"/>
                <w:szCs w:val="20"/>
                <w:lang w:eastAsia="en-GB"/>
              </w:rPr>
            </w:pPr>
            <w:r>
              <w:rPr>
                <w:rFonts w:cs="Arial"/>
                <w:b/>
                <w:bCs/>
                <w:sz w:val="20"/>
                <w:szCs w:val="20"/>
                <w:lang w:eastAsia="en-GB"/>
              </w:rPr>
              <w:t>(</w:t>
            </w:r>
            <w:r w:rsidRPr="00CC37BA">
              <w:rPr>
                <w:rFonts w:cs="Arial"/>
                <w:b/>
                <w:bCs/>
                <w:sz w:val="20"/>
                <w:szCs w:val="20"/>
                <w:lang w:eastAsia="en-GB"/>
              </w:rPr>
              <w:t>2,</w:t>
            </w:r>
            <w:r>
              <w:rPr>
                <w:rFonts w:cs="Arial"/>
                <w:b/>
                <w:bCs/>
                <w:sz w:val="20"/>
                <w:szCs w:val="20"/>
                <w:lang w:eastAsia="en-GB"/>
              </w:rPr>
              <w:t>459)</w:t>
            </w:r>
          </w:p>
        </w:tc>
        <w:tc>
          <w:tcPr>
            <w:tcW w:w="1027" w:type="dxa"/>
            <w:tcBorders>
              <w:top w:val="nil"/>
              <w:left w:val="single" w:sz="4" w:space="0" w:color="auto"/>
              <w:bottom w:val="nil"/>
              <w:right w:val="single" w:sz="4" w:space="0" w:color="auto"/>
            </w:tcBorders>
            <w:shd w:val="clear" w:color="auto" w:fill="auto"/>
            <w:noWrap/>
            <w:vAlign w:val="center"/>
            <w:hideMark/>
          </w:tcPr>
          <w:p w14:paraId="48DA2835" w14:textId="77777777" w:rsidR="00665F5E" w:rsidRPr="00CC37BA" w:rsidRDefault="00665F5E" w:rsidP="00665F5E">
            <w:pPr>
              <w:jc w:val="right"/>
              <w:rPr>
                <w:rFonts w:cs="Arial"/>
                <w:color w:val="000000"/>
                <w:sz w:val="20"/>
                <w:szCs w:val="20"/>
                <w:lang w:eastAsia="en-GB"/>
              </w:rPr>
            </w:pPr>
            <w:r>
              <w:rPr>
                <w:rFonts w:cs="Arial"/>
                <w:color w:val="000000"/>
                <w:sz w:val="20"/>
                <w:szCs w:val="20"/>
                <w:lang w:eastAsia="en-GB"/>
              </w:rPr>
              <w:t>20,288</w:t>
            </w:r>
          </w:p>
        </w:tc>
        <w:tc>
          <w:tcPr>
            <w:tcW w:w="1017" w:type="dxa"/>
            <w:tcBorders>
              <w:top w:val="nil"/>
              <w:left w:val="nil"/>
              <w:bottom w:val="nil"/>
              <w:right w:val="single" w:sz="4" w:space="0" w:color="auto"/>
            </w:tcBorders>
            <w:shd w:val="clear" w:color="000000" w:fill="FFFFFF"/>
            <w:noWrap/>
            <w:vAlign w:val="center"/>
            <w:hideMark/>
          </w:tcPr>
          <w:p w14:paraId="744544A1" w14:textId="77777777" w:rsidR="00665F5E" w:rsidRPr="00CC37BA" w:rsidRDefault="00665F5E" w:rsidP="00665F5E">
            <w:pPr>
              <w:jc w:val="right"/>
              <w:rPr>
                <w:rFonts w:cs="Arial"/>
                <w:b/>
                <w:bCs/>
                <w:sz w:val="20"/>
                <w:szCs w:val="20"/>
                <w:lang w:eastAsia="en-GB"/>
              </w:rPr>
            </w:pPr>
            <w:r>
              <w:rPr>
                <w:rFonts w:cs="Arial"/>
                <w:b/>
                <w:bCs/>
                <w:sz w:val="20"/>
                <w:szCs w:val="20"/>
                <w:lang w:eastAsia="en-GB"/>
              </w:rPr>
              <w:t>17,829</w:t>
            </w:r>
          </w:p>
        </w:tc>
      </w:tr>
      <w:tr w:rsidR="00665F5E" w:rsidRPr="00CC37BA" w14:paraId="67254392" w14:textId="77777777" w:rsidTr="00665F5E">
        <w:trPr>
          <w:trHeight w:val="490"/>
        </w:trPr>
        <w:tc>
          <w:tcPr>
            <w:tcW w:w="3681" w:type="dxa"/>
            <w:tcBorders>
              <w:top w:val="nil"/>
              <w:left w:val="single" w:sz="4" w:space="0" w:color="auto"/>
              <w:bottom w:val="nil"/>
              <w:right w:val="single" w:sz="4" w:space="0" w:color="auto"/>
            </w:tcBorders>
            <w:shd w:val="clear" w:color="auto" w:fill="auto"/>
            <w:noWrap/>
            <w:vAlign w:val="center"/>
            <w:hideMark/>
          </w:tcPr>
          <w:p w14:paraId="226DADE6" w14:textId="77777777" w:rsidR="00665F5E" w:rsidRPr="00CC37BA" w:rsidRDefault="00665F5E" w:rsidP="00665F5E">
            <w:pPr>
              <w:rPr>
                <w:rFonts w:cs="Arial"/>
                <w:color w:val="000000"/>
                <w:sz w:val="20"/>
                <w:szCs w:val="20"/>
                <w:lang w:eastAsia="en-GB"/>
              </w:rPr>
            </w:pPr>
            <w:r w:rsidRPr="00CC37BA">
              <w:rPr>
                <w:rFonts w:cs="Arial"/>
                <w:color w:val="000000"/>
                <w:sz w:val="20"/>
                <w:szCs w:val="20"/>
                <w:lang w:eastAsia="en-GB"/>
              </w:rPr>
              <w:t>Adjustments between accounting basis and funding basis under regulations</w:t>
            </w:r>
          </w:p>
        </w:tc>
        <w:tc>
          <w:tcPr>
            <w:tcW w:w="435" w:type="dxa"/>
            <w:tcBorders>
              <w:top w:val="nil"/>
              <w:left w:val="single" w:sz="4" w:space="0" w:color="auto"/>
              <w:bottom w:val="nil"/>
              <w:right w:val="nil"/>
            </w:tcBorders>
            <w:shd w:val="clear" w:color="auto" w:fill="auto"/>
            <w:noWrap/>
            <w:vAlign w:val="center"/>
            <w:hideMark/>
          </w:tcPr>
          <w:p w14:paraId="64B503CE" w14:textId="77777777" w:rsidR="00665F5E" w:rsidRPr="00CC37BA" w:rsidRDefault="00665F5E" w:rsidP="00665F5E">
            <w:pPr>
              <w:jc w:val="center"/>
              <w:rPr>
                <w:rFonts w:cs="Arial"/>
                <w:color w:val="000000"/>
                <w:sz w:val="20"/>
                <w:szCs w:val="20"/>
                <w:lang w:eastAsia="en-GB"/>
              </w:rPr>
            </w:pPr>
            <w:r w:rsidRPr="00CC37BA">
              <w:rPr>
                <w:rFonts w:cs="Arial"/>
                <w:color w:val="000000"/>
                <w:sz w:val="20"/>
                <w:szCs w:val="20"/>
                <w:lang w:eastAsia="en-GB"/>
              </w:rPr>
              <w:t>9</w:t>
            </w:r>
          </w:p>
        </w:tc>
        <w:tc>
          <w:tcPr>
            <w:tcW w:w="917" w:type="dxa"/>
            <w:tcBorders>
              <w:top w:val="nil"/>
              <w:left w:val="single" w:sz="4" w:space="0" w:color="auto"/>
              <w:bottom w:val="nil"/>
              <w:right w:val="single" w:sz="4" w:space="0" w:color="auto"/>
            </w:tcBorders>
            <w:shd w:val="clear" w:color="auto" w:fill="auto"/>
            <w:noWrap/>
            <w:vAlign w:val="center"/>
            <w:hideMark/>
          </w:tcPr>
          <w:p w14:paraId="0F5FD8F8" w14:textId="77777777" w:rsidR="00665F5E" w:rsidRPr="00CC37BA" w:rsidRDefault="00665F5E" w:rsidP="00665F5E">
            <w:pPr>
              <w:jc w:val="right"/>
              <w:rPr>
                <w:rFonts w:cs="Arial"/>
                <w:color w:val="000000"/>
                <w:sz w:val="20"/>
                <w:szCs w:val="20"/>
                <w:lang w:eastAsia="en-GB"/>
              </w:rPr>
            </w:pPr>
            <w:r w:rsidRPr="00CC37BA">
              <w:rPr>
                <w:rFonts w:cs="Arial"/>
                <w:color w:val="000000"/>
                <w:sz w:val="20"/>
                <w:szCs w:val="20"/>
                <w:lang w:eastAsia="en-GB"/>
              </w:rPr>
              <w:t>2,</w:t>
            </w:r>
            <w:r>
              <w:rPr>
                <w:rFonts w:cs="Arial"/>
                <w:color w:val="000000"/>
                <w:sz w:val="20"/>
                <w:szCs w:val="20"/>
                <w:lang w:eastAsia="en-GB"/>
              </w:rPr>
              <w:t>335</w:t>
            </w:r>
          </w:p>
        </w:tc>
        <w:tc>
          <w:tcPr>
            <w:tcW w:w="967" w:type="dxa"/>
            <w:tcBorders>
              <w:top w:val="nil"/>
              <w:left w:val="nil"/>
              <w:bottom w:val="nil"/>
              <w:right w:val="nil"/>
            </w:tcBorders>
            <w:shd w:val="clear" w:color="auto" w:fill="auto"/>
            <w:noWrap/>
            <w:vAlign w:val="center"/>
            <w:hideMark/>
          </w:tcPr>
          <w:p w14:paraId="6B13617B" w14:textId="77777777" w:rsidR="00665F5E" w:rsidRPr="00CC37BA" w:rsidRDefault="00665F5E" w:rsidP="00665F5E">
            <w:pPr>
              <w:jc w:val="right"/>
              <w:rPr>
                <w:rFonts w:cs="Arial"/>
                <w:color w:val="000000"/>
                <w:sz w:val="20"/>
                <w:szCs w:val="20"/>
                <w:lang w:eastAsia="en-GB"/>
              </w:rPr>
            </w:pPr>
            <w:r w:rsidRPr="00CC37BA">
              <w:rPr>
                <w:rFonts w:cs="Arial"/>
                <w:color w:val="000000"/>
                <w:sz w:val="20"/>
                <w:szCs w:val="20"/>
                <w:lang w:eastAsia="en-GB"/>
              </w:rPr>
              <w:t>1,275</w:t>
            </w:r>
          </w:p>
        </w:tc>
        <w:tc>
          <w:tcPr>
            <w:tcW w:w="1087" w:type="dxa"/>
            <w:tcBorders>
              <w:top w:val="nil"/>
              <w:left w:val="single" w:sz="4" w:space="0" w:color="auto"/>
              <w:bottom w:val="nil"/>
              <w:right w:val="single" w:sz="4" w:space="0" w:color="auto"/>
            </w:tcBorders>
            <w:shd w:val="clear" w:color="auto" w:fill="auto"/>
            <w:noWrap/>
            <w:vAlign w:val="center"/>
            <w:hideMark/>
          </w:tcPr>
          <w:p w14:paraId="618F9F25" w14:textId="77777777" w:rsidR="00665F5E" w:rsidRPr="00CC37BA" w:rsidRDefault="00665F5E" w:rsidP="00665F5E">
            <w:pPr>
              <w:jc w:val="right"/>
              <w:rPr>
                <w:rFonts w:cs="Arial"/>
                <w:color w:val="000000"/>
                <w:sz w:val="20"/>
                <w:szCs w:val="20"/>
                <w:lang w:eastAsia="en-GB"/>
              </w:rPr>
            </w:pPr>
            <w:r>
              <w:rPr>
                <w:rFonts w:cs="Arial"/>
                <w:color w:val="000000"/>
                <w:sz w:val="20"/>
                <w:szCs w:val="20"/>
                <w:lang w:eastAsia="en-GB"/>
              </w:rPr>
              <w:t>(</w:t>
            </w:r>
            <w:r w:rsidRPr="00CC37BA">
              <w:rPr>
                <w:rFonts w:cs="Arial"/>
                <w:color w:val="000000"/>
                <w:sz w:val="20"/>
                <w:szCs w:val="20"/>
                <w:lang w:eastAsia="en-GB"/>
              </w:rPr>
              <w:t>28</w:t>
            </w:r>
            <w:r>
              <w:rPr>
                <w:rFonts w:cs="Arial"/>
                <w:color w:val="000000"/>
                <w:sz w:val="20"/>
                <w:szCs w:val="20"/>
                <w:lang w:eastAsia="en-GB"/>
              </w:rPr>
              <w:t>)</w:t>
            </w:r>
          </w:p>
        </w:tc>
        <w:tc>
          <w:tcPr>
            <w:tcW w:w="1017" w:type="dxa"/>
            <w:tcBorders>
              <w:top w:val="nil"/>
              <w:left w:val="nil"/>
              <w:bottom w:val="nil"/>
              <w:right w:val="nil"/>
            </w:tcBorders>
            <w:shd w:val="clear" w:color="000000" w:fill="FFFFFF"/>
            <w:noWrap/>
            <w:vAlign w:val="center"/>
            <w:hideMark/>
          </w:tcPr>
          <w:p w14:paraId="5DD94B32" w14:textId="77777777" w:rsidR="00665F5E" w:rsidRPr="00CC37BA" w:rsidRDefault="00665F5E" w:rsidP="00665F5E">
            <w:pPr>
              <w:jc w:val="right"/>
              <w:rPr>
                <w:rFonts w:cs="Arial"/>
                <w:b/>
                <w:bCs/>
                <w:sz w:val="20"/>
                <w:szCs w:val="20"/>
                <w:lang w:eastAsia="en-GB"/>
              </w:rPr>
            </w:pPr>
            <w:r w:rsidRPr="00CC37BA">
              <w:rPr>
                <w:rFonts w:cs="Arial"/>
                <w:b/>
                <w:bCs/>
                <w:sz w:val="20"/>
                <w:szCs w:val="20"/>
                <w:lang w:eastAsia="en-GB"/>
              </w:rPr>
              <w:t>3,</w:t>
            </w:r>
            <w:r>
              <w:rPr>
                <w:rFonts w:cs="Arial"/>
                <w:b/>
                <w:bCs/>
                <w:sz w:val="20"/>
                <w:szCs w:val="20"/>
                <w:lang w:eastAsia="en-GB"/>
              </w:rPr>
              <w:t>582</w:t>
            </w:r>
          </w:p>
        </w:tc>
        <w:tc>
          <w:tcPr>
            <w:tcW w:w="1027" w:type="dxa"/>
            <w:tcBorders>
              <w:top w:val="nil"/>
              <w:left w:val="single" w:sz="4" w:space="0" w:color="auto"/>
              <w:bottom w:val="nil"/>
              <w:right w:val="single" w:sz="4" w:space="0" w:color="auto"/>
            </w:tcBorders>
            <w:shd w:val="clear" w:color="auto" w:fill="auto"/>
            <w:noWrap/>
            <w:vAlign w:val="center"/>
            <w:hideMark/>
          </w:tcPr>
          <w:p w14:paraId="7426A78F" w14:textId="77777777" w:rsidR="00665F5E" w:rsidRPr="00CC37BA" w:rsidRDefault="00665F5E" w:rsidP="00665F5E">
            <w:pPr>
              <w:jc w:val="right"/>
              <w:rPr>
                <w:rFonts w:cs="Arial"/>
                <w:color w:val="000000"/>
                <w:sz w:val="20"/>
                <w:szCs w:val="20"/>
                <w:lang w:eastAsia="en-GB"/>
              </w:rPr>
            </w:pPr>
            <w:r>
              <w:rPr>
                <w:rFonts w:cs="Arial"/>
                <w:color w:val="000000"/>
                <w:sz w:val="20"/>
                <w:szCs w:val="20"/>
                <w:lang w:eastAsia="en-GB"/>
              </w:rPr>
              <w:t>(</w:t>
            </w:r>
            <w:r w:rsidRPr="00CC37BA">
              <w:rPr>
                <w:rFonts w:cs="Arial"/>
                <w:color w:val="000000"/>
                <w:sz w:val="20"/>
                <w:szCs w:val="20"/>
                <w:lang w:eastAsia="en-GB"/>
              </w:rPr>
              <w:t>3,</w:t>
            </w:r>
            <w:r>
              <w:rPr>
                <w:rFonts w:cs="Arial"/>
                <w:color w:val="000000"/>
                <w:sz w:val="20"/>
                <w:szCs w:val="20"/>
                <w:lang w:eastAsia="en-GB"/>
              </w:rPr>
              <w:t>582)</w:t>
            </w:r>
          </w:p>
        </w:tc>
        <w:tc>
          <w:tcPr>
            <w:tcW w:w="1017" w:type="dxa"/>
            <w:tcBorders>
              <w:top w:val="nil"/>
              <w:left w:val="nil"/>
              <w:bottom w:val="nil"/>
              <w:right w:val="single" w:sz="4" w:space="0" w:color="auto"/>
            </w:tcBorders>
            <w:shd w:val="clear" w:color="000000" w:fill="FFFFFF"/>
            <w:noWrap/>
            <w:vAlign w:val="center"/>
            <w:hideMark/>
          </w:tcPr>
          <w:p w14:paraId="09F71675" w14:textId="77777777" w:rsidR="00665F5E" w:rsidRPr="00CC37BA" w:rsidRDefault="00665F5E" w:rsidP="00665F5E">
            <w:pPr>
              <w:jc w:val="right"/>
              <w:rPr>
                <w:rFonts w:cs="Arial"/>
                <w:b/>
                <w:bCs/>
                <w:sz w:val="20"/>
                <w:szCs w:val="20"/>
                <w:lang w:eastAsia="en-GB"/>
              </w:rPr>
            </w:pPr>
            <w:r w:rsidRPr="00CC37BA">
              <w:rPr>
                <w:rFonts w:cs="Arial"/>
                <w:b/>
                <w:bCs/>
                <w:sz w:val="20"/>
                <w:szCs w:val="20"/>
                <w:lang w:eastAsia="en-GB"/>
              </w:rPr>
              <w:t>0</w:t>
            </w:r>
          </w:p>
        </w:tc>
      </w:tr>
      <w:tr w:rsidR="00665F5E" w:rsidRPr="00CC37BA" w14:paraId="70A7E916" w14:textId="77777777" w:rsidTr="00665F5E">
        <w:trPr>
          <w:trHeight w:val="490"/>
        </w:trPr>
        <w:tc>
          <w:tcPr>
            <w:tcW w:w="3681" w:type="dxa"/>
            <w:tcBorders>
              <w:top w:val="nil"/>
              <w:left w:val="single" w:sz="4" w:space="0" w:color="auto"/>
              <w:bottom w:val="nil"/>
              <w:right w:val="single" w:sz="4" w:space="0" w:color="auto"/>
            </w:tcBorders>
            <w:shd w:val="clear" w:color="auto" w:fill="auto"/>
            <w:noWrap/>
            <w:vAlign w:val="center"/>
            <w:hideMark/>
          </w:tcPr>
          <w:p w14:paraId="1B9E134E" w14:textId="77777777" w:rsidR="00665F5E" w:rsidRPr="00CC37BA" w:rsidRDefault="00665F5E" w:rsidP="00665F5E">
            <w:pPr>
              <w:rPr>
                <w:rFonts w:cs="Arial"/>
                <w:color w:val="000000"/>
                <w:sz w:val="20"/>
                <w:szCs w:val="20"/>
                <w:lang w:eastAsia="en-GB"/>
              </w:rPr>
            </w:pPr>
            <w:r w:rsidRPr="00CC37BA">
              <w:rPr>
                <w:rFonts w:cs="Arial"/>
                <w:color w:val="000000"/>
                <w:sz w:val="20"/>
                <w:szCs w:val="20"/>
                <w:lang w:eastAsia="en-GB"/>
              </w:rPr>
              <w:t>Increase/decrease for 2022/23</w:t>
            </w:r>
          </w:p>
        </w:tc>
        <w:tc>
          <w:tcPr>
            <w:tcW w:w="435" w:type="dxa"/>
            <w:tcBorders>
              <w:top w:val="nil"/>
              <w:left w:val="single" w:sz="4" w:space="0" w:color="auto"/>
              <w:bottom w:val="nil"/>
              <w:right w:val="nil"/>
            </w:tcBorders>
            <w:shd w:val="clear" w:color="auto" w:fill="auto"/>
            <w:noWrap/>
            <w:vAlign w:val="center"/>
            <w:hideMark/>
          </w:tcPr>
          <w:p w14:paraId="1A5753F5" w14:textId="77777777" w:rsidR="00665F5E" w:rsidRPr="00CC37BA" w:rsidRDefault="00665F5E" w:rsidP="00665F5E">
            <w:pPr>
              <w:rPr>
                <w:rFonts w:cs="Arial"/>
                <w:color w:val="000000"/>
                <w:sz w:val="20"/>
                <w:szCs w:val="20"/>
                <w:lang w:eastAsia="en-GB"/>
              </w:rPr>
            </w:pPr>
          </w:p>
        </w:tc>
        <w:tc>
          <w:tcPr>
            <w:tcW w:w="917" w:type="dxa"/>
            <w:tcBorders>
              <w:top w:val="nil"/>
              <w:left w:val="single" w:sz="4" w:space="0" w:color="auto"/>
              <w:bottom w:val="nil"/>
              <w:right w:val="single" w:sz="4" w:space="0" w:color="auto"/>
            </w:tcBorders>
            <w:shd w:val="clear" w:color="auto" w:fill="auto"/>
            <w:noWrap/>
            <w:vAlign w:val="center"/>
            <w:hideMark/>
          </w:tcPr>
          <w:p w14:paraId="233C8F75" w14:textId="77777777" w:rsidR="00665F5E" w:rsidRPr="00CC37BA" w:rsidRDefault="00665F5E" w:rsidP="00665F5E">
            <w:pPr>
              <w:jc w:val="right"/>
              <w:rPr>
                <w:rFonts w:cs="Arial"/>
                <w:color w:val="000000"/>
                <w:sz w:val="20"/>
                <w:szCs w:val="20"/>
                <w:lang w:eastAsia="en-GB"/>
              </w:rPr>
            </w:pPr>
            <w:r>
              <w:rPr>
                <w:rFonts w:cs="Arial"/>
                <w:color w:val="000000"/>
                <w:sz w:val="20"/>
                <w:szCs w:val="20"/>
                <w:lang w:eastAsia="en-GB"/>
              </w:rPr>
              <w:t>(</w:t>
            </w:r>
            <w:r w:rsidRPr="00CC37BA">
              <w:rPr>
                <w:rFonts w:cs="Arial"/>
                <w:color w:val="000000"/>
                <w:sz w:val="20"/>
                <w:szCs w:val="20"/>
                <w:lang w:eastAsia="en-GB"/>
              </w:rPr>
              <w:t>124</w:t>
            </w:r>
            <w:r>
              <w:rPr>
                <w:rFonts w:cs="Arial"/>
                <w:color w:val="000000"/>
                <w:sz w:val="20"/>
                <w:szCs w:val="20"/>
                <w:lang w:eastAsia="en-GB"/>
              </w:rPr>
              <w:t>)</w:t>
            </w:r>
          </w:p>
        </w:tc>
        <w:tc>
          <w:tcPr>
            <w:tcW w:w="967" w:type="dxa"/>
            <w:tcBorders>
              <w:top w:val="nil"/>
              <w:left w:val="nil"/>
              <w:bottom w:val="nil"/>
              <w:right w:val="nil"/>
            </w:tcBorders>
            <w:shd w:val="clear" w:color="auto" w:fill="auto"/>
            <w:noWrap/>
            <w:vAlign w:val="center"/>
            <w:hideMark/>
          </w:tcPr>
          <w:p w14:paraId="655850D8" w14:textId="77777777" w:rsidR="00665F5E" w:rsidRPr="00CC37BA" w:rsidRDefault="00665F5E" w:rsidP="00665F5E">
            <w:pPr>
              <w:jc w:val="right"/>
              <w:rPr>
                <w:rFonts w:cs="Arial"/>
                <w:color w:val="000000"/>
                <w:sz w:val="20"/>
                <w:szCs w:val="20"/>
                <w:lang w:eastAsia="en-GB"/>
              </w:rPr>
            </w:pPr>
            <w:r w:rsidRPr="00CC37BA">
              <w:rPr>
                <w:rFonts w:cs="Arial"/>
                <w:color w:val="000000"/>
                <w:sz w:val="20"/>
                <w:szCs w:val="20"/>
                <w:lang w:eastAsia="en-GB"/>
              </w:rPr>
              <w:t>1,275</w:t>
            </w:r>
          </w:p>
        </w:tc>
        <w:tc>
          <w:tcPr>
            <w:tcW w:w="1087" w:type="dxa"/>
            <w:tcBorders>
              <w:top w:val="nil"/>
              <w:left w:val="single" w:sz="4" w:space="0" w:color="auto"/>
              <w:bottom w:val="nil"/>
              <w:right w:val="single" w:sz="4" w:space="0" w:color="auto"/>
            </w:tcBorders>
            <w:shd w:val="clear" w:color="auto" w:fill="auto"/>
            <w:noWrap/>
            <w:vAlign w:val="center"/>
            <w:hideMark/>
          </w:tcPr>
          <w:p w14:paraId="08226A67" w14:textId="77777777" w:rsidR="00665F5E" w:rsidRPr="00CC37BA" w:rsidRDefault="00665F5E" w:rsidP="00665F5E">
            <w:pPr>
              <w:jc w:val="right"/>
              <w:rPr>
                <w:rFonts w:cs="Arial"/>
                <w:color w:val="000000"/>
                <w:sz w:val="20"/>
                <w:szCs w:val="20"/>
                <w:lang w:eastAsia="en-GB"/>
              </w:rPr>
            </w:pPr>
            <w:r>
              <w:rPr>
                <w:rFonts w:cs="Arial"/>
                <w:color w:val="000000"/>
                <w:sz w:val="20"/>
                <w:szCs w:val="20"/>
                <w:lang w:eastAsia="en-GB"/>
              </w:rPr>
              <w:t>(</w:t>
            </w:r>
            <w:r w:rsidRPr="00CC37BA">
              <w:rPr>
                <w:rFonts w:cs="Arial"/>
                <w:color w:val="000000"/>
                <w:sz w:val="20"/>
                <w:szCs w:val="20"/>
                <w:lang w:eastAsia="en-GB"/>
              </w:rPr>
              <w:t>28</w:t>
            </w:r>
            <w:r>
              <w:rPr>
                <w:rFonts w:cs="Arial"/>
                <w:color w:val="000000"/>
                <w:sz w:val="20"/>
                <w:szCs w:val="20"/>
                <w:lang w:eastAsia="en-GB"/>
              </w:rPr>
              <w:t>)</w:t>
            </w:r>
          </w:p>
        </w:tc>
        <w:tc>
          <w:tcPr>
            <w:tcW w:w="1017" w:type="dxa"/>
            <w:tcBorders>
              <w:top w:val="nil"/>
              <w:left w:val="nil"/>
              <w:bottom w:val="nil"/>
              <w:right w:val="nil"/>
            </w:tcBorders>
            <w:shd w:val="clear" w:color="auto" w:fill="auto"/>
            <w:noWrap/>
            <w:vAlign w:val="center"/>
            <w:hideMark/>
          </w:tcPr>
          <w:p w14:paraId="2B58B588" w14:textId="77777777" w:rsidR="00665F5E" w:rsidRPr="00CC37BA" w:rsidRDefault="00665F5E" w:rsidP="00665F5E">
            <w:pPr>
              <w:jc w:val="right"/>
              <w:rPr>
                <w:rFonts w:cs="Arial"/>
                <w:b/>
                <w:bCs/>
                <w:color w:val="000000"/>
                <w:sz w:val="20"/>
                <w:szCs w:val="20"/>
                <w:lang w:eastAsia="en-GB"/>
              </w:rPr>
            </w:pPr>
            <w:r w:rsidRPr="00CC37BA">
              <w:rPr>
                <w:rFonts w:cs="Arial"/>
                <w:b/>
                <w:bCs/>
                <w:color w:val="000000"/>
                <w:sz w:val="20"/>
                <w:szCs w:val="20"/>
                <w:lang w:eastAsia="en-GB"/>
              </w:rPr>
              <w:t>1,123</w:t>
            </w:r>
          </w:p>
        </w:tc>
        <w:tc>
          <w:tcPr>
            <w:tcW w:w="1027" w:type="dxa"/>
            <w:tcBorders>
              <w:top w:val="nil"/>
              <w:left w:val="single" w:sz="4" w:space="0" w:color="auto"/>
              <w:bottom w:val="nil"/>
              <w:right w:val="single" w:sz="4" w:space="0" w:color="auto"/>
            </w:tcBorders>
            <w:shd w:val="clear" w:color="auto" w:fill="auto"/>
            <w:noWrap/>
            <w:vAlign w:val="center"/>
            <w:hideMark/>
          </w:tcPr>
          <w:p w14:paraId="0538DA28" w14:textId="77777777" w:rsidR="00665F5E" w:rsidRPr="00CC37BA" w:rsidRDefault="00665F5E" w:rsidP="00665F5E">
            <w:pPr>
              <w:jc w:val="right"/>
              <w:rPr>
                <w:rFonts w:cs="Arial"/>
                <w:color w:val="000000"/>
                <w:sz w:val="20"/>
                <w:szCs w:val="20"/>
                <w:lang w:eastAsia="en-GB"/>
              </w:rPr>
            </w:pPr>
            <w:r>
              <w:rPr>
                <w:rFonts w:cs="Arial"/>
                <w:color w:val="000000"/>
                <w:sz w:val="20"/>
                <w:szCs w:val="20"/>
                <w:lang w:eastAsia="en-GB"/>
              </w:rPr>
              <w:t>16,706</w:t>
            </w:r>
          </w:p>
        </w:tc>
        <w:tc>
          <w:tcPr>
            <w:tcW w:w="1017" w:type="dxa"/>
            <w:tcBorders>
              <w:top w:val="nil"/>
              <w:left w:val="nil"/>
              <w:bottom w:val="nil"/>
              <w:right w:val="single" w:sz="4" w:space="0" w:color="auto"/>
            </w:tcBorders>
            <w:shd w:val="clear" w:color="auto" w:fill="auto"/>
            <w:noWrap/>
            <w:vAlign w:val="center"/>
            <w:hideMark/>
          </w:tcPr>
          <w:p w14:paraId="7115E966" w14:textId="77777777" w:rsidR="00665F5E" w:rsidRPr="00CC37BA" w:rsidRDefault="00665F5E" w:rsidP="00665F5E">
            <w:pPr>
              <w:jc w:val="right"/>
              <w:rPr>
                <w:rFonts w:cs="Arial"/>
                <w:b/>
                <w:bCs/>
                <w:color w:val="000000"/>
                <w:sz w:val="20"/>
                <w:szCs w:val="20"/>
                <w:lang w:eastAsia="en-GB"/>
              </w:rPr>
            </w:pPr>
            <w:r>
              <w:rPr>
                <w:rFonts w:cs="Arial"/>
                <w:b/>
                <w:bCs/>
                <w:color w:val="000000"/>
                <w:sz w:val="20"/>
                <w:szCs w:val="20"/>
                <w:lang w:eastAsia="en-GB"/>
              </w:rPr>
              <w:t>17,829</w:t>
            </w:r>
          </w:p>
        </w:tc>
      </w:tr>
      <w:tr w:rsidR="00665F5E" w:rsidRPr="00CC37BA" w14:paraId="55D746F9" w14:textId="77777777" w:rsidTr="00665F5E">
        <w:trPr>
          <w:trHeight w:val="49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5D4B8" w14:textId="77777777" w:rsidR="00665F5E" w:rsidRPr="00CC37BA" w:rsidRDefault="00665F5E" w:rsidP="00665F5E">
            <w:pPr>
              <w:rPr>
                <w:rFonts w:cs="Arial"/>
                <w:b/>
                <w:bCs/>
                <w:color w:val="000000"/>
                <w:sz w:val="20"/>
                <w:szCs w:val="20"/>
                <w:lang w:eastAsia="en-GB"/>
              </w:rPr>
            </w:pPr>
            <w:r w:rsidRPr="00CC37BA">
              <w:rPr>
                <w:rFonts w:cs="Arial"/>
                <w:b/>
                <w:bCs/>
                <w:color w:val="000000"/>
                <w:sz w:val="20"/>
                <w:szCs w:val="20"/>
                <w:lang w:eastAsia="en-GB"/>
              </w:rPr>
              <w:t>Balance at 31 March 2023 carried forward</w:t>
            </w:r>
          </w:p>
        </w:tc>
        <w:tc>
          <w:tcPr>
            <w:tcW w:w="435" w:type="dxa"/>
            <w:tcBorders>
              <w:top w:val="single" w:sz="4" w:space="0" w:color="auto"/>
              <w:left w:val="single" w:sz="4" w:space="0" w:color="auto"/>
              <w:bottom w:val="single" w:sz="4" w:space="0" w:color="auto"/>
              <w:right w:val="nil"/>
            </w:tcBorders>
            <w:shd w:val="clear" w:color="auto" w:fill="auto"/>
            <w:noWrap/>
            <w:vAlign w:val="center"/>
            <w:hideMark/>
          </w:tcPr>
          <w:p w14:paraId="18DE8E0F" w14:textId="77777777" w:rsidR="00665F5E" w:rsidRPr="00CC37BA" w:rsidRDefault="00665F5E" w:rsidP="00665F5E">
            <w:pPr>
              <w:jc w:val="center"/>
              <w:rPr>
                <w:rFonts w:cs="Arial"/>
                <w:b/>
                <w:bCs/>
                <w:color w:val="000000"/>
                <w:sz w:val="20"/>
                <w:szCs w:val="20"/>
                <w:lang w:eastAsia="en-GB"/>
              </w:rPr>
            </w:pPr>
            <w:r w:rsidRPr="00CC37BA">
              <w:rPr>
                <w:rFonts w:cs="Arial"/>
                <w:b/>
                <w:bCs/>
                <w:color w:val="000000"/>
                <w:sz w:val="20"/>
                <w:szCs w:val="20"/>
                <w:lang w:eastAsia="en-GB"/>
              </w:rPr>
              <w:t> </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C88A0" w14:textId="77777777" w:rsidR="00665F5E" w:rsidRPr="00CC37BA" w:rsidRDefault="00665F5E" w:rsidP="00665F5E">
            <w:pPr>
              <w:jc w:val="right"/>
              <w:rPr>
                <w:rFonts w:cs="Arial"/>
                <w:b/>
                <w:bCs/>
                <w:color w:val="000000"/>
                <w:sz w:val="20"/>
                <w:szCs w:val="20"/>
                <w:lang w:eastAsia="en-GB"/>
              </w:rPr>
            </w:pPr>
            <w:r w:rsidRPr="00CC37BA">
              <w:rPr>
                <w:rFonts w:cs="Arial"/>
                <w:b/>
                <w:bCs/>
                <w:color w:val="000000"/>
                <w:sz w:val="20"/>
                <w:szCs w:val="20"/>
                <w:lang w:eastAsia="en-GB"/>
              </w:rPr>
              <w:t>3,411</w:t>
            </w:r>
          </w:p>
        </w:tc>
        <w:tc>
          <w:tcPr>
            <w:tcW w:w="967" w:type="dxa"/>
            <w:tcBorders>
              <w:top w:val="single" w:sz="4" w:space="0" w:color="auto"/>
              <w:left w:val="nil"/>
              <w:bottom w:val="single" w:sz="4" w:space="0" w:color="auto"/>
              <w:right w:val="nil"/>
            </w:tcBorders>
            <w:shd w:val="clear" w:color="auto" w:fill="auto"/>
            <w:noWrap/>
            <w:vAlign w:val="center"/>
            <w:hideMark/>
          </w:tcPr>
          <w:p w14:paraId="6F123E49" w14:textId="77777777" w:rsidR="00665F5E" w:rsidRPr="00CC37BA" w:rsidRDefault="00665F5E" w:rsidP="00665F5E">
            <w:pPr>
              <w:jc w:val="right"/>
              <w:rPr>
                <w:rFonts w:cs="Arial"/>
                <w:b/>
                <w:bCs/>
                <w:color w:val="000000"/>
                <w:sz w:val="20"/>
                <w:szCs w:val="20"/>
                <w:lang w:eastAsia="en-GB"/>
              </w:rPr>
            </w:pPr>
            <w:r w:rsidRPr="00CC37BA">
              <w:rPr>
                <w:rFonts w:cs="Arial"/>
                <w:b/>
                <w:bCs/>
                <w:color w:val="000000"/>
                <w:sz w:val="20"/>
                <w:szCs w:val="20"/>
                <w:lang w:eastAsia="en-GB"/>
              </w:rPr>
              <w:t>1,275</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C6065" w14:textId="77777777" w:rsidR="00665F5E" w:rsidRPr="00CC37BA" w:rsidRDefault="00665F5E" w:rsidP="00665F5E">
            <w:pPr>
              <w:jc w:val="right"/>
              <w:rPr>
                <w:rFonts w:cs="Arial"/>
                <w:b/>
                <w:bCs/>
                <w:color w:val="000000"/>
                <w:sz w:val="20"/>
                <w:szCs w:val="20"/>
                <w:lang w:eastAsia="en-GB"/>
              </w:rPr>
            </w:pPr>
            <w:r w:rsidRPr="00CC37BA">
              <w:rPr>
                <w:rFonts w:cs="Arial"/>
                <w:b/>
                <w:bCs/>
                <w:color w:val="000000"/>
                <w:sz w:val="20"/>
                <w:szCs w:val="20"/>
                <w:lang w:eastAsia="en-GB"/>
              </w:rPr>
              <w:t>255</w:t>
            </w:r>
          </w:p>
        </w:tc>
        <w:tc>
          <w:tcPr>
            <w:tcW w:w="1017" w:type="dxa"/>
            <w:tcBorders>
              <w:top w:val="single" w:sz="4" w:space="0" w:color="auto"/>
              <w:left w:val="nil"/>
              <w:bottom w:val="single" w:sz="4" w:space="0" w:color="auto"/>
              <w:right w:val="nil"/>
            </w:tcBorders>
            <w:shd w:val="clear" w:color="auto" w:fill="auto"/>
            <w:noWrap/>
            <w:vAlign w:val="center"/>
            <w:hideMark/>
          </w:tcPr>
          <w:p w14:paraId="6C3ACF7E" w14:textId="77777777" w:rsidR="00665F5E" w:rsidRPr="00CC37BA" w:rsidRDefault="00665F5E" w:rsidP="00665F5E">
            <w:pPr>
              <w:jc w:val="right"/>
              <w:rPr>
                <w:rFonts w:cs="Arial"/>
                <w:b/>
                <w:bCs/>
                <w:color w:val="000000"/>
                <w:sz w:val="20"/>
                <w:szCs w:val="20"/>
                <w:lang w:eastAsia="en-GB"/>
              </w:rPr>
            </w:pPr>
            <w:r w:rsidRPr="00CC37BA">
              <w:rPr>
                <w:rFonts w:cs="Arial"/>
                <w:b/>
                <w:bCs/>
                <w:color w:val="000000"/>
                <w:sz w:val="20"/>
                <w:szCs w:val="20"/>
                <w:lang w:eastAsia="en-GB"/>
              </w:rPr>
              <w:t>4,941</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6F595" w14:textId="77777777" w:rsidR="00665F5E" w:rsidRPr="00CC37BA" w:rsidRDefault="00665F5E" w:rsidP="00665F5E">
            <w:pPr>
              <w:jc w:val="right"/>
              <w:rPr>
                <w:rFonts w:cs="Arial"/>
                <w:b/>
                <w:bCs/>
                <w:color w:val="000000"/>
                <w:sz w:val="20"/>
                <w:szCs w:val="20"/>
                <w:lang w:eastAsia="en-GB"/>
              </w:rPr>
            </w:pPr>
            <w:r>
              <w:rPr>
                <w:rFonts w:cs="Arial"/>
                <w:b/>
                <w:bCs/>
                <w:color w:val="000000"/>
                <w:sz w:val="20"/>
                <w:szCs w:val="20"/>
                <w:lang w:eastAsia="en-GB"/>
              </w:rPr>
              <w:t>34,219</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027822AF" w14:textId="77777777" w:rsidR="00665F5E" w:rsidRPr="00CC37BA" w:rsidRDefault="00665F5E" w:rsidP="00665F5E">
            <w:pPr>
              <w:jc w:val="right"/>
              <w:rPr>
                <w:rFonts w:cs="Arial"/>
                <w:b/>
                <w:bCs/>
                <w:color w:val="000000"/>
                <w:sz w:val="20"/>
                <w:szCs w:val="20"/>
                <w:lang w:eastAsia="en-GB"/>
              </w:rPr>
            </w:pPr>
            <w:r>
              <w:rPr>
                <w:rFonts w:cs="Arial"/>
                <w:b/>
                <w:bCs/>
                <w:color w:val="000000"/>
                <w:sz w:val="20"/>
                <w:szCs w:val="20"/>
                <w:lang w:eastAsia="en-GB"/>
              </w:rPr>
              <w:t>39,160</w:t>
            </w:r>
          </w:p>
        </w:tc>
      </w:tr>
    </w:tbl>
    <w:p w14:paraId="67CD22AF" w14:textId="77777777" w:rsidR="009F03E4" w:rsidRPr="00CC37BA" w:rsidRDefault="009F03E4" w:rsidP="00976EED">
      <w:pPr>
        <w:tabs>
          <w:tab w:val="left" w:pos="0"/>
        </w:tabs>
        <w:rPr>
          <w:rFonts w:cs="Arial"/>
          <w:b/>
          <w:sz w:val="28"/>
          <w:szCs w:val="28"/>
        </w:rPr>
      </w:pPr>
    </w:p>
    <w:p w14:paraId="34F6C667" w14:textId="77777777" w:rsidR="00BA639D" w:rsidRPr="00CC37BA" w:rsidRDefault="00BA639D" w:rsidP="00BA639D">
      <w:pPr>
        <w:rPr>
          <w:u w:val="single"/>
        </w:rPr>
      </w:pPr>
    </w:p>
    <w:p w14:paraId="7A261C2B" w14:textId="77777777" w:rsidR="00BA639D" w:rsidRPr="00CC37BA" w:rsidRDefault="00BA639D" w:rsidP="00BA639D">
      <w:pPr>
        <w:ind w:left="360"/>
        <w:rPr>
          <w:rFonts w:cs="Arial"/>
        </w:rPr>
      </w:pPr>
      <w:r w:rsidRPr="00CC37BA">
        <w:rPr>
          <w:rFonts w:cs="Arial"/>
        </w:rPr>
        <w:t>This Statement shows the movement in the year on the different reserves held by the Authority, analysed into ‘usable reserves’ (i.e. those that can be applied to fund expenditure or reduce local taxation) and unusable reserves. The ‘Surplus or (deficit) on the provision of services’ line shows the true economic cost of providing the Authority’s services, more details of which are shown in the Comprehensive Income and Expenditure Statement. These are different from the statutory amounts required to be charged to the General Reserve Balance. The ‘Net increase/decrease before transfers to earmarked reserves’ line shows the statutory General Reserve Balance before any transfers to or from earmarked reserves undertaken by the Authority.</w:t>
      </w:r>
    </w:p>
    <w:p w14:paraId="485A45A0" w14:textId="23138F67" w:rsidR="00E96705" w:rsidRDefault="00E96705" w:rsidP="00736A9F">
      <w:pPr>
        <w:tabs>
          <w:tab w:val="left" w:pos="0"/>
        </w:tabs>
        <w:rPr>
          <w:highlight w:val="yellow"/>
        </w:rPr>
      </w:pPr>
    </w:p>
    <w:p w14:paraId="14A3EAA1" w14:textId="77777777" w:rsidR="00CC37BA" w:rsidRDefault="00CC37BA" w:rsidP="00736A9F">
      <w:pPr>
        <w:tabs>
          <w:tab w:val="left" w:pos="0"/>
        </w:tabs>
        <w:rPr>
          <w:highlight w:val="yellow"/>
        </w:rPr>
      </w:pPr>
    </w:p>
    <w:p w14:paraId="3C2B63FB" w14:textId="77777777" w:rsidR="00CC37BA" w:rsidRDefault="00CC37BA" w:rsidP="00736A9F">
      <w:pPr>
        <w:tabs>
          <w:tab w:val="left" w:pos="0"/>
        </w:tabs>
        <w:rPr>
          <w:highlight w:val="yellow"/>
        </w:rPr>
      </w:pPr>
    </w:p>
    <w:p w14:paraId="4D0D07B3" w14:textId="77777777" w:rsidR="00665F5E" w:rsidRDefault="00665F5E" w:rsidP="00736A9F">
      <w:pPr>
        <w:tabs>
          <w:tab w:val="left" w:pos="0"/>
        </w:tabs>
        <w:rPr>
          <w:highlight w:val="yellow"/>
        </w:rPr>
      </w:pPr>
    </w:p>
    <w:p w14:paraId="349319A8" w14:textId="77777777" w:rsidR="00665F5E" w:rsidRDefault="00665F5E" w:rsidP="00736A9F">
      <w:pPr>
        <w:tabs>
          <w:tab w:val="left" w:pos="0"/>
        </w:tabs>
        <w:rPr>
          <w:highlight w:val="yellow"/>
        </w:rPr>
      </w:pPr>
    </w:p>
    <w:p w14:paraId="1EC15C02" w14:textId="77777777" w:rsidR="00CC37BA" w:rsidRDefault="00CC37BA" w:rsidP="00736A9F">
      <w:pPr>
        <w:tabs>
          <w:tab w:val="left" w:pos="0"/>
        </w:tabs>
        <w:rPr>
          <w:highlight w:val="yellow"/>
        </w:rPr>
      </w:pPr>
    </w:p>
    <w:p w14:paraId="687C4DB2" w14:textId="77777777" w:rsidR="00CC37BA" w:rsidRDefault="00CC37BA" w:rsidP="00736A9F">
      <w:pPr>
        <w:tabs>
          <w:tab w:val="left" w:pos="0"/>
        </w:tabs>
        <w:rPr>
          <w:highlight w:val="yellow"/>
        </w:rPr>
      </w:pPr>
    </w:p>
    <w:p w14:paraId="1D630964" w14:textId="77777777" w:rsidR="00CC37BA" w:rsidRDefault="00CC37BA" w:rsidP="00736A9F">
      <w:pPr>
        <w:tabs>
          <w:tab w:val="left" w:pos="0"/>
        </w:tabs>
        <w:rPr>
          <w:highlight w:val="yellow"/>
        </w:rPr>
      </w:pPr>
    </w:p>
    <w:p w14:paraId="485A45A4" w14:textId="27D7504F" w:rsidR="00121B76" w:rsidRPr="00BA639D" w:rsidRDefault="00736A9F" w:rsidP="00C01DC6">
      <w:pPr>
        <w:pStyle w:val="Heading1"/>
        <w:jc w:val="left"/>
      </w:pPr>
      <w:bookmarkStart w:id="153" w:name="_Toc167965790"/>
      <w:r w:rsidRPr="00BA639D">
        <w:lastRenderedPageBreak/>
        <w:t>B</w:t>
      </w:r>
      <w:r w:rsidR="009C5A0E">
        <w:t>alance Sheet</w:t>
      </w:r>
      <w:bookmarkEnd w:id="153"/>
    </w:p>
    <w:p w14:paraId="485A45A6" w14:textId="79AAF6AA" w:rsidR="00033C43" w:rsidRPr="00BA639D" w:rsidRDefault="0004250A" w:rsidP="00B700D4">
      <w:pPr>
        <w:pStyle w:val="HEADING"/>
        <w:rPr>
          <w:b w:val="0"/>
          <w:szCs w:val="24"/>
        </w:rPr>
      </w:pPr>
      <w:r w:rsidRPr="00BA639D">
        <w:rPr>
          <w:szCs w:val="24"/>
        </w:rPr>
        <w:t xml:space="preserve"> </w:t>
      </w:r>
    </w:p>
    <w:p w14:paraId="05BF4B59" w14:textId="7C7F97D2" w:rsidR="00F04D04" w:rsidRPr="009F03E4" w:rsidRDefault="00C3098D" w:rsidP="00C5297D">
      <w:pPr>
        <w:pStyle w:val="HEADING"/>
        <w:rPr>
          <w:b w:val="0"/>
          <w:sz w:val="23"/>
        </w:rPr>
      </w:pPr>
      <w:r w:rsidRPr="009F03E4">
        <w:rPr>
          <w:b w:val="0"/>
          <w:sz w:val="23"/>
        </w:rPr>
        <w:t>The</w:t>
      </w:r>
      <w:r w:rsidR="00D3771C" w:rsidRPr="009F03E4">
        <w:rPr>
          <w:b w:val="0"/>
          <w:sz w:val="23"/>
        </w:rPr>
        <w:t xml:space="preserve"> </w:t>
      </w:r>
      <w:r w:rsidR="0004250A" w:rsidRPr="009F03E4">
        <w:rPr>
          <w:b w:val="0"/>
          <w:sz w:val="23"/>
        </w:rPr>
        <w:t>Accounts have been prepared in accordance with the requirements of the code and give a true and fair view of the financial position of the Authority as at 31 March 20</w:t>
      </w:r>
      <w:r w:rsidR="00F8651B" w:rsidRPr="009F03E4">
        <w:rPr>
          <w:b w:val="0"/>
          <w:sz w:val="23"/>
        </w:rPr>
        <w:t>2</w:t>
      </w:r>
      <w:r w:rsidR="00CB342B">
        <w:rPr>
          <w:b w:val="0"/>
          <w:sz w:val="23"/>
        </w:rPr>
        <w:t>4</w:t>
      </w:r>
      <w:r w:rsidR="0004250A" w:rsidRPr="009F03E4">
        <w:rPr>
          <w:b w:val="0"/>
          <w:sz w:val="23"/>
        </w:rPr>
        <w:t xml:space="preserve"> and its income and expenditure for the year then ended.</w:t>
      </w:r>
      <w:r w:rsidR="000A7028" w:rsidRPr="009F03E4">
        <w:rPr>
          <w:b w:val="0"/>
          <w:sz w:val="23"/>
        </w:rPr>
        <w:t xml:space="preserve"> The unaudited accounts were issued on </w:t>
      </w:r>
      <w:r w:rsidR="00BA639D" w:rsidRPr="009F03E4">
        <w:rPr>
          <w:b w:val="0"/>
          <w:sz w:val="23"/>
        </w:rPr>
        <w:t>31</w:t>
      </w:r>
      <w:r w:rsidR="000A7028" w:rsidRPr="009F03E4">
        <w:rPr>
          <w:b w:val="0"/>
          <w:sz w:val="23"/>
        </w:rPr>
        <w:t xml:space="preserve"> </w:t>
      </w:r>
      <w:r w:rsidR="00BA639D" w:rsidRPr="009F03E4">
        <w:rPr>
          <w:b w:val="0"/>
          <w:sz w:val="23"/>
        </w:rPr>
        <w:t>May</w:t>
      </w:r>
      <w:r w:rsidR="000A7028" w:rsidRPr="009F03E4">
        <w:rPr>
          <w:b w:val="0"/>
          <w:sz w:val="23"/>
        </w:rPr>
        <w:t xml:space="preserve"> 202</w:t>
      </w:r>
      <w:r w:rsidR="00CB342B">
        <w:rPr>
          <w:b w:val="0"/>
          <w:sz w:val="23"/>
        </w:rPr>
        <w:t>4</w:t>
      </w:r>
      <w:r w:rsidR="00BA639D" w:rsidRPr="009F03E4">
        <w:rPr>
          <w:b w:val="0"/>
          <w:sz w:val="23"/>
        </w:rPr>
        <w:t>.</w:t>
      </w:r>
      <w:r w:rsidR="00283B68">
        <w:rPr>
          <w:b w:val="0"/>
          <w:sz w:val="23"/>
        </w:rPr>
        <w:t xml:space="preserve"> </w:t>
      </w:r>
    </w:p>
    <w:p w14:paraId="485A45AA" w14:textId="5891E9D7" w:rsidR="0004250A" w:rsidRPr="004D5CA8" w:rsidRDefault="0004250A" w:rsidP="00B700D4">
      <w:pPr>
        <w:tabs>
          <w:tab w:val="left" w:pos="0"/>
        </w:tabs>
        <w:rPr>
          <w:b/>
          <w:sz w:val="28"/>
          <w:szCs w:val="28"/>
          <w:highlight w:val="yellow"/>
        </w:rPr>
      </w:pPr>
    </w:p>
    <w:tbl>
      <w:tblPr>
        <w:tblW w:w="9067" w:type="dxa"/>
        <w:jc w:val="center"/>
        <w:tblLook w:val="04A0" w:firstRow="1" w:lastRow="0" w:firstColumn="1" w:lastColumn="0" w:noHBand="0" w:noVBand="1"/>
      </w:tblPr>
      <w:tblGrid>
        <w:gridCol w:w="1413"/>
        <w:gridCol w:w="425"/>
        <w:gridCol w:w="5245"/>
        <w:gridCol w:w="731"/>
        <w:gridCol w:w="1253"/>
      </w:tblGrid>
      <w:tr w:rsidR="00CC37BA" w:rsidRPr="009F03E4" w14:paraId="07B7ED42" w14:textId="77777777" w:rsidTr="00665F5E">
        <w:trPr>
          <w:trHeight w:val="80"/>
          <w:jc w:val="center"/>
        </w:trPr>
        <w:tc>
          <w:tcPr>
            <w:tcW w:w="1413" w:type="dxa"/>
            <w:tcBorders>
              <w:top w:val="nil"/>
              <w:left w:val="single" w:sz="4" w:space="0" w:color="auto"/>
              <w:bottom w:val="nil"/>
              <w:right w:val="nil"/>
            </w:tcBorders>
            <w:shd w:val="clear" w:color="000000" w:fill="000000"/>
            <w:vAlign w:val="center"/>
            <w:hideMark/>
          </w:tcPr>
          <w:p w14:paraId="28B78754" w14:textId="77777777" w:rsidR="00CC37BA" w:rsidRDefault="00CC37BA" w:rsidP="00CC37BA">
            <w:pPr>
              <w:jc w:val="center"/>
              <w:rPr>
                <w:rFonts w:cs="Arial"/>
                <w:b/>
                <w:bCs/>
                <w:color w:val="FFFFFF"/>
                <w:sz w:val="18"/>
                <w:szCs w:val="18"/>
                <w:lang w:eastAsia="en-GB"/>
              </w:rPr>
            </w:pPr>
            <w:r w:rsidRPr="009F03E4">
              <w:rPr>
                <w:rFonts w:cs="Arial"/>
                <w:b/>
                <w:bCs/>
                <w:color w:val="FFFFFF"/>
                <w:sz w:val="18"/>
                <w:szCs w:val="18"/>
                <w:lang w:eastAsia="en-GB"/>
              </w:rPr>
              <w:t>31/03/202</w:t>
            </w:r>
            <w:r w:rsidR="00665F5E">
              <w:rPr>
                <w:rFonts w:cs="Arial"/>
                <w:b/>
                <w:bCs/>
                <w:color w:val="FFFFFF"/>
                <w:sz w:val="18"/>
                <w:szCs w:val="18"/>
                <w:lang w:eastAsia="en-GB"/>
              </w:rPr>
              <w:t>3</w:t>
            </w:r>
          </w:p>
          <w:p w14:paraId="6A7F1249" w14:textId="59ADA7D6" w:rsidR="00665F5E" w:rsidRPr="009F03E4" w:rsidRDefault="00665F5E" w:rsidP="00CC37BA">
            <w:pPr>
              <w:jc w:val="center"/>
              <w:rPr>
                <w:rFonts w:cs="Arial"/>
                <w:b/>
                <w:bCs/>
                <w:color w:val="FFFFFF"/>
                <w:sz w:val="18"/>
                <w:szCs w:val="18"/>
                <w:lang w:eastAsia="en-GB"/>
              </w:rPr>
            </w:pPr>
            <w:r>
              <w:rPr>
                <w:rFonts w:cs="Arial"/>
                <w:b/>
                <w:bCs/>
                <w:color w:val="FFFFFF"/>
                <w:sz w:val="18"/>
                <w:szCs w:val="18"/>
                <w:lang w:eastAsia="en-GB"/>
              </w:rPr>
              <w:t>Restated</w:t>
            </w:r>
          </w:p>
        </w:tc>
        <w:tc>
          <w:tcPr>
            <w:tcW w:w="425" w:type="dxa"/>
            <w:tcBorders>
              <w:top w:val="nil"/>
              <w:left w:val="nil"/>
              <w:bottom w:val="nil"/>
              <w:right w:val="nil"/>
            </w:tcBorders>
            <w:shd w:val="clear" w:color="000000" w:fill="000000"/>
            <w:vAlign w:val="center"/>
            <w:hideMark/>
          </w:tcPr>
          <w:p w14:paraId="27ED5E67" w14:textId="77777777" w:rsidR="00CC37BA" w:rsidRPr="009F03E4" w:rsidRDefault="00CC37BA" w:rsidP="00CC37BA">
            <w:pPr>
              <w:jc w:val="center"/>
              <w:rPr>
                <w:rFonts w:cs="Arial"/>
                <w:b/>
                <w:bCs/>
                <w:color w:val="FFFFFF"/>
                <w:sz w:val="18"/>
                <w:szCs w:val="18"/>
                <w:lang w:eastAsia="en-GB"/>
              </w:rPr>
            </w:pPr>
            <w:r w:rsidRPr="009F03E4">
              <w:rPr>
                <w:rFonts w:cs="Arial"/>
                <w:b/>
                <w:bCs/>
                <w:color w:val="FFFFFF"/>
                <w:sz w:val="18"/>
                <w:szCs w:val="18"/>
                <w:lang w:eastAsia="en-GB"/>
              </w:rPr>
              <w:t> </w:t>
            </w:r>
          </w:p>
        </w:tc>
        <w:tc>
          <w:tcPr>
            <w:tcW w:w="5245" w:type="dxa"/>
            <w:tcBorders>
              <w:top w:val="nil"/>
              <w:left w:val="nil"/>
              <w:bottom w:val="nil"/>
              <w:right w:val="nil"/>
            </w:tcBorders>
            <w:shd w:val="clear" w:color="000000" w:fill="000000"/>
            <w:noWrap/>
            <w:vAlign w:val="bottom"/>
            <w:hideMark/>
          </w:tcPr>
          <w:p w14:paraId="584B4DC3" w14:textId="77777777" w:rsidR="00CC37BA" w:rsidRPr="009F03E4" w:rsidRDefault="00CC37BA" w:rsidP="00CC37BA">
            <w:pPr>
              <w:jc w:val="center"/>
              <w:rPr>
                <w:rFonts w:cs="Arial"/>
                <w:b/>
                <w:bCs/>
                <w:color w:val="FFFFFF"/>
                <w:sz w:val="18"/>
                <w:szCs w:val="18"/>
                <w:lang w:eastAsia="en-GB"/>
              </w:rPr>
            </w:pPr>
            <w:r w:rsidRPr="009F03E4">
              <w:rPr>
                <w:rFonts w:cs="Arial"/>
                <w:b/>
                <w:bCs/>
                <w:color w:val="FFFFFF"/>
                <w:sz w:val="18"/>
                <w:szCs w:val="18"/>
                <w:lang w:eastAsia="en-GB"/>
              </w:rPr>
              <w:t> </w:t>
            </w:r>
          </w:p>
        </w:tc>
        <w:tc>
          <w:tcPr>
            <w:tcW w:w="731" w:type="dxa"/>
            <w:tcBorders>
              <w:top w:val="nil"/>
              <w:left w:val="nil"/>
              <w:bottom w:val="nil"/>
              <w:right w:val="nil"/>
            </w:tcBorders>
            <w:shd w:val="clear" w:color="000000" w:fill="000000"/>
            <w:vAlign w:val="center"/>
            <w:hideMark/>
          </w:tcPr>
          <w:p w14:paraId="5BF32275" w14:textId="77777777" w:rsidR="00CC37BA" w:rsidRPr="009F03E4" w:rsidRDefault="00CC37BA" w:rsidP="00CC37BA">
            <w:pPr>
              <w:jc w:val="center"/>
              <w:rPr>
                <w:rFonts w:cs="Arial"/>
                <w:b/>
                <w:bCs/>
                <w:color w:val="FFFFFF"/>
                <w:sz w:val="18"/>
                <w:szCs w:val="18"/>
                <w:lang w:eastAsia="en-GB"/>
              </w:rPr>
            </w:pPr>
            <w:r w:rsidRPr="009F03E4">
              <w:rPr>
                <w:rFonts w:cs="Arial"/>
                <w:b/>
                <w:bCs/>
                <w:color w:val="FFFFFF"/>
                <w:sz w:val="18"/>
                <w:szCs w:val="18"/>
                <w:lang w:eastAsia="en-GB"/>
              </w:rPr>
              <w:t>Note</w:t>
            </w:r>
          </w:p>
        </w:tc>
        <w:tc>
          <w:tcPr>
            <w:tcW w:w="1253" w:type="dxa"/>
            <w:tcBorders>
              <w:top w:val="nil"/>
              <w:left w:val="nil"/>
              <w:bottom w:val="nil"/>
              <w:right w:val="single" w:sz="4" w:space="0" w:color="auto"/>
            </w:tcBorders>
            <w:shd w:val="clear" w:color="000000" w:fill="000000"/>
            <w:noWrap/>
            <w:vAlign w:val="center"/>
            <w:hideMark/>
          </w:tcPr>
          <w:p w14:paraId="197DBC92" w14:textId="5E9D2568" w:rsidR="00CC37BA" w:rsidRPr="009F03E4" w:rsidRDefault="00CC37BA" w:rsidP="00CC37BA">
            <w:pPr>
              <w:jc w:val="center"/>
              <w:rPr>
                <w:rFonts w:cs="Arial"/>
                <w:b/>
                <w:bCs/>
                <w:color w:val="FFFFFF"/>
                <w:sz w:val="18"/>
                <w:szCs w:val="18"/>
                <w:lang w:eastAsia="en-GB"/>
              </w:rPr>
            </w:pPr>
            <w:r w:rsidRPr="009F03E4">
              <w:rPr>
                <w:rFonts w:cs="Arial"/>
                <w:b/>
                <w:bCs/>
                <w:color w:val="FFFFFF"/>
                <w:sz w:val="18"/>
                <w:szCs w:val="18"/>
                <w:lang w:eastAsia="en-GB"/>
              </w:rPr>
              <w:t>31/03/202</w:t>
            </w:r>
            <w:r w:rsidR="00665F5E">
              <w:rPr>
                <w:rFonts w:cs="Arial"/>
                <w:b/>
                <w:bCs/>
                <w:color w:val="FFFFFF"/>
                <w:sz w:val="18"/>
                <w:szCs w:val="18"/>
                <w:lang w:eastAsia="en-GB"/>
              </w:rPr>
              <w:t>4</w:t>
            </w:r>
          </w:p>
        </w:tc>
      </w:tr>
      <w:tr w:rsidR="00CC37BA" w:rsidRPr="009F03E4" w14:paraId="401BA32E" w14:textId="77777777" w:rsidTr="00665F5E">
        <w:trPr>
          <w:trHeight w:val="80"/>
          <w:jc w:val="center"/>
        </w:trPr>
        <w:tc>
          <w:tcPr>
            <w:tcW w:w="1413" w:type="dxa"/>
            <w:tcBorders>
              <w:top w:val="nil"/>
              <w:left w:val="single" w:sz="4" w:space="0" w:color="auto"/>
              <w:bottom w:val="single" w:sz="4" w:space="0" w:color="auto"/>
              <w:right w:val="nil"/>
            </w:tcBorders>
            <w:shd w:val="clear" w:color="000000" w:fill="000000"/>
            <w:noWrap/>
            <w:vAlign w:val="bottom"/>
            <w:hideMark/>
          </w:tcPr>
          <w:p w14:paraId="3615A3A4" w14:textId="77777777" w:rsidR="00CC37BA" w:rsidRPr="009F03E4" w:rsidRDefault="00CC37BA" w:rsidP="00CC37BA">
            <w:pPr>
              <w:jc w:val="center"/>
              <w:rPr>
                <w:rFonts w:cs="Arial"/>
                <w:b/>
                <w:bCs/>
                <w:color w:val="FFFFFF"/>
                <w:sz w:val="18"/>
                <w:szCs w:val="18"/>
                <w:lang w:eastAsia="en-GB"/>
              </w:rPr>
            </w:pPr>
            <w:r w:rsidRPr="009F03E4">
              <w:rPr>
                <w:rFonts w:cs="Arial"/>
                <w:b/>
                <w:bCs/>
                <w:color w:val="FFFFFF"/>
                <w:sz w:val="18"/>
                <w:szCs w:val="18"/>
                <w:lang w:eastAsia="en-GB"/>
              </w:rPr>
              <w:t>£000</w:t>
            </w:r>
          </w:p>
        </w:tc>
        <w:tc>
          <w:tcPr>
            <w:tcW w:w="425" w:type="dxa"/>
            <w:tcBorders>
              <w:top w:val="nil"/>
              <w:left w:val="nil"/>
              <w:bottom w:val="single" w:sz="4" w:space="0" w:color="auto"/>
              <w:right w:val="nil"/>
            </w:tcBorders>
            <w:shd w:val="clear" w:color="000000" w:fill="000000"/>
            <w:noWrap/>
            <w:vAlign w:val="bottom"/>
            <w:hideMark/>
          </w:tcPr>
          <w:p w14:paraId="773399ED" w14:textId="77777777" w:rsidR="00CC37BA" w:rsidRPr="009F03E4" w:rsidRDefault="00CC37BA" w:rsidP="00CC37BA">
            <w:pPr>
              <w:jc w:val="center"/>
              <w:rPr>
                <w:rFonts w:cs="Arial"/>
                <w:b/>
                <w:bCs/>
                <w:color w:val="FFFFFF"/>
                <w:sz w:val="18"/>
                <w:szCs w:val="18"/>
                <w:lang w:eastAsia="en-GB"/>
              </w:rPr>
            </w:pPr>
            <w:r w:rsidRPr="009F03E4">
              <w:rPr>
                <w:rFonts w:cs="Arial"/>
                <w:b/>
                <w:bCs/>
                <w:color w:val="FFFFFF"/>
                <w:sz w:val="18"/>
                <w:szCs w:val="18"/>
                <w:lang w:eastAsia="en-GB"/>
              </w:rPr>
              <w:t> </w:t>
            </w:r>
          </w:p>
        </w:tc>
        <w:tc>
          <w:tcPr>
            <w:tcW w:w="5245" w:type="dxa"/>
            <w:tcBorders>
              <w:top w:val="nil"/>
              <w:left w:val="nil"/>
              <w:bottom w:val="single" w:sz="4" w:space="0" w:color="auto"/>
              <w:right w:val="nil"/>
            </w:tcBorders>
            <w:shd w:val="clear" w:color="000000" w:fill="000000"/>
            <w:noWrap/>
            <w:vAlign w:val="bottom"/>
            <w:hideMark/>
          </w:tcPr>
          <w:p w14:paraId="11A500A7" w14:textId="77777777" w:rsidR="00CC37BA" w:rsidRPr="009F03E4" w:rsidRDefault="00CC37BA" w:rsidP="00CC37BA">
            <w:pPr>
              <w:jc w:val="center"/>
              <w:rPr>
                <w:rFonts w:cs="Arial"/>
                <w:b/>
                <w:bCs/>
                <w:color w:val="FFFFFF"/>
                <w:sz w:val="18"/>
                <w:szCs w:val="18"/>
                <w:lang w:eastAsia="en-GB"/>
              </w:rPr>
            </w:pPr>
            <w:r w:rsidRPr="009F03E4">
              <w:rPr>
                <w:rFonts w:cs="Arial"/>
                <w:b/>
                <w:bCs/>
                <w:color w:val="FFFFFF"/>
                <w:sz w:val="18"/>
                <w:szCs w:val="18"/>
                <w:lang w:eastAsia="en-GB"/>
              </w:rPr>
              <w:t> </w:t>
            </w:r>
          </w:p>
        </w:tc>
        <w:tc>
          <w:tcPr>
            <w:tcW w:w="731" w:type="dxa"/>
            <w:tcBorders>
              <w:top w:val="nil"/>
              <w:left w:val="nil"/>
              <w:bottom w:val="single" w:sz="4" w:space="0" w:color="auto"/>
              <w:right w:val="nil"/>
            </w:tcBorders>
            <w:shd w:val="clear" w:color="000000" w:fill="000000"/>
            <w:noWrap/>
            <w:vAlign w:val="bottom"/>
            <w:hideMark/>
          </w:tcPr>
          <w:p w14:paraId="0216BB59" w14:textId="77777777" w:rsidR="00CC37BA" w:rsidRPr="009F03E4" w:rsidRDefault="00CC37BA" w:rsidP="00CC37BA">
            <w:pPr>
              <w:jc w:val="center"/>
              <w:rPr>
                <w:rFonts w:cs="Arial"/>
                <w:b/>
                <w:bCs/>
                <w:color w:val="FFFFFF"/>
                <w:sz w:val="18"/>
                <w:szCs w:val="18"/>
                <w:lang w:eastAsia="en-GB"/>
              </w:rPr>
            </w:pPr>
            <w:r w:rsidRPr="009F03E4">
              <w:rPr>
                <w:rFonts w:cs="Arial"/>
                <w:b/>
                <w:bCs/>
                <w:color w:val="FFFFFF"/>
                <w:sz w:val="18"/>
                <w:szCs w:val="18"/>
                <w:lang w:eastAsia="en-GB"/>
              </w:rPr>
              <w:t> </w:t>
            </w:r>
          </w:p>
        </w:tc>
        <w:tc>
          <w:tcPr>
            <w:tcW w:w="1253" w:type="dxa"/>
            <w:tcBorders>
              <w:top w:val="nil"/>
              <w:left w:val="nil"/>
              <w:bottom w:val="single" w:sz="4" w:space="0" w:color="auto"/>
              <w:right w:val="single" w:sz="4" w:space="0" w:color="auto"/>
            </w:tcBorders>
            <w:shd w:val="clear" w:color="000000" w:fill="000000"/>
            <w:noWrap/>
            <w:vAlign w:val="bottom"/>
            <w:hideMark/>
          </w:tcPr>
          <w:p w14:paraId="3D1DED0B" w14:textId="77777777" w:rsidR="00CC37BA" w:rsidRPr="009F03E4" w:rsidRDefault="00CC37BA" w:rsidP="00CC37BA">
            <w:pPr>
              <w:jc w:val="center"/>
              <w:rPr>
                <w:rFonts w:cs="Arial"/>
                <w:b/>
                <w:bCs/>
                <w:color w:val="FFFFFF"/>
                <w:sz w:val="18"/>
                <w:szCs w:val="18"/>
                <w:lang w:eastAsia="en-GB"/>
              </w:rPr>
            </w:pPr>
            <w:r w:rsidRPr="009F03E4">
              <w:rPr>
                <w:rFonts w:cs="Arial"/>
                <w:b/>
                <w:bCs/>
                <w:color w:val="FFFFFF"/>
                <w:sz w:val="18"/>
                <w:szCs w:val="18"/>
                <w:lang w:eastAsia="en-GB"/>
              </w:rPr>
              <w:t>£000</w:t>
            </w:r>
          </w:p>
        </w:tc>
      </w:tr>
      <w:tr w:rsidR="00665F5E" w:rsidRPr="009F03E4" w14:paraId="7F41C76A" w14:textId="77777777" w:rsidTr="00665F5E">
        <w:trPr>
          <w:trHeight w:val="300"/>
          <w:jc w:val="center"/>
        </w:trPr>
        <w:tc>
          <w:tcPr>
            <w:tcW w:w="1413" w:type="dxa"/>
            <w:tcBorders>
              <w:top w:val="nil"/>
              <w:left w:val="single" w:sz="4" w:space="0" w:color="auto"/>
              <w:bottom w:val="nil"/>
              <w:right w:val="nil"/>
            </w:tcBorders>
            <w:shd w:val="clear" w:color="000000" w:fill="FFFFFF"/>
            <w:noWrap/>
            <w:vAlign w:val="bottom"/>
            <w:hideMark/>
          </w:tcPr>
          <w:p w14:paraId="6EF51681" w14:textId="0F0F9148" w:rsidR="00665F5E" w:rsidRPr="009F03E4" w:rsidRDefault="00665F5E" w:rsidP="00665F5E">
            <w:pPr>
              <w:jc w:val="right"/>
              <w:rPr>
                <w:rFonts w:cs="Arial"/>
                <w:sz w:val="18"/>
                <w:szCs w:val="18"/>
                <w:lang w:eastAsia="en-GB"/>
              </w:rPr>
            </w:pPr>
            <w:r w:rsidRPr="009F03E4">
              <w:rPr>
                <w:rFonts w:cs="Arial"/>
                <w:sz w:val="18"/>
                <w:szCs w:val="18"/>
                <w:lang w:eastAsia="en-GB"/>
              </w:rPr>
              <w:t>29,</w:t>
            </w:r>
            <w:r>
              <w:rPr>
                <w:rFonts w:cs="Arial"/>
                <w:sz w:val="18"/>
                <w:szCs w:val="18"/>
                <w:lang w:eastAsia="en-GB"/>
              </w:rPr>
              <w:t>456</w:t>
            </w:r>
          </w:p>
        </w:tc>
        <w:tc>
          <w:tcPr>
            <w:tcW w:w="425" w:type="dxa"/>
            <w:tcBorders>
              <w:top w:val="nil"/>
              <w:left w:val="nil"/>
              <w:bottom w:val="nil"/>
              <w:right w:val="nil"/>
            </w:tcBorders>
            <w:shd w:val="clear" w:color="000000" w:fill="FFFFFF"/>
            <w:noWrap/>
            <w:vAlign w:val="bottom"/>
            <w:hideMark/>
          </w:tcPr>
          <w:p w14:paraId="4B6D3864"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381932F7" w14:textId="77777777" w:rsidR="00665F5E" w:rsidRPr="009F03E4" w:rsidRDefault="00665F5E" w:rsidP="00665F5E">
            <w:pPr>
              <w:rPr>
                <w:rFonts w:cs="Arial"/>
                <w:sz w:val="18"/>
                <w:szCs w:val="18"/>
                <w:lang w:eastAsia="en-GB"/>
              </w:rPr>
            </w:pPr>
            <w:r w:rsidRPr="009F03E4">
              <w:rPr>
                <w:rFonts w:cs="Arial"/>
                <w:sz w:val="18"/>
                <w:szCs w:val="18"/>
                <w:lang w:eastAsia="en-GB"/>
              </w:rPr>
              <w:t>Property, Plant &amp; Equipment</w:t>
            </w:r>
          </w:p>
        </w:tc>
        <w:tc>
          <w:tcPr>
            <w:tcW w:w="731" w:type="dxa"/>
            <w:tcBorders>
              <w:top w:val="nil"/>
              <w:left w:val="nil"/>
              <w:bottom w:val="nil"/>
              <w:right w:val="nil"/>
            </w:tcBorders>
            <w:shd w:val="clear" w:color="000000" w:fill="FFFFFF"/>
            <w:noWrap/>
            <w:vAlign w:val="bottom"/>
            <w:hideMark/>
          </w:tcPr>
          <w:p w14:paraId="39C4F104" w14:textId="75239304" w:rsidR="00665F5E" w:rsidRPr="009F03E4" w:rsidRDefault="00665F5E" w:rsidP="00665F5E">
            <w:pPr>
              <w:jc w:val="center"/>
              <w:rPr>
                <w:rFonts w:cs="Arial"/>
                <w:sz w:val="18"/>
                <w:szCs w:val="18"/>
                <w:lang w:eastAsia="en-GB"/>
              </w:rPr>
            </w:pPr>
            <w:r w:rsidRPr="009F03E4">
              <w:rPr>
                <w:rFonts w:cs="Arial"/>
                <w:sz w:val="18"/>
                <w:szCs w:val="18"/>
                <w:lang w:eastAsia="en-GB"/>
              </w:rPr>
              <w:t>1</w:t>
            </w:r>
            <w:r w:rsidR="00411D8F">
              <w:rPr>
                <w:rFonts w:cs="Arial"/>
                <w:sz w:val="18"/>
                <w:szCs w:val="18"/>
                <w:lang w:eastAsia="en-GB"/>
              </w:rPr>
              <w:t>9</w:t>
            </w:r>
          </w:p>
        </w:tc>
        <w:tc>
          <w:tcPr>
            <w:tcW w:w="1253" w:type="dxa"/>
            <w:tcBorders>
              <w:top w:val="nil"/>
              <w:left w:val="nil"/>
              <w:bottom w:val="nil"/>
              <w:right w:val="single" w:sz="4" w:space="0" w:color="auto"/>
            </w:tcBorders>
            <w:shd w:val="clear" w:color="000000" w:fill="FFFFFF"/>
            <w:noWrap/>
            <w:vAlign w:val="bottom"/>
            <w:hideMark/>
          </w:tcPr>
          <w:p w14:paraId="535F04A3" w14:textId="3A4AD145" w:rsidR="00665F5E" w:rsidRPr="009F03E4" w:rsidRDefault="00385A33" w:rsidP="00665F5E">
            <w:pPr>
              <w:jc w:val="right"/>
              <w:rPr>
                <w:rFonts w:cs="Arial"/>
                <w:sz w:val="18"/>
                <w:szCs w:val="18"/>
                <w:lang w:eastAsia="en-GB"/>
              </w:rPr>
            </w:pPr>
            <w:r>
              <w:rPr>
                <w:rFonts w:cs="Arial"/>
                <w:sz w:val="18"/>
                <w:szCs w:val="18"/>
                <w:lang w:eastAsia="en-GB"/>
              </w:rPr>
              <w:t>30,6</w:t>
            </w:r>
            <w:r w:rsidR="00F5136C">
              <w:rPr>
                <w:rFonts w:cs="Arial"/>
                <w:sz w:val="18"/>
                <w:szCs w:val="18"/>
                <w:lang w:eastAsia="en-GB"/>
              </w:rPr>
              <w:t>25</w:t>
            </w:r>
          </w:p>
        </w:tc>
      </w:tr>
      <w:tr w:rsidR="00665F5E" w:rsidRPr="009F03E4" w14:paraId="32805D78" w14:textId="77777777" w:rsidTr="00665F5E">
        <w:trPr>
          <w:trHeight w:val="208"/>
          <w:jc w:val="center"/>
        </w:trPr>
        <w:tc>
          <w:tcPr>
            <w:tcW w:w="1413" w:type="dxa"/>
            <w:tcBorders>
              <w:top w:val="nil"/>
              <w:left w:val="single" w:sz="4" w:space="0" w:color="auto"/>
              <w:bottom w:val="nil"/>
              <w:right w:val="nil"/>
            </w:tcBorders>
            <w:shd w:val="clear" w:color="000000" w:fill="FFFFFF"/>
            <w:noWrap/>
            <w:vAlign w:val="bottom"/>
            <w:hideMark/>
          </w:tcPr>
          <w:p w14:paraId="198C246C" w14:textId="2093522A" w:rsidR="00665F5E" w:rsidRPr="009F03E4" w:rsidRDefault="00665F5E" w:rsidP="00665F5E">
            <w:pPr>
              <w:jc w:val="right"/>
              <w:rPr>
                <w:rFonts w:cs="Arial"/>
                <w:sz w:val="18"/>
                <w:szCs w:val="18"/>
                <w:lang w:eastAsia="en-GB"/>
              </w:rPr>
            </w:pPr>
            <w:r w:rsidRPr="009F03E4">
              <w:rPr>
                <w:rFonts w:cs="Arial"/>
                <w:sz w:val="18"/>
                <w:szCs w:val="18"/>
                <w:lang w:eastAsia="en-GB"/>
              </w:rPr>
              <w:t>8</w:t>
            </w:r>
          </w:p>
        </w:tc>
        <w:tc>
          <w:tcPr>
            <w:tcW w:w="425" w:type="dxa"/>
            <w:tcBorders>
              <w:top w:val="nil"/>
              <w:left w:val="nil"/>
              <w:bottom w:val="nil"/>
              <w:right w:val="nil"/>
            </w:tcBorders>
            <w:shd w:val="clear" w:color="000000" w:fill="FFFFFF"/>
            <w:noWrap/>
            <w:vAlign w:val="bottom"/>
            <w:hideMark/>
          </w:tcPr>
          <w:p w14:paraId="305E00E7"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21556434" w14:textId="77777777" w:rsidR="00665F5E" w:rsidRPr="009F03E4" w:rsidRDefault="00665F5E" w:rsidP="00665F5E">
            <w:pPr>
              <w:rPr>
                <w:rFonts w:cs="Arial"/>
                <w:sz w:val="18"/>
                <w:szCs w:val="18"/>
                <w:lang w:eastAsia="en-GB"/>
              </w:rPr>
            </w:pPr>
            <w:r w:rsidRPr="009F03E4">
              <w:rPr>
                <w:rFonts w:cs="Arial"/>
                <w:sz w:val="18"/>
                <w:szCs w:val="18"/>
                <w:lang w:eastAsia="en-GB"/>
              </w:rPr>
              <w:t>Heritage Assets</w:t>
            </w:r>
          </w:p>
        </w:tc>
        <w:tc>
          <w:tcPr>
            <w:tcW w:w="731" w:type="dxa"/>
            <w:tcBorders>
              <w:top w:val="nil"/>
              <w:left w:val="nil"/>
              <w:bottom w:val="nil"/>
              <w:right w:val="nil"/>
            </w:tcBorders>
            <w:shd w:val="clear" w:color="000000" w:fill="FFFFFF"/>
            <w:noWrap/>
            <w:vAlign w:val="bottom"/>
            <w:hideMark/>
          </w:tcPr>
          <w:p w14:paraId="63F1E0E7"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nil"/>
              <w:left w:val="nil"/>
              <w:bottom w:val="nil"/>
              <w:right w:val="single" w:sz="4" w:space="0" w:color="auto"/>
            </w:tcBorders>
            <w:shd w:val="clear" w:color="000000" w:fill="FFFFFF"/>
            <w:noWrap/>
            <w:vAlign w:val="bottom"/>
            <w:hideMark/>
          </w:tcPr>
          <w:p w14:paraId="514DD8BB" w14:textId="77777777" w:rsidR="00665F5E" w:rsidRPr="009F03E4" w:rsidRDefault="00665F5E" w:rsidP="00665F5E">
            <w:pPr>
              <w:jc w:val="right"/>
              <w:rPr>
                <w:rFonts w:cs="Arial"/>
                <w:sz w:val="18"/>
                <w:szCs w:val="18"/>
                <w:lang w:eastAsia="en-GB"/>
              </w:rPr>
            </w:pPr>
            <w:r w:rsidRPr="009F03E4">
              <w:rPr>
                <w:rFonts w:cs="Arial"/>
                <w:sz w:val="18"/>
                <w:szCs w:val="18"/>
                <w:lang w:eastAsia="en-GB"/>
              </w:rPr>
              <w:t>8</w:t>
            </w:r>
          </w:p>
        </w:tc>
      </w:tr>
      <w:tr w:rsidR="00665F5E" w:rsidRPr="009F03E4" w14:paraId="35C8CF98" w14:textId="77777777" w:rsidTr="00665F5E">
        <w:trPr>
          <w:trHeight w:val="199"/>
          <w:jc w:val="center"/>
        </w:trPr>
        <w:tc>
          <w:tcPr>
            <w:tcW w:w="1413" w:type="dxa"/>
            <w:tcBorders>
              <w:top w:val="nil"/>
              <w:left w:val="single" w:sz="4" w:space="0" w:color="auto"/>
              <w:bottom w:val="nil"/>
              <w:right w:val="nil"/>
            </w:tcBorders>
            <w:shd w:val="clear" w:color="000000" w:fill="FFFFFF"/>
            <w:noWrap/>
            <w:vAlign w:val="bottom"/>
            <w:hideMark/>
          </w:tcPr>
          <w:p w14:paraId="018E8EC7" w14:textId="47FB85D7" w:rsidR="00665F5E" w:rsidRPr="009F03E4" w:rsidRDefault="00665F5E" w:rsidP="00665F5E">
            <w:pPr>
              <w:jc w:val="right"/>
              <w:rPr>
                <w:rFonts w:cs="Arial"/>
                <w:sz w:val="18"/>
                <w:szCs w:val="18"/>
                <w:lang w:eastAsia="en-GB"/>
              </w:rPr>
            </w:pPr>
            <w:r w:rsidRPr="009F03E4">
              <w:rPr>
                <w:rFonts w:cs="Arial"/>
                <w:sz w:val="18"/>
                <w:szCs w:val="18"/>
                <w:lang w:eastAsia="en-GB"/>
              </w:rPr>
              <w:t>5,672</w:t>
            </w:r>
          </w:p>
        </w:tc>
        <w:tc>
          <w:tcPr>
            <w:tcW w:w="425" w:type="dxa"/>
            <w:tcBorders>
              <w:top w:val="nil"/>
              <w:left w:val="nil"/>
              <w:bottom w:val="nil"/>
              <w:right w:val="nil"/>
            </w:tcBorders>
            <w:shd w:val="clear" w:color="000000" w:fill="FFFFFF"/>
            <w:noWrap/>
            <w:vAlign w:val="bottom"/>
            <w:hideMark/>
          </w:tcPr>
          <w:p w14:paraId="55081506"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321B71E1" w14:textId="77777777" w:rsidR="00665F5E" w:rsidRPr="009F03E4" w:rsidRDefault="00665F5E" w:rsidP="00665F5E">
            <w:pPr>
              <w:rPr>
                <w:rFonts w:cs="Arial"/>
                <w:sz w:val="18"/>
                <w:szCs w:val="18"/>
                <w:lang w:eastAsia="en-GB"/>
              </w:rPr>
            </w:pPr>
            <w:r w:rsidRPr="009F03E4">
              <w:rPr>
                <w:rFonts w:cs="Arial"/>
                <w:sz w:val="18"/>
                <w:szCs w:val="18"/>
                <w:lang w:eastAsia="en-GB"/>
              </w:rPr>
              <w:t>Investment Property</w:t>
            </w:r>
          </w:p>
        </w:tc>
        <w:tc>
          <w:tcPr>
            <w:tcW w:w="731" w:type="dxa"/>
            <w:tcBorders>
              <w:top w:val="nil"/>
              <w:left w:val="nil"/>
              <w:bottom w:val="nil"/>
              <w:right w:val="nil"/>
            </w:tcBorders>
            <w:shd w:val="clear" w:color="000000" w:fill="FFFFFF"/>
            <w:noWrap/>
            <w:vAlign w:val="bottom"/>
            <w:hideMark/>
          </w:tcPr>
          <w:p w14:paraId="61EC9CDA" w14:textId="5D1F8054" w:rsidR="00665F5E" w:rsidRPr="009F03E4" w:rsidRDefault="00665F5E" w:rsidP="00665F5E">
            <w:pPr>
              <w:jc w:val="center"/>
              <w:rPr>
                <w:rFonts w:cs="Arial"/>
                <w:sz w:val="18"/>
                <w:szCs w:val="18"/>
                <w:lang w:eastAsia="en-GB"/>
              </w:rPr>
            </w:pPr>
            <w:r w:rsidRPr="009F03E4">
              <w:rPr>
                <w:rFonts w:cs="Arial"/>
                <w:sz w:val="18"/>
                <w:szCs w:val="18"/>
                <w:lang w:eastAsia="en-GB"/>
              </w:rPr>
              <w:t>2</w:t>
            </w:r>
            <w:r w:rsidR="00411D8F">
              <w:rPr>
                <w:rFonts w:cs="Arial"/>
                <w:sz w:val="18"/>
                <w:szCs w:val="18"/>
                <w:lang w:eastAsia="en-GB"/>
              </w:rPr>
              <w:t>2</w:t>
            </w:r>
          </w:p>
        </w:tc>
        <w:tc>
          <w:tcPr>
            <w:tcW w:w="1253" w:type="dxa"/>
            <w:tcBorders>
              <w:top w:val="nil"/>
              <w:left w:val="nil"/>
              <w:bottom w:val="nil"/>
              <w:right w:val="single" w:sz="4" w:space="0" w:color="auto"/>
            </w:tcBorders>
            <w:shd w:val="clear" w:color="000000" w:fill="FFFFFF"/>
            <w:noWrap/>
            <w:vAlign w:val="bottom"/>
            <w:hideMark/>
          </w:tcPr>
          <w:p w14:paraId="4D4A4869" w14:textId="3094BA23" w:rsidR="00665F5E" w:rsidRPr="009F03E4" w:rsidRDefault="00665F5E" w:rsidP="00665F5E">
            <w:pPr>
              <w:jc w:val="right"/>
              <w:rPr>
                <w:rFonts w:cs="Arial"/>
                <w:sz w:val="18"/>
                <w:szCs w:val="18"/>
                <w:lang w:eastAsia="en-GB"/>
              </w:rPr>
            </w:pPr>
            <w:r w:rsidRPr="009F03E4">
              <w:rPr>
                <w:rFonts w:cs="Arial"/>
                <w:sz w:val="18"/>
                <w:szCs w:val="18"/>
                <w:lang w:eastAsia="en-GB"/>
              </w:rPr>
              <w:t>5,</w:t>
            </w:r>
            <w:r w:rsidR="00385A33">
              <w:rPr>
                <w:rFonts w:cs="Arial"/>
                <w:sz w:val="18"/>
                <w:szCs w:val="18"/>
                <w:lang w:eastAsia="en-GB"/>
              </w:rPr>
              <w:t>7</w:t>
            </w:r>
            <w:r w:rsidR="006B0145">
              <w:rPr>
                <w:rFonts w:cs="Arial"/>
                <w:sz w:val="18"/>
                <w:szCs w:val="18"/>
                <w:lang w:eastAsia="en-GB"/>
              </w:rPr>
              <w:t>16</w:t>
            </w:r>
          </w:p>
        </w:tc>
      </w:tr>
      <w:tr w:rsidR="00665F5E" w:rsidRPr="009F03E4" w14:paraId="06C2BA28" w14:textId="77777777" w:rsidTr="00665F5E">
        <w:trPr>
          <w:trHeight w:val="175"/>
          <w:jc w:val="center"/>
        </w:trPr>
        <w:tc>
          <w:tcPr>
            <w:tcW w:w="1413" w:type="dxa"/>
            <w:tcBorders>
              <w:top w:val="nil"/>
              <w:left w:val="single" w:sz="4" w:space="0" w:color="auto"/>
              <w:bottom w:val="nil"/>
              <w:right w:val="nil"/>
            </w:tcBorders>
            <w:shd w:val="clear" w:color="000000" w:fill="FFFFFF"/>
            <w:noWrap/>
            <w:vAlign w:val="bottom"/>
            <w:hideMark/>
          </w:tcPr>
          <w:p w14:paraId="73D0BFD3" w14:textId="1B13577A" w:rsidR="00665F5E" w:rsidRPr="009F03E4" w:rsidRDefault="00665F5E" w:rsidP="00665F5E">
            <w:pPr>
              <w:jc w:val="right"/>
              <w:rPr>
                <w:rFonts w:cs="Arial"/>
                <w:sz w:val="18"/>
                <w:szCs w:val="18"/>
                <w:lang w:eastAsia="en-GB"/>
              </w:rPr>
            </w:pPr>
            <w:r>
              <w:rPr>
                <w:rFonts w:cs="Arial"/>
                <w:sz w:val="18"/>
                <w:szCs w:val="18"/>
                <w:lang w:eastAsia="en-GB"/>
              </w:rPr>
              <w:t>12</w:t>
            </w:r>
            <w:r w:rsidRPr="009F03E4">
              <w:rPr>
                <w:rFonts w:cs="Arial"/>
                <w:sz w:val="18"/>
                <w:szCs w:val="18"/>
                <w:lang w:eastAsia="en-GB"/>
              </w:rPr>
              <w:t>0</w:t>
            </w:r>
          </w:p>
        </w:tc>
        <w:tc>
          <w:tcPr>
            <w:tcW w:w="425" w:type="dxa"/>
            <w:tcBorders>
              <w:top w:val="nil"/>
              <w:left w:val="nil"/>
              <w:bottom w:val="nil"/>
              <w:right w:val="nil"/>
            </w:tcBorders>
            <w:shd w:val="clear" w:color="000000" w:fill="FFFFFF"/>
            <w:noWrap/>
            <w:vAlign w:val="bottom"/>
            <w:hideMark/>
          </w:tcPr>
          <w:p w14:paraId="2A5BF80A"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2547712D" w14:textId="77777777" w:rsidR="00665F5E" w:rsidRPr="009F03E4" w:rsidRDefault="00665F5E" w:rsidP="00665F5E">
            <w:pPr>
              <w:rPr>
                <w:rFonts w:cs="Arial"/>
                <w:sz w:val="18"/>
                <w:szCs w:val="18"/>
                <w:lang w:eastAsia="en-GB"/>
              </w:rPr>
            </w:pPr>
            <w:r w:rsidRPr="009F03E4">
              <w:rPr>
                <w:rFonts w:cs="Arial"/>
                <w:sz w:val="18"/>
                <w:szCs w:val="18"/>
                <w:lang w:eastAsia="en-GB"/>
              </w:rPr>
              <w:t>Surplus Assets</w:t>
            </w:r>
          </w:p>
        </w:tc>
        <w:tc>
          <w:tcPr>
            <w:tcW w:w="731" w:type="dxa"/>
            <w:tcBorders>
              <w:top w:val="nil"/>
              <w:left w:val="nil"/>
              <w:bottom w:val="nil"/>
              <w:right w:val="nil"/>
            </w:tcBorders>
            <w:shd w:val="clear" w:color="000000" w:fill="FFFFFF"/>
            <w:noWrap/>
            <w:vAlign w:val="bottom"/>
            <w:hideMark/>
          </w:tcPr>
          <w:p w14:paraId="40CD8125"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nil"/>
              <w:left w:val="nil"/>
              <w:bottom w:val="nil"/>
              <w:right w:val="single" w:sz="4" w:space="0" w:color="auto"/>
            </w:tcBorders>
            <w:shd w:val="clear" w:color="000000" w:fill="FFFFFF"/>
            <w:noWrap/>
            <w:vAlign w:val="bottom"/>
            <w:hideMark/>
          </w:tcPr>
          <w:p w14:paraId="26E05251" w14:textId="4AF066A4" w:rsidR="00665F5E" w:rsidRPr="009F03E4" w:rsidRDefault="005C4953" w:rsidP="00665F5E">
            <w:pPr>
              <w:jc w:val="right"/>
              <w:rPr>
                <w:rFonts w:cs="Arial"/>
                <w:sz w:val="18"/>
                <w:szCs w:val="18"/>
                <w:lang w:eastAsia="en-GB"/>
              </w:rPr>
            </w:pPr>
            <w:r>
              <w:rPr>
                <w:rFonts w:cs="Arial"/>
                <w:sz w:val="18"/>
                <w:szCs w:val="18"/>
                <w:lang w:eastAsia="en-GB"/>
              </w:rPr>
              <w:t>120</w:t>
            </w:r>
          </w:p>
        </w:tc>
      </w:tr>
      <w:tr w:rsidR="00665F5E" w:rsidRPr="009F03E4" w14:paraId="307D0343" w14:textId="77777777" w:rsidTr="00665F5E">
        <w:trPr>
          <w:trHeight w:val="165"/>
          <w:jc w:val="center"/>
        </w:trPr>
        <w:tc>
          <w:tcPr>
            <w:tcW w:w="1413" w:type="dxa"/>
            <w:tcBorders>
              <w:top w:val="nil"/>
              <w:left w:val="single" w:sz="4" w:space="0" w:color="auto"/>
              <w:right w:val="nil"/>
            </w:tcBorders>
            <w:shd w:val="clear" w:color="000000" w:fill="FFFFFF"/>
            <w:noWrap/>
            <w:vAlign w:val="bottom"/>
            <w:hideMark/>
          </w:tcPr>
          <w:p w14:paraId="776C4401" w14:textId="04351DF6" w:rsidR="00665F5E" w:rsidRPr="009F03E4" w:rsidRDefault="00665F5E" w:rsidP="00665F5E">
            <w:pPr>
              <w:jc w:val="right"/>
              <w:rPr>
                <w:rFonts w:cs="Arial"/>
                <w:sz w:val="18"/>
                <w:szCs w:val="18"/>
                <w:lang w:eastAsia="en-GB"/>
              </w:rPr>
            </w:pPr>
            <w:r w:rsidRPr="009F03E4">
              <w:rPr>
                <w:rFonts w:cs="Arial"/>
                <w:sz w:val="18"/>
                <w:szCs w:val="18"/>
                <w:lang w:eastAsia="en-GB"/>
              </w:rPr>
              <w:t>28</w:t>
            </w:r>
          </w:p>
        </w:tc>
        <w:tc>
          <w:tcPr>
            <w:tcW w:w="425" w:type="dxa"/>
            <w:tcBorders>
              <w:top w:val="nil"/>
              <w:left w:val="nil"/>
              <w:right w:val="nil"/>
            </w:tcBorders>
            <w:shd w:val="clear" w:color="000000" w:fill="FFFFFF"/>
            <w:noWrap/>
            <w:vAlign w:val="bottom"/>
            <w:hideMark/>
          </w:tcPr>
          <w:p w14:paraId="0F79D267"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right w:val="nil"/>
            </w:tcBorders>
            <w:shd w:val="clear" w:color="000000" w:fill="FFFFFF"/>
            <w:noWrap/>
            <w:vAlign w:val="bottom"/>
            <w:hideMark/>
          </w:tcPr>
          <w:p w14:paraId="4F896C98" w14:textId="77777777" w:rsidR="00665F5E" w:rsidRPr="009F03E4" w:rsidRDefault="00665F5E" w:rsidP="00665F5E">
            <w:pPr>
              <w:rPr>
                <w:rFonts w:cs="Arial"/>
                <w:sz w:val="18"/>
                <w:szCs w:val="18"/>
                <w:lang w:eastAsia="en-GB"/>
              </w:rPr>
            </w:pPr>
            <w:r w:rsidRPr="009F03E4">
              <w:rPr>
                <w:rFonts w:cs="Arial"/>
                <w:sz w:val="18"/>
                <w:szCs w:val="18"/>
                <w:lang w:eastAsia="en-GB"/>
              </w:rPr>
              <w:t>Intangible Assets</w:t>
            </w:r>
          </w:p>
        </w:tc>
        <w:tc>
          <w:tcPr>
            <w:tcW w:w="731" w:type="dxa"/>
            <w:tcBorders>
              <w:top w:val="nil"/>
              <w:left w:val="nil"/>
              <w:right w:val="nil"/>
            </w:tcBorders>
            <w:shd w:val="clear" w:color="000000" w:fill="FFFFFF"/>
            <w:noWrap/>
            <w:vAlign w:val="bottom"/>
            <w:hideMark/>
          </w:tcPr>
          <w:p w14:paraId="6617DF61"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nil"/>
              <w:left w:val="nil"/>
              <w:right w:val="single" w:sz="4" w:space="0" w:color="auto"/>
            </w:tcBorders>
            <w:shd w:val="clear" w:color="000000" w:fill="FFFFFF"/>
            <w:noWrap/>
            <w:vAlign w:val="bottom"/>
            <w:hideMark/>
          </w:tcPr>
          <w:p w14:paraId="3CE1761D" w14:textId="6A07110E" w:rsidR="00665F5E" w:rsidRPr="009F03E4" w:rsidRDefault="00F5136C" w:rsidP="00665F5E">
            <w:pPr>
              <w:jc w:val="right"/>
              <w:rPr>
                <w:rFonts w:cs="Arial"/>
                <w:sz w:val="18"/>
                <w:szCs w:val="18"/>
                <w:lang w:eastAsia="en-GB"/>
              </w:rPr>
            </w:pPr>
            <w:r>
              <w:rPr>
                <w:rFonts w:cs="Arial"/>
                <w:sz w:val="18"/>
                <w:szCs w:val="18"/>
                <w:lang w:eastAsia="en-GB"/>
              </w:rPr>
              <w:t>18</w:t>
            </w:r>
          </w:p>
        </w:tc>
      </w:tr>
      <w:tr w:rsidR="00665F5E" w:rsidRPr="009F03E4" w14:paraId="524EB07B" w14:textId="77777777" w:rsidTr="00665F5E">
        <w:trPr>
          <w:trHeight w:val="181"/>
          <w:jc w:val="center"/>
        </w:trPr>
        <w:tc>
          <w:tcPr>
            <w:tcW w:w="1413" w:type="dxa"/>
            <w:tcBorders>
              <w:top w:val="single" w:sz="4" w:space="0" w:color="auto"/>
              <w:left w:val="single" w:sz="4" w:space="0" w:color="auto"/>
              <w:bottom w:val="nil"/>
              <w:right w:val="nil"/>
            </w:tcBorders>
            <w:shd w:val="clear" w:color="000000" w:fill="FFFFFF"/>
            <w:noWrap/>
            <w:vAlign w:val="bottom"/>
            <w:hideMark/>
          </w:tcPr>
          <w:p w14:paraId="46F2FB2E" w14:textId="308AA09A" w:rsidR="00665F5E" w:rsidRPr="009F03E4" w:rsidRDefault="00665F5E" w:rsidP="00665F5E">
            <w:pPr>
              <w:jc w:val="right"/>
              <w:rPr>
                <w:rFonts w:cs="Arial"/>
                <w:b/>
                <w:bCs/>
                <w:sz w:val="18"/>
                <w:szCs w:val="18"/>
                <w:lang w:eastAsia="en-GB"/>
              </w:rPr>
            </w:pPr>
            <w:r>
              <w:rPr>
                <w:rFonts w:cs="Arial"/>
                <w:b/>
                <w:bCs/>
                <w:sz w:val="18"/>
                <w:szCs w:val="18"/>
                <w:lang w:eastAsia="en-GB"/>
              </w:rPr>
              <w:t>35,284</w:t>
            </w:r>
          </w:p>
        </w:tc>
        <w:tc>
          <w:tcPr>
            <w:tcW w:w="425" w:type="dxa"/>
            <w:tcBorders>
              <w:top w:val="nil"/>
              <w:left w:val="nil"/>
              <w:bottom w:val="nil"/>
              <w:right w:val="nil"/>
            </w:tcBorders>
            <w:shd w:val="clear" w:color="000000" w:fill="FFFFFF"/>
            <w:noWrap/>
            <w:vAlign w:val="bottom"/>
            <w:hideMark/>
          </w:tcPr>
          <w:p w14:paraId="729AE561" w14:textId="77777777" w:rsidR="00665F5E" w:rsidRPr="009F03E4" w:rsidRDefault="00665F5E" w:rsidP="00665F5E">
            <w:pPr>
              <w:jc w:val="right"/>
              <w:rPr>
                <w:rFonts w:cs="Arial"/>
                <w:b/>
                <w:bCs/>
                <w:sz w:val="18"/>
                <w:szCs w:val="18"/>
                <w:lang w:eastAsia="en-GB"/>
              </w:rPr>
            </w:pPr>
            <w:r w:rsidRPr="009F03E4">
              <w:rPr>
                <w:rFonts w:cs="Arial"/>
                <w:b/>
                <w:bCs/>
                <w:sz w:val="18"/>
                <w:szCs w:val="18"/>
                <w:lang w:eastAsia="en-GB"/>
              </w:rPr>
              <w:t> </w:t>
            </w:r>
          </w:p>
        </w:tc>
        <w:tc>
          <w:tcPr>
            <w:tcW w:w="5245" w:type="dxa"/>
            <w:tcBorders>
              <w:top w:val="nil"/>
              <w:left w:val="nil"/>
              <w:bottom w:val="nil"/>
              <w:right w:val="nil"/>
            </w:tcBorders>
            <w:shd w:val="clear" w:color="000000" w:fill="FFFFFF"/>
            <w:noWrap/>
            <w:vAlign w:val="bottom"/>
            <w:hideMark/>
          </w:tcPr>
          <w:p w14:paraId="3B5EB9FE" w14:textId="77777777" w:rsidR="00665F5E" w:rsidRPr="009F03E4" w:rsidRDefault="00665F5E" w:rsidP="00665F5E">
            <w:pPr>
              <w:rPr>
                <w:rFonts w:cs="Arial"/>
                <w:b/>
                <w:bCs/>
                <w:sz w:val="18"/>
                <w:szCs w:val="18"/>
                <w:lang w:eastAsia="en-GB"/>
              </w:rPr>
            </w:pPr>
            <w:r w:rsidRPr="009F03E4">
              <w:rPr>
                <w:rFonts w:cs="Arial"/>
                <w:b/>
                <w:bCs/>
                <w:sz w:val="18"/>
                <w:szCs w:val="18"/>
                <w:lang w:eastAsia="en-GB"/>
              </w:rPr>
              <w:t>Long Term Assets</w:t>
            </w:r>
          </w:p>
        </w:tc>
        <w:tc>
          <w:tcPr>
            <w:tcW w:w="731" w:type="dxa"/>
            <w:tcBorders>
              <w:top w:val="nil"/>
              <w:left w:val="nil"/>
              <w:bottom w:val="nil"/>
              <w:right w:val="nil"/>
            </w:tcBorders>
            <w:shd w:val="clear" w:color="000000" w:fill="FFFFFF"/>
            <w:noWrap/>
            <w:vAlign w:val="bottom"/>
            <w:hideMark/>
          </w:tcPr>
          <w:p w14:paraId="3C121393"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single" w:sz="4" w:space="0" w:color="auto"/>
              <w:left w:val="nil"/>
              <w:bottom w:val="nil"/>
              <w:right w:val="single" w:sz="4" w:space="0" w:color="auto"/>
            </w:tcBorders>
            <w:shd w:val="clear" w:color="000000" w:fill="FFFFFF"/>
            <w:noWrap/>
            <w:vAlign w:val="bottom"/>
            <w:hideMark/>
          </w:tcPr>
          <w:p w14:paraId="1C85C120" w14:textId="5F3548BA" w:rsidR="00665F5E" w:rsidRPr="009F03E4" w:rsidRDefault="00665F5E" w:rsidP="00665F5E">
            <w:pPr>
              <w:jc w:val="right"/>
              <w:rPr>
                <w:rFonts w:cs="Arial"/>
                <w:b/>
                <w:bCs/>
                <w:sz w:val="18"/>
                <w:szCs w:val="18"/>
                <w:lang w:eastAsia="en-GB"/>
              </w:rPr>
            </w:pPr>
            <w:r>
              <w:rPr>
                <w:rFonts w:cs="Arial"/>
                <w:b/>
                <w:bCs/>
                <w:sz w:val="18"/>
                <w:szCs w:val="18"/>
                <w:lang w:eastAsia="en-GB"/>
              </w:rPr>
              <w:t>3</w:t>
            </w:r>
            <w:r w:rsidR="00385A33">
              <w:rPr>
                <w:rFonts w:cs="Arial"/>
                <w:b/>
                <w:bCs/>
                <w:sz w:val="18"/>
                <w:szCs w:val="18"/>
                <w:lang w:eastAsia="en-GB"/>
              </w:rPr>
              <w:t>6,</w:t>
            </w:r>
            <w:r w:rsidR="00F5136C">
              <w:rPr>
                <w:rFonts w:cs="Arial"/>
                <w:b/>
                <w:bCs/>
                <w:sz w:val="18"/>
                <w:szCs w:val="18"/>
                <w:lang w:eastAsia="en-GB"/>
              </w:rPr>
              <w:t>487</w:t>
            </w:r>
          </w:p>
        </w:tc>
      </w:tr>
      <w:tr w:rsidR="00665F5E" w:rsidRPr="009F03E4" w14:paraId="2BE390F3" w14:textId="77777777" w:rsidTr="00665F5E">
        <w:trPr>
          <w:trHeight w:val="300"/>
          <w:jc w:val="center"/>
        </w:trPr>
        <w:tc>
          <w:tcPr>
            <w:tcW w:w="1413" w:type="dxa"/>
            <w:tcBorders>
              <w:top w:val="nil"/>
              <w:left w:val="single" w:sz="4" w:space="0" w:color="auto"/>
              <w:bottom w:val="nil"/>
              <w:right w:val="nil"/>
            </w:tcBorders>
            <w:shd w:val="clear" w:color="000000" w:fill="FFFFFF"/>
            <w:noWrap/>
            <w:vAlign w:val="bottom"/>
            <w:hideMark/>
          </w:tcPr>
          <w:p w14:paraId="2FD53FF1" w14:textId="0FD6C4F4"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425" w:type="dxa"/>
            <w:tcBorders>
              <w:top w:val="nil"/>
              <w:left w:val="nil"/>
              <w:bottom w:val="nil"/>
              <w:right w:val="nil"/>
            </w:tcBorders>
            <w:shd w:val="clear" w:color="000000" w:fill="FFFFFF"/>
            <w:noWrap/>
            <w:vAlign w:val="bottom"/>
            <w:hideMark/>
          </w:tcPr>
          <w:p w14:paraId="2302D18D"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3E2DCF43" w14:textId="77777777" w:rsidR="00665F5E" w:rsidRPr="009F03E4" w:rsidRDefault="00665F5E" w:rsidP="00665F5E">
            <w:pPr>
              <w:rPr>
                <w:rFonts w:cs="Arial"/>
                <w:b/>
                <w:bCs/>
                <w:sz w:val="18"/>
                <w:szCs w:val="18"/>
                <w:lang w:eastAsia="en-GB"/>
              </w:rPr>
            </w:pPr>
            <w:r w:rsidRPr="009F03E4">
              <w:rPr>
                <w:rFonts w:cs="Arial"/>
                <w:b/>
                <w:bCs/>
                <w:sz w:val="18"/>
                <w:szCs w:val="18"/>
                <w:lang w:eastAsia="en-GB"/>
              </w:rPr>
              <w:t> </w:t>
            </w:r>
          </w:p>
        </w:tc>
        <w:tc>
          <w:tcPr>
            <w:tcW w:w="731" w:type="dxa"/>
            <w:tcBorders>
              <w:top w:val="nil"/>
              <w:left w:val="nil"/>
              <w:bottom w:val="nil"/>
              <w:right w:val="nil"/>
            </w:tcBorders>
            <w:shd w:val="clear" w:color="000000" w:fill="FFFFFF"/>
            <w:noWrap/>
            <w:vAlign w:val="bottom"/>
            <w:hideMark/>
          </w:tcPr>
          <w:p w14:paraId="7E750A4A"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nil"/>
              <w:left w:val="nil"/>
              <w:bottom w:val="nil"/>
              <w:right w:val="single" w:sz="4" w:space="0" w:color="auto"/>
            </w:tcBorders>
            <w:shd w:val="clear" w:color="000000" w:fill="FFFFFF"/>
            <w:noWrap/>
            <w:vAlign w:val="bottom"/>
            <w:hideMark/>
          </w:tcPr>
          <w:p w14:paraId="6B18A7A0"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r>
      <w:tr w:rsidR="00665F5E" w:rsidRPr="009F03E4" w14:paraId="42608658" w14:textId="77777777" w:rsidTr="00665F5E">
        <w:trPr>
          <w:trHeight w:val="225"/>
          <w:jc w:val="center"/>
        </w:trPr>
        <w:tc>
          <w:tcPr>
            <w:tcW w:w="1413" w:type="dxa"/>
            <w:tcBorders>
              <w:top w:val="nil"/>
              <w:left w:val="single" w:sz="4" w:space="0" w:color="auto"/>
              <w:bottom w:val="nil"/>
              <w:right w:val="nil"/>
            </w:tcBorders>
            <w:shd w:val="clear" w:color="000000" w:fill="FFFFFF"/>
            <w:noWrap/>
            <w:vAlign w:val="bottom"/>
            <w:hideMark/>
          </w:tcPr>
          <w:p w14:paraId="543C7C70" w14:textId="06CA63EB" w:rsidR="00665F5E" w:rsidRPr="009F03E4" w:rsidRDefault="00665F5E" w:rsidP="00665F5E">
            <w:pPr>
              <w:jc w:val="right"/>
              <w:rPr>
                <w:rFonts w:cs="Arial"/>
                <w:sz w:val="18"/>
                <w:szCs w:val="18"/>
                <w:lang w:eastAsia="en-GB"/>
              </w:rPr>
            </w:pPr>
            <w:r w:rsidRPr="009F03E4">
              <w:rPr>
                <w:rFonts w:cs="Arial"/>
                <w:sz w:val="18"/>
                <w:szCs w:val="18"/>
                <w:lang w:eastAsia="en-GB"/>
              </w:rPr>
              <w:t>4,590</w:t>
            </w:r>
          </w:p>
        </w:tc>
        <w:tc>
          <w:tcPr>
            <w:tcW w:w="425" w:type="dxa"/>
            <w:tcBorders>
              <w:top w:val="nil"/>
              <w:left w:val="nil"/>
              <w:bottom w:val="nil"/>
              <w:right w:val="nil"/>
            </w:tcBorders>
            <w:shd w:val="clear" w:color="000000" w:fill="FFFFFF"/>
            <w:noWrap/>
            <w:vAlign w:val="bottom"/>
            <w:hideMark/>
          </w:tcPr>
          <w:p w14:paraId="2F7EBD70"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2C3648FB" w14:textId="77777777" w:rsidR="00665F5E" w:rsidRPr="009F03E4" w:rsidRDefault="00665F5E" w:rsidP="00665F5E">
            <w:pPr>
              <w:rPr>
                <w:rFonts w:cs="Arial"/>
                <w:sz w:val="18"/>
                <w:szCs w:val="18"/>
                <w:lang w:eastAsia="en-GB"/>
              </w:rPr>
            </w:pPr>
            <w:r w:rsidRPr="009F03E4">
              <w:rPr>
                <w:rFonts w:cs="Arial"/>
                <w:sz w:val="18"/>
                <w:szCs w:val="18"/>
                <w:lang w:eastAsia="en-GB"/>
              </w:rPr>
              <w:t>Cash &amp; cash equivalents</w:t>
            </w:r>
          </w:p>
        </w:tc>
        <w:tc>
          <w:tcPr>
            <w:tcW w:w="731" w:type="dxa"/>
            <w:tcBorders>
              <w:top w:val="nil"/>
              <w:left w:val="nil"/>
              <w:bottom w:val="nil"/>
              <w:right w:val="nil"/>
            </w:tcBorders>
            <w:shd w:val="clear" w:color="000000" w:fill="FFFFFF"/>
            <w:noWrap/>
            <w:vAlign w:val="bottom"/>
            <w:hideMark/>
          </w:tcPr>
          <w:p w14:paraId="399A901D" w14:textId="1BDA0636" w:rsidR="00665F5E" w:rsidRPr="009F03E4" w:rsidRDefault="00665F5E" w:rsidP="00665F5E">
            <w:pPr>
              <w:jc w:val="center"/>
              <w:rPr>
                <w:rFonts w:cs="Arial"/>
                <w:sz w:val="18"/>
                <w:szCs w:val="18"/>
                <w:lang w:eastAsia="en-GB"/>
              </w:rPr>
            </w:pPr>
            <w:r w:rsidRPr="009F03E4">
              <w:rPr>
                <w:rFonts w:cs="Arial"/>
                <w:sz w:val="18"/>
                <w:szCs w:val="18"/>
                <w:lang w:eastAsia="en-GB"/>
              </w:rPr>
              <w:t>2</w:t>
            </w:r>
            <w:r w:rsidR="00411D8F">
              <w:rPr>
                <w:rFonts w:cs="Arial"/>
                <w:sz w:val="18"/>
                <w:szCs w:val="18"/>
                <w:lang w:eastAsia="en-GB"/>
              </w:rPr>
              <w:t>7</w:t>
            </w:r>
          </w:p>
        </w:tc>
        <w:tc>
          <w:tcPr>
            <w:tcW w:w="1253" w:type="dxa"/>
            <w:tcBorders>
              <w:top w:val="nil"/>
              <w:left w:val="nil"/>
              <w:bottom w:val="nil"/>
              <w:right w:val="single" w:sz="4" w:space="0" w:color="auto"/>
            </w:tcBorders>
            <w:shd w:val="clear" w:color="000000" w:fill="FFFFFF"/>
            <w:noWrap/>
            <w:vAlign w:val="bottom"/>
            <w:hideMark/>
          </w:tcPr>
          <w:p w14:paraId="79977496" w14:textId="5CDBD443" w:rsidR="00665F5E" w:rsidRPr="009F03E4" w:rsidRDefault="00665F5E" w:rsidP="00665F5E">
            <w:pPr>
              <w:jc w:val="right"/>
              <w:rPr>
                <w:rFonts w:cs="Arial"/>
                <w:sz w:val="18"/>
                <w:szCs w:val="18"/>
                <w:lang w:eastAsia="en-GB"/>
              </w:rPr>
            </w:pPr>
            <w:r w:rsidRPr="009F03E4">
              <w:rPr>
                <w:rFonts w:cs="Arial"/>
                <w:sz w:val="18"/>
                <w:szCs w:val="18"/>
                <w:lang w:eastAsia="en-GB"/>
              </w:rPr>
              <w:t>4,</w:t>
            </w:r>
            <w:r w:rsidR="00385A33">
              <w:rPr>
                <w:rFonts w:cs="Arial"/>
                <w:sz w:val="18"/>
                <w:szCs w:val="18"/>
                <w:lang w:eastAsia="en-GB"/>
              </w:rPr>
              <w:t>477</w:t>
            </w:r>
          </w:p>
        </w:tc>
      </w:tr>
      <w:tr w:rsidR="00665F5E" w:rsidRPr="009F03E4" w14:paraId="4221BB3E" w14:textId="77777777" w:rsidTr="00665F5E">
        <w:trPr>
          <w:trHeight w:val="143"/>
          <w:jc w:val="center"/>
        </w:trPr>
        <w:tc>
          <w:tcPr>
            <w:tcW w:w="1413" w:type="dxa"/>
            <w:tcBorders>
              <w:top w:val="nil"/>
              <w:left w:val="single" w:sz="4" w:space="0" w:color="auto"/>
              <w:bottom w:val="nil"/>
              <w:right w:val="nil"/>
            </w:tcBorders>
            <w:shd w:val="clear" w:color="000000" w:fill="FFFFFF"/>
            <w:noWrap/>
            <w:vAlign w:val="bottom"/>
            <w:hideMark/>
          </w:tcPr>
          <w:p w14:paraId="0C0EAE85" w14:textId="36024B7D" w:rsidR="00665F5E" w:rsidRPr="009F03E4" w:rsidRDefault="00665F5E" w:rsidP="00665F5E">
            <w:pPr>
              <w:jc w:val="right"/>
              <w:rPr>
                <w:rFonts w:cs="Arial"/>
                <w:sz w:val="18"/>
                <w:szCs w:val="18"/>
                <w:lang w:eastAsia="en-GB"/>
              </w:rPr>
            </w:pPr>
            <w:r w:rsidRPr="0078717B">
              <w:rPr>
                <w:rFonts w:cs="Arial"/>
                <w:sz w:val="18"/>
                <w:szCs w:val="18"/>
                <w:lang w:eastAsia="en-GB"/>
              </w:rPr>
              <w:t>261</w:t>
            </w:r>
          </w:p>
        </w:tc>
        <w:tc>
          <w:tcPr>
            <w:tcW w:w="425" w:type="dxa"/>
            <w:tcBorders>
              <w:top w:val="nil"/>
              <w:left w:val="nil"/>
              <w:bottom w:val="nil"/>
              <w:right w:val="nil"/>
            </w:tcBorders>
            <w:shd w:val="clear" w:color="000000" w:fill="FFFFFF"/>
            <w:noWrap/>
            <w:vAlign w:val="bottom"/>
            <w:hideMark/>
          </w:tcPr>
          <w:p w14:paraId="2A49E1E9"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6F6C66F5" w14:textId="77777777" w:rsidR="00665F5E" w:rsidRPr="009F03E4" w:rsidRDefault="00665F5E" w:rsidP="00665F5E">
            <w:pPr>
              <w:rPr>
                <w:rFonts w:cs="Arial"/>
                <w:sz w:val="18"/>
                <w:szCs w:val="18"/>
                <w:lang w:eastAsia="en-GB"/>
              </w:rPr>
            </w:pPr>
            <w:r w:rsidRPr="009F03E4">
              <w:rPr>
                <w:rFonts w:cs="Arial"/>
                <w:sz w:val="18"/>
                <w:szCs w:val="18"/>
                <w:lang w:eastAsia="en-GB"/>
              </w:rPr>
              <w:t>Inventories &amp; Work in Progress</w:t>
            </w:r>
          </w:p>
        </w:tc>
        <w:tc>
          <w:tcPr>
            <w:tcW w:w="731" w:type="dxa"/>
            <w:tcBorders>
              <w:top w:val="nil"/>
              <w:left w:val="nil"/>
              <w:bottom w:val="nil"/>
              <w:right w:val="nil"/>
            </w:tcBorders>
            <w:shd w:val="clear" w:color="000000" w:fill="FFFFFF"/>
            <w:noWrap/>
            <w:vAlign w:val="bottom"/>
            <w:hideMark/>
          </w:tcPr>
          <w:p w14:paraId="2CB6B180"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nil"/>
              <w:left w:val="nil"/>
              <w:bottom w:val="nil"/>
              <w:right w:val="single" w:sz="4" w:space="0" w:color="auto"/>
            </w:tcBorders>
            <w:shd w:val="clear" w:color="000000" w:fill="FFFFFF"/>
            <w:noWrap/>
            <w:vAlign w:val="bottom"/>
            <w:hideMark/>
          </w:tcPr>
          <w:p w14:paraId="77C455EF" w14:textId="3F5303F2" w:rsidR="00665F5E" w:rsidRPr="0078717B" w:rsidRDefault="00665F5E" w:rsidP="00665F5E">
            <w:pPr>
              <w:jc w:val="right"/>
              <w:rPr>
                <w:rFonts w:cs="Arial"/>
                <w:sz w:val="18"/>
                <w:szCs w:val="18"/>
                <w:lang w:eastAsia="en-GB"/>
              </w:rPr>
            </w:pPr>
            <w:r w:rsidRPr="0078717B">
              <w:rPr>
                <w:rFonts w:cs="Arial"/>
                <w:sz w:val="18"/>
                <w:szCs w:val="18"/>
                <w:lang w:eastAsia="en-GB"/>
              </w:rPr>
              <w:t>2</w:t>
            </w:r>
            <w:r w:rsidR="00385A33">
              <w:rPr>
                <w:rFonts w:cs="Arial"/>
                <w:sz w:val="18"/>
                <w:szCs w:val="18"/>
                <w:lang w:eastAsia="en-GB"/>
              </w:rPr>
              <w:t>76</w:t>
            </w:r>
          </w:p>
        </w:tc>
      </w:tr>
      <w:tr w:rsidR="00665F5E" w:rsidRPr="009F03E4" w14:paraId="472AF3BD" w14:textId="77777777" w:rsidTr="00665F5E">
        <w:trPr>
          <w:trHeight w:val="191"/>
          <w:jc w:val="center"/>
        </w:trPr>
        <w:tc>
          <w:tcPr>
            <w:tcW w:w="1413" w:type="dxa"/>
            <w:tcBorders>
              <w:top w:val="nil"/>
              <w:left w:val="single" w:sz="4" w:space="0" w:color="auto"/>
              <w:bottom w:val="nil"/>
              <w:right w:val="nil"/>
            </w:tcBorders>
            <w:shd w:val="clear" w:color="000000" w:fill="FFFFFF"/>
            <w:noWrap/>
            <w:vAlign w:val="bottom"/>
            <w:hideMark/>
          </w:tcPr>
          <w:p w14:paraId="23191876" w14:textId="2FFC9969" w:rsidR="00665F5E" w:rsidRPr="009F03E4" w:rsidRDefault="00665F5E" w:rsidP="00665F5E">
            <w:pPr>
              <w:jc w:val="right"/>
              <w:rPr>
                <w:rFonts w:cs="Arial"/>
                <w:sz w:val="18"/>
                <w:szCs w:val="18"/>
                <w:lang w:eastAsia="en-GB"/>
              </w:rPr>
            </w:pPr>
            <w:r w:rsidRPr="0078717B">
              <w:rPr>
                <w:rFonts w:cs="Arial"/>
                <w:sz w:val="18"/>
                <w:szCs w:val="18"/>
                <w:lang w:eastAsia="en-GB"/>
              </w:rPr>
              <w:t>2,318</w:t>
            </w:r>
          </w:p>
        </w:tc>
        <w:tc>
          <w:tcPr>
            <w:tcW w:w="425" w:type="dxa"/>
            <w:tcBorders>
              <w:top w:val="nil"/>
              <w:left w:val="nil"/>
              <w:bottom w:val="nil"/>
              <w:right w:val="nil"/>
            </w:tcBorders>
            <w:shd w:val="clear" w:color="000000" w:fill="FFFFFF"/>
            <w:noWrap/>
            <w:vAlign w:val="bottom"/>
            <w:hideMark/>
          </w:tcPr>
          <w:p w14:paraId="14CC1FAA"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75E78A75" w14:textId="77777777" w:rsidR="00665F5E" w:rsidRPr="009F03E4" w:rsidRDefault="00665F5E" w:rsidP="00665F5E">
            <w:pPr>
              <w:rPr>
                <w:rFonts w:cs="Arial"/>
                <w:sz w:val="18"/>
                <w:szCs w:val="18"/>
                <w:lang w:eastAsia="en-GB"/>
              </w:rPr>
            </w:pPr>
            <w:r w:rsidRPr="009F03E4">
              <w:rPr>
                <w:rFonts w:cs="Arial"/>
                <w:sz w:val="18"/>
                <w:szCs w:val="18"/>
                <w:lang w:eastAsia="en-GB"/>
              </w:rPr>
              <w:t xml:space="preserve">Short Term Debtors </w:t>
            </w:r>
          </w:p>
        </w:tc>
        <w:tc>
          <w:tcPr>
            <w:tcW w:w="731" w:type="dxa"/>
            <w:tcBorders>
              <w:top w:val="nil"/>
              <w:left w:val="nil"/>
              <w:bottom w:val="nil"/>
              <w:right w:val="nil"/>
            </w:tcBorders>
            <w:shd w:val="clear" w:color="000000" w:fill="FFFFFF"/>
            <w:noWrap/>
            <w:vAlign w:val="bottom"/>
            <w:hideMark/>
          </w:tcPr>
          <w:p w14:paraId="4EB79234" w14:textId="5A05F53B" w:rsidR="00665F5E" w:rsidRPr="009F03E4" w:rsidRDefault="00665F5E" w:rsidP="00665F5E">
            <w:pPr>
              <w:jc w:val="center"/>
              <w:rPr>
                <w:rFonts w:cs="Arial"/>
                <w:sz w:val="18"/>
                <w:szCs w:val="18"/>
                <w:lang w:eastAsia="en-GB"/>
              </w:rPr>
            </w:pPr>
            <w:r w:rsidRPr="009F03E4">
              <w:rPr>
                <w:rFonts w:cs="Arial"/>
                <w:sz w:val="18"/>
                <w:szCs w:val="18"/>
                <w:lang w:eastAsia="en-GB"/>
              </w:rPr>
              <w:t>2</w:t>
            </w:r>
            <w:r w:rsidR="00411D8F">
              <w:rPr>
                <w:rFonts w:cs="Arial"/>
                <w:sz w:val="18"/>
                <w:szCs w:val="18"/>
                <w:lang w:eastAsia="en-GB"/>
              </w:rPr>
              <w:t>8</w:t>
            </w:r>
          </w:p>
        </w:tc>
        <w:tc>
          <w:tcPr>
            <w:tcW w:w="1253" w:type="dxa"/>
            <w:tcBorders>
              <w:top w:val="nil"/>
              <w:left w:val="nil"/>
              <w:bottom w:val="nil"/>
              <w:right w:val="single" w:sz="4" w:space="0" w:color="auto"/>
            </w:tcBorders>
            <w:shd w:val="clear" w:color="000000" w:fill="FFFFFF"/>
            <w:noWrap/>
            <w:vAlign w:val="bottom"/>
            <w:hideMark/>
          </w:tcPr>
          <w:p w14:paraId="7370BDB6" w14:textId="673D9F55" w:rsidR="00665F5E" w:rsidRPr="0078717B" w:rsidRDefault="00385A33" w:rsidP="00665F5E">
            <w:pPr>
              <w:jc w:val="right"/>
              <w:rPr>
                <w:rFonts w:cs="Arial"/>
                <w:sz w:val="18"/>
                <w:szCs w:val="18"/>
                <w:lang w:eastAsia="en-GB"/>
              </w:rPr>
            </w:pPr>
            <w:r>
              <w:rPr>
                <w:rFonts w:cs="Arial"/>
                <w:sz w:val="18"/>
                <w:szCs w:val="18"/>
                <w:lang w:eastAsia="en-GB"/>
              </w:rPr>
              <w:t>1,9</w:t>
            </w:r>
            <w:r w:rsidR="00F5136C">
              <w:rPr>
                <w:rFonts w:cs="Arial"/>
                <w:sz w:val="18"/>
                <w:szCs w:val="18"/>
                <w:lang w:eastAsia="en-GB"/>
              </w:rPr>
              <w:t>64</w:t>
            </w:r>
          </w:p>
        </w:tc>
      </w:tr>
      <w:tr w:rsidR="00665F5E" w:rsidRPr="009F03E4" w14:paraId="263A794E" w14:textId="77777777" w:rsidTr="00665F5E">
        <w:trPr>
          <w:trHeight w:val="157"/>
          <w:jc w:val="center"/>
        </w:trPr>
        <w:tc>
          <w:tcPr>
            <w:tcW w:w="1413" w:type="dxa"/>
            <w:tcBorders>
              <w:top w:val="nil"/>
              <w:left w:val="single" w:sz="4" w:space="0" w:color="auto"/>
              <w:bottom w:val="nil"/>
              <w:right w:val="nil"/>
            </w:tcBorders>
            <w:shd w:val="clear" w:color="000000" w:fill="FFFFFF"/>
            <w:noWrap/>
            <w:vAlign w:val="bottom"/>
            <w:hideMark/>
          </w:tcPr>
          <w:p w14:paraId="6FA931FF" w14:textId="2D738C71" w:rsidR="00665F5E" w:rsidRPr="009F03E4" w:rsidRDefault="00665F5E" w:rsidP="00665F5E">
            <w:pPr>
              <w:jc w:val="right"/>
              <w:rPr>
                <w:rFonts w:cs="Arial"/>
                <w:sz w:val="18"/>
                <w:szCs w:val="18"/>
                <w:lang w:eastAsia="en-GB"/>
              </w:rPr>
            </w:pPr>
            <w:r w:rsidRPr="0078717B">
              <w:rPr>
                <w:rFonts w:cs="Arial"/>
                <w:sz w:val="18"/>
                <w:szCs w:val="18"/>
                <w:lang w:eastAsia="en-GB"/>
              </w:rPr>
              <w:t>8</w:t>
            </w:r>
          </w:p>
        </w:tc>
        <w:tc>
          <w:tcPr>
            <w:tcW w:w="425" w:type="dxa"/>
            <w:tcBorders>
              <w:top w:val="nil"/>
              <w:left w:val="nil"/>
              <w:bottom w:val="nil"/>
              <w:right w:val="nil"/>
            </w:tcBorders>
            <w:shd w:val="clear" w:color="000000" w:fill="FFFFFF"/>
            <w:noWrap/>
            <w:vAlign w:val="bottom"/>
            <w:hideMark/>
          </w:tcPr>
          <w:p w14:paraId="48EFF9FC"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395621D2" w14:textId="77777777" w:rsidR="00665F5E" w:rsidRPr="009F03E4" w:rsidRDefault="00665F5E" w:rsidP="00665F5E">
            <w:pPr>
              <w:rPr>
                <w:rFonts w:cs="Arial"/>
                <w:sz w:val="18"/>
                <w:szCs w:val="18"/>
                <w:lang w:eastAsia="en-GB"/>
              </w:rPr>
            </w:pPr>
            <w:r w:rsidRPr="009F03E4">
              <w:rPr>
                <w:rFonts w:cs="Arial"/>
                <w:sz w:val="18"/>
                <w:szCs w:val="18"/>
                <w:lang w:eastAsia="en-GB"/>
              </w:rPr>
              <w:t>Assets Held for Sale</w:t>
            </w:r>
          </w:p>
        </w:tc>
        <w:tc>
          <w:tcPr>
            <w:tcW w:w="731" w:type="dxa"/>
            <w:tcBorders>
              <w:top w:val="nil"/>
              <w:left w:val="nil"/>
              <w:bottom w:val="nil"/>
              <w:right w:val="nil"/>
            </w:tcBorders>
            <w:shd w:val="clear" w:color="000000" w:fill="FFFFFF"/>
            <w:noWrap/>
            <w:vAlign w:val="bottom"/>
            <w:hideMark/>
          </w:tcPr>
          <w:p w14:paraId="385C56FF"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nil"/>
              <w:left w:val="nil"/>
              <w:bottom w:val="nil"/>
              <w:right w:val="single" w:sz="4" w:space="0" w:color="auto"/>
            </w:tcBorders>
            <w:shd w:val="clear" w:color="000000" w:fill="FFFFFF"/>
            <w:noWrap/>
            <w:vAlign w:val="bottom"/>
            <w:hideMark/>
          </w:tcPr>
          <w:p w14:paraId="49824915" w14:textId="4B562476" w:rsidR="00665F5E" w:rsidRPr="0078717B" w:rsidRDefault="005C4953" w:rsidP="00665F5E">
            <w:pPr>
              <w:jc w:val="right"/>
              <w:rPr>
                <w:rFonts w:cs="Arial"/>
                <w:sz w:val="18"/>
                <w:szCs w:val="18"/>
                <w:lang w:eastAsia="en-GB"/>
              </w:rPr>
            </w:pPr>
            <w:r>
              <w:rPr>
                <w:rFonts w:cs="Arial"/>
                <w:sz w:val="18"/>
                <w:szCs w:val="18"/>
                <w:lang w:eastAsia="en-GB"/>
              </w:rPr>
              <w:t>0</w:t>
            </w:r>
          </w:p>
        </w:tc>
      </w:tr>
      <w:tr w:rsidR="00665F5E" w:rsidRPr="009F03E4" w14:paraId="426FA0F3" w14:textId="77777777" w:rsidTr="00665F5E">
        <w:trPr>
          <w:trHeight w:val="219"/>
          <w:jc w:val="center"/>
        </w:trPr>
        <w:tc>
          <w:tcPr>
            <w:tcW w:w="1413" w:type="dxa"/>
            <w:tcBorders>
              <w:top w:val="single" w:sz="4" w:space="0" w:color="auto"/>
              <w:left w:val="single" w:sz="4" w:space="0" w:color="auto"/>
              <w:bottom w:val="nil"/>
              <w:right w:val="nil"/>
            </w:tcBorders>
            <w:shd w:val="clear" w:color="000000" w:fill="FFFFFF"/>
            <w:noWrap/>
            <w:vAlign w:val="bottom"/>
            <w:hideMark/>
          </w:tcPr>
          <w:p w14:paraId="2C4C7489" w14:textId="4F3F101C" w:rsidR="00665F5E" w:rsidRPr="009F03E4" w:rsidRDefault="00665F5E" w:rsidP="00665F5E">
            <w:pPr>
              <w:jc w:val="right"/>
              <w:rPr>
                <w:rFonts w:cs="Arial"/>
                <w:b/>
                <w:bCs/>
                <w:sz w:val="18"/>
                <w:szCs w:val="18"/>
                <w:lang w:eastAsia="en-GB"/>
              </w:rPr>
            </w:pPr>
            <w:r w:rsidRPr="0078717B">
              <w:rPr>
                <w:rFonts w:cs="Arial"/>
                <w:b/>
                <w:bCs/>
                <w:sz w:val="18"/>
                <w:szCs w:val="18"/>
                <w:lang w:eastAsia="en-GB"/>
              </w:rPr>
              <w:t>7,</w:t>
            </w:r>
            <w:r>
              <w:rPr>
                <w:rFonts w:cs="Arial"/>
                <w:b/>
                <w:bCs/>
                <w:sz w:val="18"/>
                <w:szCs w:val="18"/>
                <w:lang w:eastAsia="en-GB"/>
              </w:rPr>
              <w:t>177</w:t>
            </w:r>
          </w:p>
        </w:tc>
        <w:tc>
          <w:tcPr>
            <w:tcW w:w="425" w:type="dxa"/>
            <w:tcBorders>
              <w:top w:val="nil"/>
              <w:left w:val="nil"/>
              <w:bottom w:val="nil"/>
              <w:right w:val="nil"/>
            </w:tcBorders>
            <w:shd w:val="clear" w:color="000000" w:fill="FFFFFF"/>
            <w:noWrap/>
            <w:vAlign w:val="bottom"/>
            <w:hideMark/>
          </w:tcPr>
          <w:p w14:paraId="0C1F8563" w14:textId="77777777" w:rsidR="00665F5E" w:rsidRPr="009F03E4" w:rsidRDefault="00665F5E" w:rsidP="00665F5E">
            <w:pPr>
              <w:jc w:val="right"/>
              <w:rPr>
                <w:rFonts w:cs="Arial"/>
                <w:b/>
                <w:bCs/>
                <w:sz w:val="18"/>
                <w:szCs w:val="18"/>
                <w:lang w:eastAsia="en-GB"/>
              </w:rPr>
            </w:pPr>
            <w:r w:rsidRPr="009F03E4">
              <w:rPr>
                <w:rFonts w:cs="Arial"/>
                <w:b/>
                <w:bCs/>
                <w:sz w:val="18"/>
                <w:szCs w:val="18"/>
                <w:lang w:eastAsia="en-GB"/>
              </w:rPr>
              <w:t> </w:t>
            </w:r>
          </w:p>
        </w:tc>
        <w:tc>
          <w:tcPr>
            <w:tcW w:w="5245" w:type="dxa"/>
            <w:tcBorders>
              <w:top w:val="nil"/>
              <w:left w:val="nil"/>
              <w:bottom w:val="nil"/>
              <w:right w:val="nil"/>
            </w:tcBorders>
            <w:shd w:val="clear" w:color="000000" w:fill="FFFFFF"/>
            <w:noWrap/>
            <w:vAlign w:val="bottom"/>
            <w:hideMark/>
          </w:tcPr>
          <w:p w14:paraId="304CE3BC" w14:textId="77777777" w:rsidR="00665F5E" w:rsidRPr="009F03E4" w:rsidRDefault="00665F5E" w:rsidP="00665F5E">
            <w:pPr>
              <w:rPr>
                <w:rFonts w:cs="Arial"/>
                <w:b/>
                <w:bCs/>
                <w:sz w:val="18"/>
                <w:szCs w:val="18"/>
                <w:lang w:eastAsia="en-GB"/>
              </w:rPr>
            </w:pPr>
            <w:r w:rsidRPr="009F03E4">
              <w:rPr>
                <w:rFonts w:cs="Arial"/>
                <w:b/>
                <w:bCs/>
                <w:sz w:val="18"/>
                <w:szCs w:val="18"/>
                <w:lang w:eastAsia="en-GB"/>
              </w:rPr>
              <w:t>Current Assets</w:t>
            </w:r>
          </w:p>
        </w:tc>
        <w:tc>
          <w:tcPr>
            <w:tcW w:w="731" w:type="dxa"/>
            <w:tcBorders>
              <w:top w:val="nil"/>
              <w:left w:val="nil"/>
              <w:bottom w:val="nil"/>
              <w:right w:val="nil"/>
            </w:tcBorders>
            <w:shd w:val="clear" w:color="000000" w:fill="FFFFFF"/>
            <w:noWrap/>
            <w:vAlign w:val="bottom"/>
            <w:hideMark/>
          </w:tcPr>
          <w:p w14:paraId="10C962B0"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single" w:sz="4" w:space="0" w:color="auto"/>
              <w:left w:val="nil"/>
              <w:bottom w:val="nil"/>
              <w:right w:val="single" w:sz="4" w:space="0" w:color="auto"/>
            </w:tcBorders>
            <w:shd w:val="clear" w:color="000000" w:fill="FFFFFF"/>
            <w:noWrap/>
            <w:vAlign w:val="bottom"/>
            <w:hideMark/>
          </w:tcPr>
          <w:p w14:paraId="18DBC70B" w14:textId="707FF83F" w:rsidR="00665F5E" w:rsidRPr="0078717B" w:rsidRDefault="005C4953" w:rsidP="00665F5E">
            <w:pPr>
              <w:jc w:val="right"/>
              <w:rPr>
                <w:rFonts w:cs="Arial"/>
                <w:b/>
                <w:bCs/>
                <w:sz w:val="18"/>
                <w:szCs w:val="18"/>
                <w:lang w:eastAsia="en-GB"/>
              </w:rPr>
            </w:pPr>
            <w:r>
              <w:rPr>
                <w:rFonts w:cs="Arial"/>
                <w:b/>
                <w:bCs/>
                <w:sz w:val="18"/>
                <w:szCs w:val="18"/>
                <w:lang w:eastAsia="en-GB"/>
              </w:rPr>
              <w:t>6,</w:t>
            </w:r>
            <w:r w:rsidR="00457006">
              <w:rPr>
                <w:rFonts w:cs="Arial"/>
                <w:b/>
                <w:bCs/>
                <w:sz w:val="18"/>
                <w:szCs w:val="18"/>
                <w:lang w:eastAsia="en-GB"/>
              </w:rPr>
              <w:t>7</w:t>
            </w:r>
            <w:r w:rsidR="00F5136C">
              <w:rPr>
                <w:rFonts w:cs="Arial"/>
                <w:b/>
                <w:bCs/>
                <w:sz w:val="18"/>
                <w:szCs w:val="18"/>
                <w:lang w:eastAsia="en-GB"/>
              </w:rPr>
              <w:t>17</w:t>
            </w:r>
          </w:p>
        </w:tc>
      </w:tr>
      <w:tr w:rsidR="00665F5E" w:rsidRPr="009F03E4" w14:paraId="246A20CE" w14:textId="77777777" w:rsidTr="00665F5E">
        <w:trPr>
          <w:trHeight w:val="108"/>
          <w:jc w:val="center"/>
        </w:trPr>
        <w:tc>
          <w:tcPr>
            <w:tcW w:w="1413" w:type="dxa"/>
            <w:tcBorders>
              <w:top w:val="nil"/>
              <w:left w:val="single" w:sz="4" w:space="0" w:color="auto"/>
              <w:bottom w:val="nil"/>
              <w:right w:val="nil"/>
            </w:tcBorders>
            <w:shd w:val="clear" w:color="000000" w:fill="FFFFFF"/>
            <w:noWrap/>
            <w:vAlign w:val="bottom"/>
            <w:hideMark/>
          </w:tcPr>
          <w:p w14:paraId="4F7E6DB5" w14:textId="322030D2" w:rsidR="00665F5E" w:rsidRPr="009F03E4" w:rsidRDefault="00665F5E" w:rsidP="00665F5E">
            <w:pPr>
              <w:jc w:val="right"/>
              <w:rPr>
                <w:rFonts w:cs="Arial"/>
                <w:b/>
                <w:bCs/>
                <w:sz w:val="18"/>
                <w:szCs w:val="18"/>
                <w:lang w:eastAsia="en-GB"/>
              </w:rPr>
            </w:pPr>
            <w:r w:rsidRPr="009F03E4">
              <w:rPr>
                <w:rFonts w:cs="Arial"/>
                <w:b/>
                <w:bCs/>
                <w:sz w:val="18"/>
                <w:szCs w:val="18"/>
                <w:lang w:eastAsia="en-GB"/>
              </w:rPr>
              <w:t> </w:t>
            </w:r>
          </w:p>
        </w:tc>
        <w:tc>
          <w:tcPr>
            <w:tcW w:w="425" w:type="dxa"/>
            <w:tcBorders>
              <w:top w:val="nil"/>
              <w:left w:val="nil"/>
              <w:bottom w:val="nil"/>
              <w:right w:val="nil"/>
            </w:tcBorders>
            <w:shd w:val="clear" w:color="000000" w:fill="FFFFFF"/>
            <w:noWrap/>
            <w:vAlign w:val="bottom"/>
            <w:hideMark/>
          </w:tcPr>
          <w:p w14:paraId="40439404" w14:textId="77777777" w:rsidR="00665F5E" w:rsidRPr="009F03E4" w:rsidRDefault="00665F5E" w:rsidP="00665F5E">
            <w:pPr>
              <w:jc w:val="right"/>
              <w:rPr>
                <w:rFonts w:cs="Arial"/>
                <w:b/>
                <w:bCs/>
                <w:sz w:val="18"/>
                <w:szCs w:val="18"/>
                <w:lang w:eastAsia="en-GB"/>
              </w:rPr>
            </w:pPr>
            <w:r w:rsidRPr="009F03E4">
              <w:rPr>
                <w:rFonts w:cs="Arial"/>
                <w:b/>
                <w:bCs/>
                <w:sz w:val="18"/>
                <w:szCs w:val="18"/>
                <w:lang w:eastAsia="en-GB"/>
              </w:rPr>
              <w:t> </w:t>
            </w:r>
          </w:p>
        </w:tc>
        <w:tc>
          <w:tcPr>
            <w:tcW w:w="5245" w:type="dxa"/>
            <w:tcBorders>
              <w:top w:val="nil"/>
              <w:left w:val="nil"/>
              <w:bottom w:val="nil"/>
              <w:right w:val="nil"/>
            </w:tcBorders>
            <w:shd w:val="clear" w:color="000000" w:fill="FFFFFF"/>
            <w:noWrap/>
            <w:vAlign w:val="bottom"/>
            <w:hideMark/>
          </w:tcPr>
          <w:p w14:paraId="7B92406E" w14:textId="77777777" w:rsidR="00665F5E" w:rsidRPr="009F03E4" w:rsidRDefault="00665F5E" w:rsidP="00665F5E">
            <w:pPr>
              <w:rPr>
                <w:rFonts w:cs="Arial"/>
                <w:sz w:val="18"/>
                <w:szCs w:val="18"/>
                <w:lang w:eastAsia="en-GB"/>
              </w:rPr>
            </w:pPr>
            <w:r w:rsidRPr="009F03E4">
              <w:rPr>
                <w:rFonts w:cs="Arial"/>
                <w:sz w:val="18"/>
                <w:szCs w:val="18"/>
                <w:lang w:eastAsia="en-GB"/>
              </w:rPr>
              <w:t> </w:t>
            </w:r>
          </w:p>
        </w:tc>
        <w:tc>
          <w:tcPr>
            <w:tcW w:w="731" w:type="dxa"/>
            <w:tcBorders>
              <w:top w:val="nil"/>
              <w:left w:val="nil"/>
              <w:bottom w:val="nil"/>
              <w:right w:val="nil"/>
            </w:tcBorders>
            <w:shd w:val="clear" w:color="000000" w:fill="FFFFFF"/>
            <w:noWrap/>
            <w:vAlign w:val="bottom"/>
            <w:hideMark/>
          </w:tcPr>
          <w:p w14:paraId="34BEBA24"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nil"/>
              <w:left w:val="nil"/>
              <w:bottom w:val="nil"/>
              <w:right w:val="single" w:sz="4" w:space="0" w:color="auto"/>
            </w:tcBorders>
            <w:shd w:val="clear" w:color="000000" w:fill="FFFFFF"/>
            <w:noWrap/>
            <w:vAlign w:val="bottom"/>
            <w:hideMark/>
          </w:tcPr>
          <w:p w14:paraId="13F7CC6D" w14:textId="77777777" w:rsidR="00665F5E" w:rsidRPr="009F03E4" w:rsidRDefault="00665F5E" w:rsidP="00665F5E">
            <w:pPr>
              <w:jc w:val="right"/>
              <w:rPr>
                <w:rFonts w:cs="Arial"/>
                <w:b/>
                <w:bCs/>
                <w:sz w:val="18"/>
                <w:szCs w:val="18"/>
                <w:lang w:eastAsia="en-GB"/>
              </w:rPr>
            </w:pPr>
            <w:r w:rsidRPr="009F03E4">
              <w:rPr>
                <w:rFonts w:cs="Arial"/>
                <w:b/>
                <w:bCs/>
                <w:sz w:val="18"/>
                <w:szCs w:val="18"/>
                <w:lang w:eastAsia="en-GB"/>
              </w:rPr>
              <w:t> </w:t>
            </w:r>
          </w:p>
        </w:tc>
      </w:tr>
      <w:tr w:rsidR="00665F5E" w:rsidRPr="009F03E4" w14:paraId="77904E4B" w14:textId="77777777" w:rsidTr="00665F5E">
        <w:trPr>
          <w:trHeight w:val="300"/>
          <w:jc w:val="center"/>
        </w:trPr>
        <w:tc>
          <w:tcPr>
            <w:tcW w:w="1413" w:type="dxa"/>
            <w:tcBorders>
              <w:top w:val="nil"/>
              <w:left w:val="single" w:sz="4" w:space="0" w:color="auto"/>
              <w:bottom w:val="nil"/>
              <w:right w:val="nil"/>
            </w:tcBorders>
            <w:shd w:val="clear" w:color="000000" w:fill="FFFFFF"/>
            <w:noWrap/>
            <w:vAlign w:val="bottom"/>
            <w:hideMark/>
          </w:tcPr>
          <w:p w14:paraId="167942F3" w14:textId="79EB41BD" w:rsidR="00665F5E" w:rsidRPr="009F03E4" w:rsidRDefault="00665F5E" w:rsidP="00665F5E">
            <w:pPr>
              <w:jc w:val="right"/>
              <w:rPr>
                <w:rFonts w:cs="Arial"/>
                <w:sz w:val="18"/>
                <w:szCs w:val="18"/>
                <w:lang w:eastAsia="en-GB"/>
              </w:rPr>
            </w:pPr>
            <w:r>
              <w:rPr>
                <w:rFonts w:cs="Arial"/>
                <w:sz w:val="18"/>
                <w:szCs w:val="18"/>
                <w:lang w:eastAsia="en-GB"/>
              </w:rPr>
              <w:t>(</w:t>
            </w:r>
            <w:r w:rsidRPr="0078717B">
              <w:rPr>
                <w:rFonts w:cs="Arial"/>
                <w:sz w:val="18"/>
                <w:szCs w:val="18"/>
                <w:lang w:eastAsia="en-GB"/>
              </w:rPr>
              <w:t>2,429</w:t>
            </w:r>
            <w:r>
              <w:rPr>
                <w:rFonts w:cs="Arial"/>
                <w:sz w:val="18"/>
                <w:szCs w:val="18"/>
                <w:lang w:eastAsia="en-GB"/>
              </w:rPr>
              <w:t>)</w:t>
            </w:r>
          </w:p>
        </w:tc>
        <w:tc>
          <w:tcPr>
            <w:tcW w:w="425" w:type="dxa"/>
            <w:tcBorders>
              <w:top w:val="nil"/>
              <w:left w:val="nil"/>
              <w:bottom w:val="nil"/>
              <w:right w:val="nil"/>
            </w:tcBorders>
            <w:shd w:val="clear" w:color="000000" w:fill="FFFFFF"/>
            <w:noWrap/>
            <w:vAlign w:val="bottom"/>
            <w:hideMark/>
          </w:tcPr>
          <w:p w14:paraId="450A1C06"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2FE1F16A" w14:textId="77777777" w:rsidR="00665F5E" w:rsidRPr="009F03E4" w:rsidRDefault="00665F5E" w:rsidP="00665F5E">
            <w:pPr>
              <w:rPr>
                <w:rFonts w:cs="Arial"/>
                <w:sz w:val="18"/>
                <w:szCs w:val="18"/>
                <w:lang w:eastAsia="en-GB"/>
              </w:rPr>
            </w:pPr>
            <w:r w:rsidRPr="009F03E4">
              <w:rPr>
                <w:rFonts w:cs="Arial"/>
                <w:sz w:val="18"/>
                <w:szCs w:val="18"/>
                <w:lang w:eastAsia="en-GB"/>
              </w:rPr>
              <w:t xml:space="preserve">Short Term Creditors </w:t>
            </w:r>
          </w:p>
        </w:tc>
        <w:tc>
          <w:tcPr>
            <w:tcW w:w="731" w:type="dxa"/>
            <w:tcBorders>
              <w:top w:val="nil"/>
              <w:left w:val="nil"/>
              <w:bottom w:val="nil"/>
              <w:right w:val="nil"/>
            </w:tcBorders>
            <w:shd w:val="clear" w:color="000000" w:fill="FFFFFF"/>
            <w:noWrap/>
            <w:vAlign w:val="bottom"/>
            <w:hideMark/>
          </w:tcPr>
          <w:p w14:paraId="09F7442E" w14:textId="099EFB2D" w:rsidR="00665F5E" w:rsidRPr="009F03E4" w:rsidRDefault="00665F5E" w:rsidP="00665F5E">
            <w:pPr>
              <w:jc w:val="center"/>
              <w:rPr>
                <w:rFonts w:cs="Arial"/>
                <w:sz w:val="18"/>
                <w:szCs w:val="18"/>
                <w:lang w:eastAsia="en-GB"/>
              </w:rPr>
            </w:pPr>
            <w:r w:rsidRPr="009F03E4">
              <w:rPr>
                <w:rFonts w:cs="Arial"/>
                <w:sz w:val="18"/>
                <w:szCs w:val="18"/>
                <w:lang w:eastAsia="en-GB"/>
              </w:rPr>
              <w:t>2</w:t>
            </w:r>
            <w:r w:rsidR="00411D8F">
              <w:rPr>
                <w:rFonts w:cs="Arial"/>
                <w:sz w:val="18"/>
                <w:szCs w:val="18"/>
                <w:lang w:eastAsia="en-GB"/>
              </w:rPr>
              <w:t>9</w:t>
            </w:r>
          </w:p>
        </w:tc>
        <w:tc>
          <w:tcPr>
            <w:tcW w:w="1253" w:type="dxa"/>
            <w:tcBorders>
              <w:top w:val="nil"/>
              <w:left w:val="nil"/>
              <w:bottom w:val="nil"/>
              <w:right w:val="single" w:sz="4" w:space="0" w:color="auto"/>
            </w:tcBorders>
            <w:shd w:val="clear" w:color="000000" w:fill="FFFFFF"/>
            <w:noWrap/>
            <w:vAlign w:val="bottom"/>
            <w:hideMark/>
          </w:tcPr>
          <w:p w14:paraId="6DFF55ED" w14:textId="591913E8" w:rsidR="00665F5E" w:rsidRPr="009F03E4" w:rsidRDefault="00665F5E" w:rsidP="00665F5E">
            <w:pPr>
              <w:jc w:val="right"/>
              <w:rPr>
                <w:rFonts w:cs="Arial"/>
                <w:sz w:val="18"/>
                <w:szCs w:val="18"/>
                <w:lang w:eastAsia="en-GB"/>
              </w:rPr>
            </w:pPr>
            <w:r>
              <w:rPr>
                <w:rFonts w:cs="Arial"/>
                <w:sz w:val="18"/>
                <w:szCs w:val="18"/>
                <w:lang w:eastAsia="en-GB"/>
              </w:rPr>
              <w:t>(</w:t>
            </w:r>
            <w:r w:rsidRPr="0078717B">
              <w:rPr>
                <w:rFonts w:cs="Arial"/>
                <w:sz w:val="18"/>
                <w:szCs w:val="18"/>
                <w:lang w:eastAsia="en-GB"/>
              </w:rPr>
              <w:t>2,</w:t>
            </w:r>
            <w:r w:rsidR="00457006">
              <w:rPr>
                <w:rFonts w:cs="Arial"/>
                <w:sz w:val="18"/>
                <w:szCs w:val="18"/>
                <w:lang w:eastAsia="en-GB"/>
              </w:rPr>
              <w:t>1</w:t>
            </w:r>
            <w:r w:rsidR="00F5136C">
              <w:rPr>
                <w:rFonts w:cs="Arial"/>
                <w:sz w:val="18"/>
                <w:szCs w:val="18"/>
                <w:lang w:eastAsia="en-GB"/>
              </w:rPr>
              <w:t>07</w:t>
            </w:r>
            <w:r>
              <w:rPr>
                <w:rFonts w:cs="Arial"/>
                <w:sz w:val="18"/>
                <w:szCs w:val="18"/>
                <w:lang w:eastAsia="en-GB"/>
              </w:rPr>
              <w:t>)</w:t>
            </w:r>
          </w:p>
        </w:tc>
      </w:tr>
      <w:tr w:rsidR="00665F5E" w:rsidRPr="009F03E4" w14:paraId="184734EC" w14:textId="77777777" w:rsidTr="00665F5E">
        <w:trPr>
          <w:trHeight w:val="216"/>
          <w:jc w:val="center"/>
        </w:trPr>
        <w:tc>
          <w:tcPr>
            <w:tcW w:w="1413" w:type="dxa"/>
            <w:tcBorders>
              <w:top w:val="nil"/>
              <w:left w:val="single" w:sz="4" w:space="0" w:color="auto"/>
              <w:bottom w:val="single" w:sz="4" w:space="0" w:color="auto"/>
              <w:right w:val="nil"/>
            </w:tcBorders>
            <w:shd w:val="clear" w:color="000000" w:fill="FFFFFF"/>
            <w:noWrap/>
            <w:vAlign w:val="bottom"/>
            <w:hideMark/>
          </w:tcPr>
          <w:p w14:paraId="76189458" w14:textId="02D365D4" w:rsidR="00665F5E" w:rsidRPr="009F03E4" w:rsidRDefault="00665F5E" w:rsidP="00665F5E">
            <w:pPr>
              <w:jc w:val="right"/>
              <w:rPr>
                <w:rFonts w:cs="Arial"/>
                <w:sz w:val="18"/>
                <w:szCs w:val="18"/>
                <w:lang w:eastAsia="en-GB"/>
              </w:rPr>
            </w:pPr>
            <w:r>
              <w:rPr>
                <w:rFonts w:cs="Arial"/>
                <w:sz w:val="18"/>
                <w:szCs w:val="18"/>
                <w:lang w:eastAsia="en-GB"/>
              </w:rPr>
              <w:t>(</w:t>
            </w:r>
            <w:r w:rsidRPr="009F03E4">
              <w:rPr>
                <w:rFonts w:cs="Arial"/>
                <w:sz w:val="18"/>
                <w:szCs w:val="18"/>
                <w:lang w:eastAsia="en-GB"/>
              </w:rPr>
              <w:t>20</w:t>
            </w:r>
            <w:r>
              <w:rPr>
                <w:rFonts w:cs="Arial"/>
                <w:sz w:val="18"/>
                <w:szCs w:val="18"/>
                <w:lang w:eastAsia="en-GB"/>
              </w:rPr>
              <w:t>)</w:t>
            </w:r>
          </w:p>
        </w:tc>
        <w:tc>
          <w:tcPr>
            <w:tcW w:w="425" w:type="dxa"/>
            <w:tcBorders>
              <w:top w:val="nil"/>
              <w:left w:val="nil"/>
              <w:bottom w:val="nil"/>
              <w:right w:val="nil"/>
            </w:tcBorders>
            <w:shd w:val="clear" w:color="000000" w:fill="FFFFFF"/>
            <w:noWrap/>
            <w:vAlign w:val="bottom"/>
            <w:hideMark/>
          </w:tcPr>
          <w:p w14:paraId="27FFF2F9"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21190FCD" w14:textId="77777777" w:rsidR="00665F5E" w:rsidRPr="009F03E4" w:rsidRDefault="00665F5E" w:rsidP="00665F5E">
            <w:pPr>
              <w:rPr>
                <w:rFonts w:cs="Arial"/>
                <w:sz w:val="18"/>
                <w:szCs w:val="18"/>
                <w:lang w:eastAsia="en-GB"/>
              </w:rPr>
            </w:pPr>
            <w:r w:rsidRPr="009F03E4">
              <w:rPr>
                <w:rFonts w:cs="Arial"/>
                <w:sz w:val="18"/>
                <w:szCs w:val="18"/>
                <w:lang w:eastAsia="en-GB"/>
              </w:rPr>
              <w:t>Provisions</w:t>
            </w:r>
          </w:p>
        </w:tc>
        <w:tc>
          <w:tcPr>
            <w:tcW w:w="731" w:type="dxa"/>
            <w:tcBorders>
              <w:top w:val="nil"/>
              <w:left w:val="nil"/>
              <w:bottom w:val="nil"/>
              <w:right w:val="nil"/>
            </w:tcBorders>
            <w:shd w:val="clear" w:color="000000" w:fill="FFFFFF"/>
            <w:noWrap/>
            <w:vAlign w:val="bottom"/>
            <w:hideMark/>
          </w:tcPr>
          <w:p w14:paraId="5980010A"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nil"/>
              <w:left w:val="nil"/>
              <w:bottom w:val="nil"/>
              <w:right w:val="single" w:sz="4" w:space="0" w:color="auto"/>
            </w:tcBorders>
            <w:shd w:val="clear" w:color="000000" w:fill="FFFFFF"/>
            <w:noWrap/>
            <w:vAlign w:val="bottom"/>
            <w:hideMark/>
          </w:tcPr>
          <w:p w14:paraId="1EB4C71C" w14:textId="3BE78A79" w:rsidR="00665F5E" w:rsidRPr="009F03E4" w:rsidRDefault="00665F5E" w:rsidP="00665F5E">
            <w:pPr>
              <w:jc w:val="right"/>
              <w:rPr>
                <w:rFonts w:cs="Arial"/>
                <w:sz w:val="18"/>
                <w:szCs w:val="18"/>
                <w:lang w:eastAsia="en-GB"/>
              </w:rPr>
            </w:pPr>
            <w:r>
              <w:rPr>
                <w:rFonts w:cs="Arial"/>
                <w:sz w:val="18"/>
                <w:szCs w:val="18"/>
                <w:lang w:eastAsia="en-GB"/>
              </w:rPr>
              <w:t>(</w:t>
            </w:r>
            <w:r w:rsidRPr="009F03E4">
              <w:rPr>
                <w:rFonts w:cs="Arial"/>
                <w:sz w:val="18"/>
                <w:szCs w:val="18"/>
                <w:lang w:eastAsia="en-GB"/>
              </w:rPr>
              <w:t>20</w:t>
            </w:r>
            <w:r>
              <w:rPr>
                <w:rFonts w:cs="Arial"/>
                <w:sz w:val="18"/>
                <w:szCs w:val="18"/>
                <w:lang w:eastAsia="en-GB"/>
              </w:rPr>
              <w:t>)</w:t>
            </w:r>
          </w:p>
        </w:tc>
      </w:tr>
      <w:tr w:rsidR="00665F5E" w:rsidRPr="009F03E4" w14:paraId="5EC311AA" w14:textId="77777777" w:rsidTr="00665F5E">
        <w:trPr>
          <w:trHeight w:val="177"/>
          <w:jc w:val="center"/>
        </w:trPr>
        <w:tc>
          <w:tcPr>
            <w:tcW w:w="1413" w:type="dxa"/>
            <w:tcBorders>
              <w:top w:val="nil"/>
              <w:left w:val="single" w:sz="4" w:space="0" w:color="auto"/>
              <w:bottom w:val="nil"/>
              <w:right w:val="nil"/>
            </w:tcBorders>
            <w:shd w:val="clear" w:color="000000" w:fill="FFFFFF"/>
            <w:noWrap/>
            <w:vAlign w:val="bottom"/>
            <w:hideMark/>
          </w:tcPr>
          <w:p w14:paraId="7EC5FA9A" w14:textId="3660D271" w:rsidR="00665F5E" w:rsidRPr="009F03E4" w:rsidRDefault="00665F5E" w:rsidP="00665F5E">
            <w:pPr>
              <w:jc w:val="right"/>
              <w:rPr>
                <w:rFonts w:cs="Arial"/>
                <w:b/>
                <w:bCs/>
                <w:color w:val="000000"/>
                <w:sz w:val="18"/>
                <w:szCs w:val="18"/>
                <w:lang w:eastAsia="en-GB"/>
              </w:rPr>
            </w:pPr>
            <w:r>
              <w:rPr>
                <w:rFonts w:cs="Arial"/>
                <w:b/>
                <w:bCs/>
                <w:color w:val="000000"/>
                <w:sz w:val="18"/>
                <w:szCs w:val="18"/>
                <w:lang w:eastAsia="en-GB"/>
              </w:rPr>
              <w:t>(</w:t>
            </w:r>
            <w:r w:rsidRPr="009F03E4">
              <w:rPr>
                <w:rFonts w:cs="Arial"/>
                <w:b/>
                <w:bCs/>
                <w:color w:val="000000"/>
                <w:sz w:val="18"/>
                <w:szCs w:val="18"/>
                <w:lang w:eastAsia="en-GB"/>
              </w:rPr>
              <w:t>2,4</w:t>
            </w:r>
            <w:r>
              <w:rPr>
                <w:rFonts w:cs="Arial"/>
                <w:b/>
                <w:bCs/>
                <w:color w:val="000000"/>
                <w:sz w:val="18"/>
                <w:szCs w:val="18"/>
                <w:lang w:eastAsia="en-GB"/>
              </w:rPr>
              <w:t>49)</w:t>
            </w:r>
          </w:p>
        </w:tc>
        <w:tc>
          <w:tcPr>
            <w:tcW w:w="425" w:type="dxa"/>
            <w:tcBorders>
              <w:top w:val="nil"/>
              <w:left w:val="nil"/>
              <w:bottom w:val="nil"/>
              <w:right w:val="nil"/>
            </w:tcBorders>
            <w:shd w:val="clear" w:color="000000" w:fill="FFFFFF"/>
            <w:noWrap/>
            <w:vAlign w:val="bottom"/>
            <w:hideMark/>
          </w:tcPr>
          <w:p w14:paraId="0C2BE0FB" w14:textId="77777777" w:rsidR="00665F5E" w:rsidRPr="009F03E4" w:rsidRDefault="00665F5E" w:rsidP="00665F5E">
            <w:pPr>
              <w:rPr>
                <w:rFonts w:cs="Arial"/>
                <w:b/>
                <w:bCs/>
                <w:color w:val="000000"/>
                <w:sz w:val="18"/>
                <w:szCs w:val="18"/>
                <w:lang w:eastAsia="en-GB"/>
              </w:rPr>
            </w:pPr>
            <w:r w:rsidRPr="009F03E4">
              <w:rPr>
                <w:rFonts w:cs="Arial"/>
                <w:b/>
                <w:bCs/>
                <w:color w:val="000000"/>
                <w:sz w:val="18"/>
                <w:szCs w:val="18"/>
                <w:lang w:eastAsia="en-GB"/>
              </w:rPr>
              <w:t> </w:t>
            </w:r>
          </w:p>
        </w:tc>
        <w:tc>
          <w:tcPr>
            <w:tcW w:w="5245" w:type="dxa"/>
            <w:tcBorders>
              <w:top w:val="nil"/>
              <w:left w:val="nil"/>
              <w:bottom w:val="nil"/>
              <w:right w:val="nil"/>
            </w:tcBorders>
            <w:shd w:val="clear" w:color="000000" w:fill="FFFFFF"/>
            <w:noWrap/>
            <w:vAlign w:val="bottom"/>
            <w:hideMark/>
          </w:tcPr>
          <w:p w14:paraId="0A62BA8E" w14:textId="77777777" w:rsidR="00665F5E" w:rsidRPr="009F03E4" w:rsidRDefault="00665F5E" w:rsidP="00665F5E">
            <w:pPr>
              <w:rPr>
                <w:rFonts w:cs="Arial"/>
                <w:b/>
                <w:bCs/>
                <w:sz w:val="18"/>
                <w:szCs w:val="18"/>
                <w:lang w:eastAsia="en-GB"/>
              </w:rPr>
            </w:pPr>
            <w:r w:rsidRPr="009F03E4">
              <w:rPr>
                <w:rFonts w:cs="Arial"/>
                <w:b/>
                <w:bCs/>
                <w:sz w:val="18"/>
                <w:szCs w:val="18"/>
                <w:lang w:eastAsia="en-GB"/>
              </w:rPr>
              <w:t>Current Liabilities</w:t>
            </w:r>
          </w:p>
        </w:tc>
        <w:tc>
          <w:tcPr>
            <w:tcW w:w="731" w:type="dxa"/>
            <w:tcBorders>
              <w:top w:val="nil"/>
              <w:left w:val="nil"/>
              <w:bottom w:val="nil"/>
              <w:right w:val="nil"/>
            </w:tcBorders>
            <w:shd w:val="clear" w:color="000000" w:fill="FFFFFF"/>
            <w:noWrap/>
            <w:vAlign w:val="bottom"/>
            <w:hideMark/>
          </w:tcPr>
          <w:p w14:paraId="089B8400"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single" w:sz="4" w:space="0" w:color="auto"/>
              <w:left w:val="nil"/>
              <w:bottom w:val="nil"/>
              <w:right w:val="single" w:sz="4" w:space="0" w:color="auto"/>
            </w:tcBorders>
            <w:shd w:val="clear" w:color="000000" w:fill="FFFFFF"/>
            <w:noWrap/>
            <w:vAlign w:val="bottom"/>
            <w:hideMark/>
          </w:tcPr>
          <w:p w14:paraId="5123A022" w14:textId="680FF1BD" w:rsidR="00665F5E" w:rsidRPr="009F03E4" w:rsidRDefault="00665F5E" w:rsidP="00665F5E">
            <w:pPr>
              <w:jc w:val="right"/>
              <w:rPr>
                <w:rFonts w:cs="Arial"/>
                <w:b/>
                <w:bCs/>
                <w:color w:val="000000"/>
                <w:sz w:val="18"/>
                <w:szCs w:val="18"/>
                <w:lang w:eastAsia="en-GB"/>
              </w:rPr>
            </w:pPr>
            <w:r>
              <w:rPr>
                <w:rFonts w:cs="Arial"/>
                <w:b/>
                <w:bCs/>
                <w:color w:val="000000"/>
                <w:sz w:val="18"/>
                <w:szCs w:val="18"/>
                <w:lang w:eastAsia="en-GB"/>
              </w:rPr>
              <w:t>(</w:t>
            </w:r>
            <w:r w:rsidRPr="009F03E4">
              <w:rPr>
                <w:rFonts w:cs="Arial"/>
                <w:b/>
                <w:bCs/>
                <w:color w:val="000000"/>
                <w:sz w:val="18"/>
                <w:szCs w:val="18"/>
                <w:lang w:eastAsia="en-GB"/>
              </w:rPr>
              <w:t>2,</w:t>
            </w:r>
            <w:r w:rsidR="00457006">
              <w:rPr>
                <w:rFonts w:cs="Arial"/>
                <w:b/>
                <w:bCs/>
                <w:color w:val="000000"/>
                <w:sz w:val="18"/>
                <w:szCs w:val="18"/>
                <w:lang w:eastAsia="en-GB"/>
              </w:rPr>
              <w:t>1</w:t>
            </w:r>
            <w:r w:rsidR="00F5136C">
              <w:rPr>
                <w:rFonts w:cs="Arial"/>
                <w:b/>
                <w:bCs/>
                <w:color w:val="000000"/>
                <w:sz w:val="18"/>
                <w:szCs w:val="18"/>
                <w:lang w:eastAsia="en-GB"/>
              </w:rPr>
              <w:t>27</w:t>
            </w:r>
            <w:r>
              <w:rPr>
                <w:rFonts w:cs="Arial"/>
                <w:b/>
                <w:bCs/>
                <w:color w:val="000000"/>
                <w:sz w:val="18"/>
                <w:szCs w:val="18"/>
                <w:lang w:eastAsia="en-GB"/>
              </w:rPr>
              <w:t>)</w:t>
            </w:r>
          </w:p>
        </w:tc>
      </w:tr>
      <w:tr w:rsidR="00665F5E" w:rsidRPr="009F03E4" w14:paraId="1423FE5C" w14:textId="77777777" w:rsidTr="00665F5E">
        <w:trPr>
          <w:trHeight w:val="80"/>
          <w:jc w:val="center"/>
        </w:trPr>
        <w:tc>
          <w:tcPr>
            <w:tcW w:w="1413" w:type="dxa"/>
            <w:tcBorders>
              <w:top w:val="nil"/>
              <w:left w:val="single" w:sz="4" w:space="0" w:color="auto"/>
              <w:bottom w:val="nil"/>
              <w:right w:val="nil"/>
            </w:tcBorders>
            <w:shd w:val="clear" w:color="000000" w:fill="FFFFFF"/>
            <w:noWrap/>
            <w:vAlign w:val="bottom"/>
            <w:hideMark/>
          </w:tcPr>
          <w:p w14:paraId="7C899460" w14:textId="3CC7CC99" w:rsidR="00665F5E" w:rsidRPr="009F03E4" w:rsidRDefault="00665F5E" w:rsidP="00665F5E">
            <w:pPr>
              <w:rPr>
                <w:rFonts w:cs="Arial"/>
                <w:b/>
                <w:bCs/>
                <w:color w:val="000000"/>
                <w:sz w:val="18"/>
                <w:szCs w:val="18"/>
                <w:lang w:eastAsia="en-GB"/>
              </w:rPr>
            </w:pPr>
            <w:r w:rsidRPr="009F03E4">
              <w:rPr>
                <w:rFonts w:cs="Arial"/>
                <w:b/>
                <w:bCs/>
                <w:color w:val="000000"/>
                <w:sz w:val="18"/>
                <w:szCs w:val="18"/>
                <w:lang w:eastAsia="en-GB"/>
              </w:rPr>
              <w:t> </w:t>
            </w:r>
          </w:p>
        </w:tc>
        <w:tc>
          <w:tcPr>
            <w:tcW w:w="425" w:type="dxa"/>
            <w:tcBorders>
              <w:top w:val="nil"/>
              <w:left w:val="nil"/>
              <w:bottom w:val="nil"/>
              <w:right w:val="nil"/>
            </w:tcBorders>
            <w:shd w:val="clear" w:color="000000" w:fill="FFFFFF"/>
            <w:noWrap/>
            <w:vAlign w:val="bottom"/>
            <w:hideMark/>
          </w:tcPr>
          <w:p w14:paraId="450E1D1D" w14:textId="77777777" w:rsidR="00665F5E" w:rsidRPr="009F03E4" w:rsidRDefault="00665F5E" w:rsidP="00665F5E">
            <w:pPr>
              <w:rPr>
                <w:rFonts w:cs="Arial"/>
                <w:b/>
                <w:bCs/>
                <w:color w:val="000000"/>
                <w:sz w:val="18"/>
                <w:szCs w:val="18"/>
                <w:lang w:eastAsia="en-GB"/>
              </w:rPr>
            </w:pPr>
            <w:r w:rsidRPr="009F03E4">
              <w:rPr>
                <w:rFonts w:cs="Arial"/>
                <w:b/>
                <w:bCs/>
                <w:color w:val="000000"/>
                <w:sz w:val="18"/>
                <w:szCs w:val="18"/>
                <w:lang w:eastAsia="en-GB"/>
              </w:rPr>
              <w:t> </w:t>
            </w:r>
          </w:p>
        </w:tc>
        <w:tc>
          <w:tcPr>
            <w:tcW w:w="5245" w:type="dxa"/>
            <w:tcBorders>
              <w:top w:val="nil"/>
              <w:left w:val="nil"/>
              <w:bottom w:val="nil"/>
              <w:right w:val="nil"/>
            </w:tcBorders>
            <w:shd w:val="clear" w:color="000000" w:fill="FFFFFF"/>
            <w:noWrap/>
            <w:vAlign w:val="bottom"/>
            <w:hideMark/>
          </w:tcPr>
          <w:p w14:paraId="497FAD4A" w14:textId="77777777" w:rsidR="00665F5E" w:rsidRPr="009F03E4" w:rsidRDefault="00665F5E" w:rsidP="00665F5E">
            <w:pPr>
              <w:rPr>
                <w:rFonts w:cs="Arial"/>
                <w:sz w:val="18"/>
                <w:szCs w:val="18"/>
                <w:lang w:eastAsia="en-GB"/>
              </w:rPr>
            </w:pPr>
            <w:r w:rsidRPr="009F03E4">
              <w:rPr>
                <w:rFonts w:cs="Arial"/>
                <w:sz w:val="18"/>
                <w:szCs w:val="18"/>
                <w:lang w:eastAsia="en-GB"/>
              </w:rPr>
              <w:t> </w:t>
            </w:r>
          </w:p>
        </w:tc>
        <w:tc>
          <w:tcPr>
            <w:tcW w:w="731" w:type="dxa"/>
            <w:tcBorders>
              <w:top w:val="nil"/>
              <w:left w:val="nil"/>
              <w:bottom w:val="nil"/>
              <w:right w:val="nil"/>
            </w:tcBorders>
            <w:shd w:val="clear" w:color="000000" w:fill="FFFFFF"/>
            <w:noWrap/>
            <w:vAlign w:val="bottom"/>
            <w:hideMark/>
          </w:tcPr>
          <w:p w14:paraId="4227BBDC"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nil"/>
              <w:left w:val="nil"/>
              <w:bottom w:val="nil"/>
              <w:right w:val="single" w:sz="4" w:space="0" w:color="auto"/>
            </w:tcBorders>
            <w:shd w:val="clear" w:color="000000" w:fill="FFFFFF"/>
            <w:noWrap/>
            <w:vAlign w:val="bottom"/>
            <w:hideMark/>
          </w:tcPr>
          <w:p w14:paraId="095EC7CF" w14:textId="77777777" w:rsidR="00665F5E" w:rsidRPr="009F03E4" w:rsidRDefault="00665F5E" w:rsidP="00665F5E">
            <w:pPr>
              <w:rPr>
                <w:rFonts w:cs="Arial"/>
                <w:b/>
                <w:bCs/>
                <w:color w:val="000000"/>
                <w:sz w:val="18"/>
                <w:szCs w:val="18"/>
                <w:lang w:eastAsia="en-GB"/>
              </w:rPr>
            </w:pPr>
            <w:r w:rsidRPr="009F03E4">
              <w:rPr>
                <w:rFonts w:cs="Arial"/>
                <w:b/>
                <w:bCs/>
                <w:color w:val="000000"/>
                <w:sz w:val="18"/>
                <w:szCs w:val="18"/>
                <w:lang w:eastAsia="en-GB"/>
              </w:rPr>
              <w:t> </w:t>
            </w:r>
          </w:p>
        </w:tc>
      </w:tr>
      <w:tr w:rsidR="00665F5E" w:rsidRPr="009F03E4" w14:paraId="0873A92D" w14:textId="77777777" w:rsidTr="00665F5E">
        <w:trPr>
          <w:trHeight w:val="300"/>
          <w:jc w:val="center"/>
        </w:trPr>
        <w:tc>
          <w:tcPr>
            <w:tcW w:w="1413" w:type="dxa"/>
            <w:tcBorders>
              <w:top w:val="nil"/>
              <w:left w:val="single" w:sz="4" w:space="0" w:color="auto"/>
              <w:bottom w:val="nil"/>
              <w:right w:val="nil"/>
            </w:tcBorders>
            <w:shd w:val="clear" w:color="000000" w:fill="FFFFFF"/>
            <w:noWrap/>
            <w:hideMark/>
          </w:tcPr>
          <w:p w14:paraId="43E1BEB4" w14:textId="32B493D7" w:rsidR="00665F5E" w:rsidRPr="009F03E4" w:rsidRDefault="00665F5E" w:rsidP="00665F5E">
            <w:pPr>
              <w:jc w:val="right"/>
              <w:rPr>
                <w:rFonts w:cs="Arial"/>
                <w:sz w:val="18"/>
                <w:szCs w:val="18"/>
                <w:lang w:eastAsia="en-GB"/>
              </w:rPr>
            </w:pPr>
            <w:r>
              <w:rPr>
                <w:rFonts w:cs="Arial"/>
                <w:sz w:val="18"/>
                <w:szCs w:val="18"/>
                <w:lang w:eastAsia="en-GB"/>
              </w:rPr>
              <w:t>(852)</w:t>
            </w:r>
          </w:p>
        </w:tc>
        <w:tc>
          <w:tcPr>
            <w:tcW w:w="425" w:type="dxa"/>
            <w:tcBorders>
              <w:top w:val="nil"/>
              <w:left w:val="nil"/>
              <w:bottom w:val="nil"/>
              <w:right w:val="nil"/>
            </w:tcBorders>
            <w:shd w:val="clear" w:color="000000" w:fill="FFFFFF"/>
            <w:noWrap/>
            <w:hideMark/>
          </w:tcPr>
          <w:p w14:paraId="465DCA78" w14:textId="77777777" w:rsidR="00665F5E" w:rsidRPr="009F03E4" w:rsidRDefault="00665F5E" w:rsidP="00665F5E">
            <w:pPr>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172D3796" w14:textId="77777777" w:rsidR="00665F5E" w:rsidRPr="009F03E4" w:rsidRDefault="00665F5E" w:rsidP="00665F5E">
            <w:pPr>
              <w:rPr>
                <w:rFonts w:cs="Arial"/>
                <w:sz w:val="18"/>
                <w:szCs w:val="18"/>
                <w:lang w:eastAsia="en-GB"/>
              </w:rPr>
            </w:pPr>
            <w:r w:rsidRPr="009F03E4">
              <w:rPr>
                <w:rFonts w:cs="Arial"/>
                <w:sz w:val="18"/>
                <w:szCs w:val="18"/>
                <w:lang w:eastAsia="en-GB"/>
              </w:rPr>
              <w:t>Liability related to defined benefit pension scheme</w:t>
            </w:r>
          </w:p>
        </w:tc>
        <w:tc>
          <w:tcPr>
            <w:tcW w:w="731" w:type="dxa"/>
            <w:tcBorders>
              <w:top w:val="nil"/>
              <w:left w:val="nil"/>
              <w:bottom w:val="nil"/>
              <w:right w:val="nil"/>
            </w:tcBorders>
            <w:shd w:val="clear" w:color="000000" w:fill="FFFFFF"/>
            <w:noWrap/>
            <w:vAlign w:val="bottom"/>
            <w:hideMark/>
          </w:tcPr>
          <w:p w14:paraId="3CBA2EBD" w14:textId="047563BA" w:rsidR="00665F5E" w:rsidRPr="009F03E4" w:rsidRDefault="00665F5E" w:rsidP="00665F5E">
            <w:pPr>
              <w:jc w:val="center"/>
              <w:rPr>
                <w:rFonts w:cs="Arial"/>
                <w:sz w:val="18"/>
                <w:szCs w:val="18"/>
                <w:lang w:eastAsia="en-GB"/>
              </w:rPr>
            </w:pPr>
            <w:r w:rsidRPr="009F03E4">
              <w:rPr>
                <w:rFonts w:cs="Arial"/>
                <w:sz w:val="18"/>
                <w:szCs w:val="18"/>
                <w:lang w:eastAsia="en-GB"/>
              </w:rPr>
              <w:t>1</w:t>
            </w:r>
            <w:r w:rsidR="00411D8F">
              <w:rPr>
                <w:rFonts w:cs="Arial"/>
                <w:sz w:val="18"/>
                <w:szCs w:val="18"/>
                <w:lang w:eastAsia="en-GB"/>
              </w:rPr>
              <w:t>6</w:t>
            </w:r>
          </w:p>
        </w:tc>
        <w:tc>
          <w:tcPr>
            <w:tcW w:w="1253" w:type="dxa"/>
            <w:tcBorders>
              <w:top w:val="nil"/>
              <w:left w:val="nil"/>
              <w:bottom w:val="nil"/>
              <w:right w:val="single" w:sz="4" w:space="0" w:color="auto"/>
            </w:tcBorders>
            <w:shd w:val="clear" w:color="000000" w:fill="FFFFFF"/>
            <w:noWrap/>
            <w:hideMark/>
          </w:tcPr>
          <w:p w14:paraId="4D9FD9CF" w14:textId="458FF08E" w:rsidR="00665F5E" w:rsidRPr="009F03E4" w:rsidRDefault="00665F5E" w:rsidP="00665F5E">
            <w:pPr>
              <w:jc w:val="right"/>
              <w:rPr>
                <w:rFonts w:cs="Arial"/>
                <w:sz w:val="18"/>
                <w:szCs w:val="18"/>
                <w:lang w:eastAsia="en-GB"/>
              </w:rPr>
            </w:pPr>
            <w:r>
              <w:rPr>
                <w:rFonts w:cs="Arial"/>
                <w:sz w:val="18"/>
                <w:szCs w:val="18"/>
                <w:lang w:eastAsia="en-GB"/>
              </w:rPr>
              <w:t>(8</w:t>
            </w:r>
            <w:r w:rsidR="00385A33">
              <w:rPr>
                <w:rFonts w:cs="Arial"/>
                <w:sz w:val="18"/>
                <w:szCs w:val="18"/>
                <w:lang w:eastAsia="en-GB"/>
              </w:rPr>
              <w:t>09</w:t>
            </w:r>
            <w:r>
              <w:rPr>
                <w:rFonts w:cs="Arial"/>
                <w:sz w:val="18"/>
                <w:szCs w:val="18"/>
                <w:lang w:eastAsia="en-GB"/>
              </w:rPr>
              <w:t>)</w:t>
            </w:r>
          </w:p>
        </w:tc>
      </w:tr>
      <w:tr w:rsidR="00665F5E" w:rsidRPr="009F03E4" w14:paraId="3A1F50B8" w14:textId="77777777" w:rsidTr="00665F5E">
        <w:trPr>
          <w:trHeight w:val="80"/>
          <w:jc w:val="center"/>
        </w:trPr>
        <w:tc>
          <w:tcPr>
            <w:tcW w:w="1413" w:type="dxa"/>
            <w:tcBorders>
              <w:top w:val="nil"/>
              <w:left w:val="single" w:sz="4" w:space="0" w:color="auto"/>
              <w:bottom w:val="nil"/>
              <w:right w:val="nil"/>
            </w:tcBorders>
            <w:shd w:val="clear" w:color="000000" w:fill="FFFFFF"/>
            <w:noWrap/>
            <w:hideMark/>
          </w:tcPr>
          <w:p w14:paraId="582DE80E" w14:textId="797E60E9" w:rsidR="00665F5E" w:rsidRPr="009F03E4" w:rsidRDefault="00665F5E" w:rsidP="00665F5E">
            <w:pPr>
              <w:rPr>
                <w:rFonts w:cs="Arial"/>
                <w:sz w:val="18"/>
                <w:szCs w:val="18"/>
                <w:lang w:eastAsia="en-GB"/>
              </w:rPr>
            </w:pPr>
            <w:r w:rsidRPr="009F03E4">
              <w:rPr>
                <w:rFonts w:cs="Arial"/>
                <w:sz w:val="18"/>
                <w:szCs w:val="18"/>
                <w:lang w:eastAsia="en-GB"/>
              </w:rPr>
              <w:t> </w:t>
            </w:r>
          </w:p>
        </w:tc>
        <w:tc>
          <w:tcPr>
            <w:tcW w:w="425" w:type="dxa"/>
            <w:tcBorders>
              <w:top w:val="nil"/>
              <w:left w:val="nil"/>
              <w:bottom w:val="nil"/>
              <w:right w:val="nil"/>
            </w:tcBorders>
            <w:shd w:val="clear" w:color="000000" w:fill="FFFFFF"/>
            <w:noWrap/>
            <w:hideMark/>
          </w:tcPr>
          <w:p w14:paraId="742C5094" w14:textId="77777777" w:rsidR="00665F5E" w:rsidRPr="009F03E4" w:rsidRDefault="00665F5E" w:rsidP="00665F5E">
            <w:pPr>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631C2264" w14:textId="77777777" w:rsidR="00665F5E" w:rsidRPr="009F03E4" w:rsidRDefault="00665F5E" w:rsidP="00665F5E">
            <w:pPr>
              <w:rPr>
                <w:rFonts w:cs="Arial"/>
                <w:sz w:val="18"/>
                <w:szCs w:val="18"/>
                <w:lang w:eastAsia="en-GB"/>
              </w:rPr>
            </w:pPr>
            <w:r w:rsidRPr="009F03E4">
              <w:rPr>
                <w:rFonts w:cs="Arial"/>
                <w:sz w:val="18"/>
                <w:szCs w:val="18"/>
                <w:lang w:eastAsia="en-GB"/>
              </w:rPr>
              <w:t> </w:t>
            </w:r>
          </w:p>
        </w:tc>
        <w:tc>
          <w:tcPr>
            <w:tcW w:w="731" w:type="dxa"/>
            <w:tcBorders>
              <w:top w:val="nil"/>
              <w:left w:val="nil"/>
              <w:bottom w:val="nil"/>
              <w:right w:val="nil"/>
            </w:tcBorders>
            <w:shd w:val="clear" w:color="000000" w:fill="FFFFFF"/>
            <w:noWrap/>
            <w:vAlign w:val="bottom"/>
            <w:hideMark/>
          </w:tcPr>
          <w:p w14:paraId="4960546F"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nil"/>
              <w:left w:val="nil"/>
              <w:bottom w:val="nil"/>
              <w:right w:val="single" w:sz="4" w:space="0" w:color="auto"/>
            </w:tcBorders>
            <w:shd w:val="clear" w:color="000000" w:fill="FFFFFF"/>
            <w:noWrap/>
            <w:hideMark/>
          </w:tcPr>
          <w:p w14:paraId="0F93F4B4" w14:textId="77777777" w:rsidR="00665F5E" w:rsidRPr="009F03E4" w:rsidRDefault="00665F5E" w:rsidP="00665F5E">
            <w:pPr>
              <w:rPr>
                <w:rFonts w:cs="Arial"/>
                <w:sz w:val="18"/>
                <w:szCs w:val="18"/>
                <w:lang w:eastAsia="en-GB"/>
              </w:rPr>
            </w:pPr>
            <w:r w:rsidRPr="009F03E4">
              <w:rPr>
                <w:rFonts w:cs="Arial"/>
                <w:sz w:val="18"/>
                <w:szCs w:val="18"/>
                <w:lang w:eastAsia="en-GB"/>
              </w:rPr>
              <w:t> </w:t>
            </w:r>
          </w:p>
        </w:tc>
      </w:tr>
      <w:tr w:rsidR="00665F5E" w:rsidRPr="009F03E4" w14:paraId="3FC5AD90" w14:textId="77777777" w:rsidTr="00665F5E">
        <w:trPr>
          <w:trHeight w:val="117"/>
          <w:jc w:val="center"/>
        </w:trPr>
        <w:tc>
          <w:tcPr>
            <w:tcW w:w="1413" w:type="dxa"/>
            <w:tcBorders>
              <w:top w:val="single" w:sz="4" w:space="0" w:color="auto"/>
              <w:left w:val="single" w:sz="4" w:space="0" w:color="auto"/>
              <w:bottom w:val="nil"/>
              <w:right w:val="nil"/>
            </w:tcBorders>
            <w:shd w:val="clear" w:color="000000" w:fill="FFFFFF"/>
            <w:noWrap/>
            <w:vAlign w:val="bottom"/>
            <w:hideMark/>
          </w:tcPr>
          <w:p w14:paraId="5E686694" w14:textId="66515C45" w:rsidR="00665F5E" w:rsidRPr="009F03E4" w:rsidRDefault="00665F5E" w:rsidP="00665F5E">
            <w:pPr>
              <w:jc w:val="right"/>
              <w:rPr>
                <w:rFonts w:cs="Arial"/>
                <w:b/>
                <w:bCs/>
                <w:sz w:val="18"/>
                <w:szCs w:val="18"/>
                <w:lang w:eastAsia="en-GB"/>
              </w:rPr>
            </w:pPr>
            <w:r>
              <w:rPr>
                <w:rFonts w:cs="Arial"/>
                <w:b/>
                <w:bCs/>
                <w:sz w:val="18"/>
                <w:szCs w:val="18"/>
                <w:lang w:eastAsia="en-GB"/>
              </w:rPr>
              <w:t>(852)</w:t>
            </w:r>
          </w:p>
        </w:tc>
        <w:tc>
          <w:tcPr>
            <w:tcW w:w="425" w:type="dxa"/>
            <w:tcBorders>
              <w:top w:val="nil"/>
              <w:left w:val="nil"/>
              <w:bottom w:val="nil"/>
              <w:right w:val="nil"/>
            </w:tcBorders>
            <w:shd w:val="clear" w:color="000000" w:fill="FFFFFF"/>
            <w:noWrap/>
            <w:vAlign w:val="bottom"/>
            <w:hideMark/>
          </w:tcPr>
          <w:p w14:paraId="66341D65" w14:textId="77777777" w:rsidR="00665F5E" w:rsidRPr="009F03E4" w:rsidRDefault="00665F5E" w:rsidP="00665F5E">
            <w:pPr>
              <w:jc w:val="right"/>
              <w:rPr>
                <w:rFonts w:cs="Arial"/>
                <w:b/>
                <w:bCs/>
                <w:sz w:val="18"/>
                <w:szCs w:val="18"/>
                <w:lang w:eastAsia="en-GB"/>
              </w:rPr>
            </w:pPr>
            <w:r w:rsidRPr="009F03E4">
              <w:rPr>
                <w:rFonts w:cs="Arial"/>
                <w:b/>
                <w:bCs/>
                <w:sz w:val="18"/>
                <w:szCs w:val="18"/>
                <w:lang w:eastAsia="en-GB"/>
              </w:rPr>
              <w:t> </w:t>
            </w:r>
          </w:p>
        </w:tc>
        <w:tc>
          <w:tcPr>
            <w:tcW w:w="5245" w:type="dxa"/>
            <w:tcBorders>
              <w:top w:val="nil"/>
              <w:left w:val="nil"/>
              <w:bottom w:val="nil"/>
              <w:right w:val="nil"/>
            </w:tcBorders>
            <w:shd w:val="clear" w:color="000000" w:fill="FFFFFF"/>
            <w:noWrap/>
            <w:vAlign w:val="bottom"/>
            <w:hideMark/>
          </w:tcPr>
          <w:p w14:paraId="78589F87" w14:textId="77777777" w:rsidR="00665F5E" w:rsidRPr="009F03E4" w:rsidRDefault="00665F5E" w:rsidP="00665F5E">
            <w:pPr>
              <w:rPr>
                <w:rFonts w:cs="Arial"/>
                <w:b/>
                <w:bCs/>
                <w:sz w:val="18"/>
                <w:szCs w:val="18"/>
                <w:lang w:eastAsia="en-GB"/>
              </w:rPr>
            </w:pPr>
            <w:r w:rsidRPr="009F03E4">
              <w:rPr>
                <w:rFonts w:cs="Arial"/>
                <w:b/>
                <w:bCs/>
                <w:sz w:val="18"/>
                <w:szCs w:val="18"/>
                <w:lang w:eastAsia="en-GB"/>
              </w:rPr>
              <w:t>Long Term Liabilities</w:t>
            </w:r>
          </w:p>
        </w:tc>
        <w:tc>
          <w:tcPr>
            <w:tcW w:w="731" w:type="dxa"/>
            <w:tcBorders>
              <w:top w:val="nil"/>
              <w:left w:val="nil"/>
              <w:bottom w:val="nil"/>
              <w:right w:val="nil"/>
            </w:tcBorders>
            <w:shd w:val="clear" w:color="000000" w:fill="FFFFFF"/>
            <w:noWrap/>
            <w:vAlign w:val="bottom"/>
            <w:hideMark/>
          </w:tcPr>
          <w:p w14:paraId="7AECF733"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single" w:sz="4" w:space="0" w:color="auto"/>
              <w:left w:val="nil"/>
              <w:bottom w:val="nil"/>
              <w:right w:val="single" w:sz="4" w:space="0" w:color="auto"/>
            </w:tcBorders>
            <w:shd w:val="clear" w:color="000000" w:fill="FFFFFF"/>
            <w:noWrap/>
            <w:vAlign w:val="bottom"/>
            <w:hideMark/>
          </w:tcPr>
          <w:p w14:paraId="6FD454CA" w14:textId="487098DF" w:rsidR="00665F5E" w:rsidRPr="009F03E4" w:rsidRDefault="00665F5E" w:rsidP="00665F5E">
            <w:pPr>
              <w:jc w:val="right"/>
              <w:rPr>
                <w:rFonts w:cs="Arial"/>
                <w:b/>
                <w:bCs/>
                <w:sz w:val="18"/>
                <w:szCs w:val="18"/>
                <w:lang w:eastAsia="en-GB"/>
              </w:rPr>
            </w:pPr>
            <w:r>
              <w:rPr>
                <w:rFonts w:cs="Arial"/>
                <w:b/>
                <w:bCs/>
                <w:sz w:val="18"/>
                <w:szCs w:val="18"/>
                <w:lang w:eastAsia="en-GB"/>
              </w:rPr>
              <w:t>(8</w:t>
            </w:r>
            <w:r w:rsidR="00385A33">
              <w:rPr>
                <w:rFonts w:cs="Arial"/>
                <w:b/>
                <w:bCs/>
                <w:sz w:val="18"/>
                <w:szCs w:val="18"/>
                <w:lang w:eastAsia="en-GB"/>
              </w:rPr>
              <w:t>09</w:t>
            </w:r>
            <w:r>
              <w:rPr>
                <w:rFonts w:cs="Arial"/>
                <w:b/>
                <w:bCs/>
                <w:sz w:val="18"/>
                <w:szCs w:val="18"/>
                <w:lang w:eastAsia="en-GB"/>
              </w:rPr>
              <w:t>)</w:t>
            </w:r>
          </w:p>
        </w:tc>
      </w:tr>
      <w:tr w:rsidR="00665F5E" w:rsidRPr="009F03E4" w14:paraId="54F12108" w14:textId="77777777" w:rsidTr="00665F5E">
        <w:trPr>
          <w:trHeight w:val="101"/>
          <w:jc w:val="center"/>
        </w:trPr>
        <w:tc>
          <w:tcPr>
            <w:tcW w:w="1413" w:type="dxa"/>
            <w:tcBorders>
              <w:top w:val="nil"/>
              <w:left w:val="single" w:sz="4" w:space="0" w:color="auto"/>
              <w:bottom w:val="nil"/>
              <w:right w:val="nil"/>
            </w:tcBorders>
            <w:shd w:val="clear" w:color="000000" w:fill="FFFFFF"/>
            <w:noWrap/>
            <w:vAlign w:val="bottom"/>
            <w:hideMark/>
          </w:tcPr>
          <w:p w14:paraId="1DA0419C" w14:textId="733DBA26" w:rsidR="00665F5E" w:rsidRPr="009F03E4" w:rsidRDefault="00665F5E" w:rsidP="00665F5E">
            <w:pPr>
              <w:rPr>
                <w:rFonts w:cs="Arial"/>
                <w:sz w:val="18"/>
                <w:szCs w:val="18"/>
                <w:lang w:eastAsia="en-GB"/>
              </w:rPr>
            </w:pPr>
            <w:r w:rsidRPr="009F03E4">
              <w:rPr>
                <w:rFonts w:cs="Arial"/>
                <w:sz w:val="18"/>
                <w:szCs w:val="18"/>
                <w:lang w:eastAsia="en-GB"/>
              </w:rPr>
              <w:t> </w:t>
            </w:r>
          </w:p>
        </w:tc>
        <w:tc>
          <w:tcPr>
            <w:tcW w:w="425" w:type="dxa"/>
            <w:tcBorders>
              <w:top w:val="nil"/>
              <w:left w:val="nil"/>
              <w:bottom w:val="nil"/>
              <w:right w:val="nil"/>
            </w:tcBorders>
            <w:shd w:val="clear" w:color="000000" w:fill="FFFFFF"/>
            <w:noWrap/>
            <w:vAlign w:val="bottom"/>
            <w:hideMark/>
          </w:tcPr>
          <w:p w14:paraId="2801BE69" w14:textId="77777777" w:rsidR="00665F5E" w:rsidRPr="009F03E4" w:rsidRDefault="00665F5E" w:rsidP="00665F5E">
            <w:pPr>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65F29995" w14:textId="77777777" w:rsidR="00665F5E" w:rsidRPr="009F03E4" w:rsidRDefault="00665F5E" w:rsidP="00665F5E">
            <w:pPr>
              <w:rPr>
                <w:rFonts w:cs="Arial"/>
                <w:sz w:val="18"/>
                <w:szCs w:val="18"/>
                <w:lang w:eastAsia="en-GB"/>
              </w:rPr>
            </w:pPr>
            <w:r w:rsidRPr="009F03E4">
              <w:rPr>
                <w:rFonts w:cs="Arial"/>
                <w:sz w:val="18"/>
                <w:szCs w:val="18"/>
                <w:lang w:eastAsia="en-GB"/>
              </w:rPr>
              <w:t> </w:t>
            </w:r>
          </w:p>
        </w:tc>
        <w:tc>
          <w:tcPr>
            <w:tcW w:w="731" w:type="dxa"/>
            <w:tcBorders>
              <w:top w:val="nil"/>
              <w:left w:val="nil"/>
              <w:bottom w:val="nil"/>
              <w:right w:val="nil"/>
            </w:tcBorders>
            <w:shd w:val="clear" w:color="000000" w:fill="FFFFFF"/>
            <w:noWrap/>
            <w:vAlign w:val="bottom"/>
            <w:hideMark/>
          </w:tcPr>
          <w:p w14:paraId="26FAE85C"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nil"/>
              <w:left w:val="nil"/>
              <w:bottom w:val="nil"/>
              <w:right w:val="single" w:sz="4" w:space="0" w:color="auto"/>
            </w:tcBorders>
            <w:shd w:val="clear" w:color="000000" w:fill="FFFFFF"/>
            <w:noWrap/>
            <w:vAlign w:val="bottom"/>
            <w:hideMark/>
          </w:tcPr>
          <w:p w14:paraId="02B0D53C" w14:textId="77777777" w:rsidR="00665F5E" w:rsidRPr="009F03E4" w:rsidRDefault="00665F5E" w:rsidP="00665F5E">
            <w:pPr>
              <w:rPr>
                <w:rFonts w:cs="Arial"/>
                <w:sz w:val="18"/>
                <w:szCs w:val="18"/>
                <w:lang w:eastAsia="en-GB"/>
              </w:rPr>
            </w:pPr>
            <w:r w:rsidRPr="009F03E4">
              <w:rPr>
                <w:rFonts w:cs="Arial"/>
                <w:sz w:val="18"/>
                <w:szCs w:val="18"/>
                <w:lang w:eastAsia="en-GB"/>
              </w:rPr>
              <w:t> </w:t>
            </w:r>
          </w:p>
        </w:tc>
      </w:tr>
      <w:tr w:rsidR="00665F5E" w:rsidRPr="009F03E4" w14:paraId="466ED5CB" w14:textId="77777777" w:rsidTr="00665F5E">
        <w:trPr>
          <w:trHeight w:val="310"/>
          <w:jc w:val="center"/>
        </w:trPr>
        <w:tc>
          <w:tcPr>
            <w:tcW w:w="1413" w:type="dxa"/>
            <w:tcBorders>
              <w:top w:val="single" w:sz="4" w:space="0" w:color="auto"/>
              <w:left w:val="single" w:sz="4" w:space="0" w:color="auto"/>
              <w:bottom w:val="double" w:sz="6" w:space="0" w:color="auto"/>
              <w:right w:val="nil"/>
            </w:tcBorders>
            <w:shd w:val="clear" w:color="000000" w:fill="FFFFFF"/>
            <w:noWrap/>
            <w:vAlign w:val="center"/>
            <w:hideMark/>
          </w:tcPr>
          <w:p w14:paraId="418D1FA0" w14:textId="2E01A8A8" w:rsidR="00665F5E" w:rsidRPr="009F03E4" w:rsidRDefault="00665F5E" w:rsidP="00665F5E">
            <w:pPr>
              <w:jc w:val="right"/>
              <w:rPr>
                <w:rFonts w:cs="Arial"/>
                <w:b/>
                <w:bCs/>
                <w:sz w:val="18"/>
                <w:szCs w:val="18"/>
                <w:lang w:eastAsia="en-GB"/>
              </w:rPr>
            </w:pPr>
            <w:r>
              <w:rPr>
                <w:rFonts w:cs="Arial"/>
                <w:b/>
                <w:bCs/>
                <w:sz w:val="18"/>
                <w:szCs w:val="18"/>
                <w:lang w:eastAsia="en-GB"/>
              </w:rPr>
              <w:t>39,160</w:t>
            </w:r>
          </w:p>
        </w:tc>
        <w:tc>
          <w:tcPr>
            <w:tcW w:w="425" w:type="dxa"/>
            <w:tcBorders>
              <w:top w:val="nil"/>
              <w:left w:val="nil"/>
              <w:bottom w:val="nil"/>
              <w:right w:val="nil"/>
            </w:tcBorders>
            <w:shd w:val="clear" w:color="000000" w:fill="FFFFFF"/>
            <w:noWrap/>
            <w:vAlign w:val="center"/>
            <w:hideMark/>
          </w:tcPr>
          <w:p w14:paraId="5E03274C" w14:textId="77777777" w:rsidR="00665F5E" w:rsidRPr="009F03E4" w:rsidRDefault="00665F5E" w:rsidP="00665F5E">
            <w:pPr>
              <w:jc w:val="right"/>
              <w:rPr>
                <w:rFonts w:cs="Arial"/>
                <w:b/>
                <w:bCs/>
                <w:sz w:val="18"/>
                <w:szCs w:val="18"/>
                <w:lang w:eastAsia="en-GB"/>
              </w:rPr>
            </w:pPr>
            <w:r w:rsidRPr="009F03E4">
              <w:rPr>
                <w:rFonts w:cs="Arial"/>
                <w:b/>
                <w:bCs/>
                <w:sz w:val="18"/>
                <w:szCs w:val="18"/>
                <w:lang w:eastAsia="en-GB"/>
              </w:rPr>
              <w:t> </w:t>
            </w:r>
          </w:p>
        </w:tc>
        <w:tc>
          <w:tcPr>
            <w:tcW w:w="5245" w:type="dxa"/>
            <w:tcBorders>
              <w:top w:val="nil"/>
              <w:left w:val="nil"/>
              <w:bottom w:val="nil"/>
              <w:right w:val="nil"/>
            </w:tcBorders>
            <w:shd w:val="clear" w:color="000000" w:fill="FFFFFF"/>
            <w:noWrap/>
            <w:vAlign w:val="center"/>
            <w:hideMark/>
          </w:tcPr>
          <w:p w14:paraId="3A077736" w14:textId="77777777" w:rsidR="00665F5E" w:rsidRPr="009F03E4" w:rsidRDefault="00665F5E" w:rsidP="00665F5E">
            <w:pPr>
              <w:rPr>
                <w:rFonts w:cs="Arial"/>
                <w:b/>
                <w:bCs/>
                <w:sz w:val="18"/>
                <w:szCs w:val="18"/>
                <w:lang w:eastAsia="en-GB"/>
              </w:rPr>
            </w:pPr>
            <w:r w:rsidRPr="009F03E4">
              <w:rPr>
                <w:rFonts w:cs="Arial"/>
                <w:b/>
                <w:bCs/>
                <w:sz w:val="18"/>
                <w:szCs w:val="18"/>
                <w:lang w:eastAsia="en-GB"/>
              </w:rPr>
              <w:t>Net Assets</w:t>
            </w:r>
          </w:p>
        </w:tc>
        <w:tc>
          <w:tcPr>
            <w:tcW w:w="731" w:type="dxa"/>
            <w:tcBorders>
              <w:top w:val="nil"/>
              <w:left w:val="nil"/>
              <w:bottom w:val="nil"/>
              <w:right w:val="nil"/>
            </w:tcBorders>
            <w:shd w:val="clear" w:color="000000" w:fill="FFFFFF"/>
            <w:noWrap/>
            <w:vAlign w:val="bottom"/>
            <w:hideMark/>
          </w:tcPr>
          <w:p w14:paraId="4B751BF9"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single" w:sz="4" w:space="0" w:color="auto"/>
              <w:left w:val="nil"/>
              <w:bottom w:val="double" w:sz="6" w:space="0" w:color="auto"/>
              <w:right w:val="single" w:sz="4" w:space="0" w:color="auto"/>
            </w:tcBorders>
            <w:shd w:val="clear" w:color="000000" w:fill="FFFFFF"/>
            <w:noWrap/>
            <w:vAlign w:val="center"/>
            <w:hideMark/>
          </w:tcPr>
          <w:p w14:paraId="66BEF2A0" w14:textId="687264F7" w:rsidR="00665F5E" w:rsidRPr="009F03E4" w:rsidRDefault="00385A33" w:rsidP="00665F5E">
            <w:pPr>
              <w:jc w:val="right"/>
              <w:rPr>
                <w:rFonts w:cs="Arial"/>
                <w:b/>
                <w:bCs/>
                <w:sz w:val="18"/>
                <w:szCs w:val="18"/>
                <w:lang w:eastAsia="en-GB"/>
              </w:rPr>
            </w:pPr>
            <w:r>
              <w:rPr>
                <w:rFonts w:cs="Arial"/>
                <w:b/>
                <w:bCs/>
                <w:sz w:val="18"/>
                <w:szCs w:val="18"/>
                <w:lang w:eastAsia="en-GB"/>
              </w:rPr>
              <w:t>40,</w:t>
            </w:r>
            <w:r w:rsidR="00187646">
              <w:rPr>
                <w:rFonts w:cs="Arial"/>
                <w:b/>
                <w:bCs/>
                <w:sz w:val="18"/>
                <w:szCs w:val="18"/>
                <w:lang w:eastAsia="en-GB"/>
              </w:rPr>
              <w:t>2</w:t>
            </w:r>
            <w:r w:rsidR="00F5136C">
              <w:rPr>
                <w:rFonts w:cs="Arial"/>
                <w:b/>
                <w:bCs/>
                <w:sz w:val="18"/>
                <w:szCs w:val="18"/>
                <w:lang w:eastAsia="en-GB"/>
              </w:rPr>
              <w:t>68</w:t>
            </w:r>
          </w:p>
        </w:tc>
      </w:tr>
      <w:tr w:rsidR="00665F5E" w:rsidRPr="009F03E4" w14:paraId="4CA5AA23" w14:textId="77777777" w:rsidTr="00665F5E">
        <w:trPr>
          <w:trHeight w:val="102"/>
          <w:jc w:val="center"/>
        </w:trPr>
        <w:tc>
          <w:tcPr>
            <w:tcW w:w="1413" w:type="dxa"/>
            <w:tcBorders>
              <w:top w:val="nil"/>
              <w:left w:val="single" w:sz="4" w:space="0" w:color="auto"/>
              <w:bottom w:val="nil"/>
              <w:right w:val="nil"/>
            </w:tcBorders>
            <w:shd w:val="clear" w:color="000000" w:fill="FFFFFF"/>
            <w:noWrap/>
            <w:vAlign w:val="bottom"/>
            <w:hideMark/>
          </w:tcPr>
          <w:p w14:paraId="250C9547" w14:textId="7C21A06E" w:rsidR="00665F5E" w:rsidRPr="009F03E4" w:rsidRDefault="00665F5E" w:rsidP="00665F5E">
            <w:pPr>
              <w:rPr>
                <w:rFonts w:cs="Arial"/>
                <w:sz w:val="18"/>
                <w:szCs w:val="18"/>
                <w:lang w:eastAsia="en-GB"/>
              </w:rPr>
            </w:pPr>
            <w:r w:rsidRPr="009F03E4">
              <w:rPr>
                <w:rFonts w:cs="Arial"/>
                <w:sz w:val="18"/>
                <w:szCs w:val="18"/>
                <w:lang w:eastAsia="en-GB"/>
              </w:rPr>
              <w:t> </w:t>
            </w:r>
          </w:p>
        </w:tc>
        <w:tc>
          <w:tcPr>
            <w:tcW w:w="425" w:type="dxa"/>
            <w:tcBorders>
              <w:top w:val="nil"/>
              <w:left w:val="nil"/>
              <w:bottom w:val="nil"/>
              <w:right w:val="nil"/>
            </w:tcBorders>
            <w:shd w:val="clear" w:color="000000" w:fill="FFFFFF"/>
            <w:noWrap/>
            <w:vAlign w:val="bottom"/>
            <w:hideMark/>
          </w:tcPr>
          <w:p w14:paraId="6EC79809" w14:textId="77777777" w:rsidR="00665F5E" w:rsidRPr="009F03E4" w:rsidRDefault="00665F5E" w:rsidP="00665F5E">
            <w:pPr>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7A2089E7" w14:textId="77777777" w:rsidR="00665F5E" w:rsidRPr="009F03E4" w:rsidRDefault="00665F5E" w:rsidP="00665F5E">
            <w:pPr>
              <w:rPr>
                <w:rFonts w:cs="Arial"/>
                <w:sz w:val="18"/>
                <w:szCs w:val="18"/>
                <w:lang w:eastAsia="en-GB"/>
              </w:rPr>
            </w:pPr>
            <w:r w:rsidRPr="009F03E4">
              <w:rPr>
                <w:rFonts w:cs="Arial"/>
                <w:sz w:val="18"/>
                <w:szCs w:val="18"/>
                <w:lang w:eastAsia="en-GB"/>
              </w:rPr>
              <w:t> </w:t>
            </w:r>
          </w:p>
        </w:tc>
        <w:tc>
          <w:tcPr>
            <w:tcW w:w="731" w:type="dxa"/>
            <w:tcBorders>
              <w:top w:val="nil"/>
              <w:left w:val="nil"/>
              <w:bottom w:val="nil"/>
              <w:right w:val="nil"/>
            </w:tcBorders>
            <w:shd w:val="clear" w:color="000000" w:fill="FFFFFF"/>
            <w:noWrap/>
            <w:vAlign w:val="bottom"/>
            <w:hideMark/>
          </w:tcPr>
          <w:p w14:paraId="4D574DD7"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nil"/>
              <w:left w:val="nil"/>
              <w:bottom w:val="nil"/>
              <w:right w:val="single" w:sz="4" w:space="0" w:color="auto"/>
            </w:tcBorders>
            <w:shd w:val="clear" w:color="000000" w:fill="FFFFFF"/>
            <w:noWrap/>
            <w:vAlign w:val="bottom"/>
            <w:hideMark/>
          </w:tcPr>
          <w:p w14:paraId="295212BD" w14:textId="77777777" w:rsidR="00665F5E" w:rsidRPr="009F03E4" w:rsidRDefault="00665F5E" w:rsidP="00665F5E">
            <w:pPr>
              <w:rPr>
                <w:rFonts w:cs="Arial"/>
                <w:sz w:val="18"/>
                <w:szCs w:val="18"/>
                <w:lang w:eastAsia="en-GB"/>
              </w:rPr>
            </w:pPr>
            <w:r w:rsidRPr="009F03E4">
              <w:rPr>
                <w:rFonts w:cs="Arial"/>
                <w:sz w:val="18"/>
                <w:szCs w:val="18"/>
                <w:lang w:eastAsia="en-GB"/>
              </w:rPr>
              <w:t> </w:t>
            </w:r>
          </w:p>
        </w:tc>
      </w:tr>
      <w:tr w:rsidR="00665F5E" w:rsidRPr="009F03E4" w14:paraId="36B06B27" w14:textId="77777777" w:rsidTr="00665F5E">
        <w:trPr>
          <w:trHeight w:val="179"/>
          <w:jc w:val="center"/>
        </w:trPr>
        <w:tc>
          <w:tcPr>
            <w:tcW w:w="1413" w:type="dxa"/>
            <w:tcBorders>
              <w:top w:val="nil"/>
              <w:left w:val="single" w:sz="4" w:space="0" w:color="auto"/>
              <w:bottom w:val="nil"/>
              <w:right w:val="nil"/>
            </w:tcBorders>
            <w:shd w:val="clear" w:color="000000" w:fill="FFFFFF"/>
            <w:noWrap/>
            <w:vAlign w:val="bottom"/>
            <w:hideMark/>
          </w:tcPr>
          <w:p w14:paraId="0A7CD384" w14:textId="7BF1C8DF" w:rsidR="00665F5E" w:rsidRPr="009F03E4" w:rsidRDefault="00665F5E" w:rsidP="00665F5E">
            <w:pPr>
              <w:rPr>
                <w:rFonts w:cs="Arial"/>
                <w:sz w:val="18"/>
                <w:szCs w:val="18"/>
                <w:lang w:eastAsia="en-GB"/>
              </w:rPr>
            </w:pPr>
            <w:r w:rsidRPr="009F03E4">
              <w:rPr>
                <w:rFonts w:cs="Arial"/>
                <w:sz w:val="18"/>
                <w:szCs w:val="18"/>
                <w:lang w:eastAsia="en-GB"/>
              </w:rPr>
              <w:t> </w:t>
            </w:r>
          </w:p>
        </w:tc>
        <w:tc>
          <w:tcPr>
            <w:tcW w:w="425" w:type="dxa"/>
            <w:tcBorders>
              <w:top w:val="nil"/>
              <w:left w:val="nil"/>
              <w:bottom w:val="nil"/>
              <w:right w:val="nil"/>
            </w:tcBorders>
            <w:shd w:val="clear" w:color="000000" w:fill="FFFFFF"/>
            <w:noWrap/>
            <w:vAlign w:val="bottom"/>
            <w:hideMark/>
          </w:tcPr>
          <w:p w14:paraId="71CB1769" w14:textId="77777777" w:rsidR="00665F5E" w:rsidRPr="009F03E4" w:rsidRDefault="00665F5E" w:rsidP="00665F5E">
            <w:pPr>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174E1AA6" w14:textId="77777777" w:rsidR="00665F5E" w:rsidRPr="009F03E4" w:rsidRDefault="00665F5E" w:rsidP="00665F5E">
            <w:pPr>
              <w:rPr>
                <w:rFonts w:cs="Arial"/>
                <w:b/>
                <w:bCs/>
                <w:sz w:val="18"/>
                <w:szCs w:val="18"/>
                <w:lang w:eastAsia="en-GB"/>
              </w:rPr>
            </w:pPr>
            <w:r w:rsidRPr="009F03E4">
              <w:rPr>
                <w:rFonts w:cs="Arial"/>
                <w:b/>
                <w:bCs/>
                <w:sz w:val="18"/>
                <w:szCs w:val="18"/>
                <w:lang w:eastAsia="en-GB"/>
              </w:rPr>
              <w:t>Usable Reserves</w:t>
            </w:r>
          </w:p>
        </w:tc>
        <w:tc>
          <w:tcPr>
            <w:tcW w:w="731" w:type="dxa"/>
            <w:tcBorders>
              <w:top w:val="nil"/>
              <w:left w:val="nil"/>
              <w:bottom w:val="nil"/>
              <w:right w:val="nil"/>
            </w:tcBorders>
            <w:shd w:val="clear" w:color="000000" w:fill="FFFFFF"/>
            <w:noWrap/>
            <w:vAlign w:val="bottom"/>
            <w:hideMark/>
          </w:tcPr>
          <w:p w14:paraId="2A60FD64"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nil"/>
              <w:left w:val="nil"/>
              <w:bottom w:val="nil"/>
              <w:right w:val="single" w:sz="4" w:space="0" w:color="auto"/>
            </w:tcBorders>
            <w:shd w:val="clear" w:color="000000" w:fill="FFFFFF"/>
            <w:noWrap/>
            <w:vAlign w:val="bottom"/>
            <w:hideMark/>
          </w:tcPr>
          <w:p w14:paraId="65E5A9D0" w14:textId="77777777" w:rsidR="00665F5E" w:rsidRPr="009F03E4" w:rsidRDefault="00665F5E" w:rsidP="00665F5E">
            <w:pPr>
              <w:rPr>
                <w:rFonts w:cs="Arial"/>
                <w:sz w:val="18"/>
                <w:szCs w:val="18"/>
                <w:lang w:eastAsia="en-GB"/>
              </w:rPr>
            </w:pPr>
            <w:r w:rsidRPr="009F03E4">
              <w:rPr>
                <w:rFonts w:cs="Arial"/>
                <w:sz w:val="18"/>
                <w:szCs w:val="18"/>
                <w:lang w:eastAsia="en-GB"/>
              </w:rPr>
              <w:t> </w:t>
            </w:r>
          </w:p>
        </w:tc>
      </w:tr>
      <w:tr w:rsidR="00665F5E" w:rsidRPr="009F03E4" w14:paraId="03D39DDA" w14:textId="77777777" w:rsidTr="00665F5E">
        <w:trPr>
          <w:trHeight w:val="247"/>
          <w:jc w:val="center"/>
        </w:trPr>
        <w:tc>
          <w:tcPr>
            <w:tcW w:w="1413" w:type="dxa"/>
            <w:tcBorders>
              <w:top w:val="nil"/>
              <w:left w:val="single" w:sz="4" w:space="0" w:color="auto"/>
              <w:bottom w:val="nil"/>
              <w:right w:val="nil"/>
            </w:tcBorders>
            <w:shd w:val="clear" w:color="000000" w:fill="FFFFFF"/>
            <w:noWrap/>
            <w:hideMark/>
          </w:tcPr>
          <w:p w14:paraId="290B81CC" w14:textId="6591B67C" w:rsidR="00665F5E" w:rsidRPr="009F03E4" w:rsidRDefault="00665F5E" w:rsidP="00665F5E">
            <w:pPr>
              <w:jc w:val="right"/>
              <w:rPr>
                <w:rFonts w:cs="Arial"/>
                <w:sz w:val="18"/>
                <w:szCs w:val="18"/>
                <w:lang w:eastAsia="en-GB"/>
              </w:rPr>
            </w:pPr>
            <w:r>
              <w:rPr>
                <w:rFonts w:cs="Arial"/>
                <w:sz w:val="18"/>
                <w:szCs w:val="18"/>
                <w:lang w:eastAsia="en-GB"/>
              </w:rPr>
              <w:t>1</w:t>
            </w:r>
            <w:r w:rsidRPr="009F03E4">
              <w:rPr>
                <w:rFonts w:cs="Arial"/>
                <w:sz w:val="18"/>
                <w:szCs w:val="18"/>
                <w:lang w:eastAsia="en-GB"/>
              </w:rPr>
              <w:t>,275</w:t>
            </w:r>
          </w:p>
        </w:tc>
        <w:tc>
          <w:tcPr>
            <w:tcW w:w="425" w:type="dxa"/>
            <w:tcBorders>
              <w:top w:val="nil"/>
              <w:left w:val="nil"/>
              <w:bottom w:val="nil"/>
              <w:right w:val="nil"/>
            </w:tcBorders>
            <w:shd w:val="clear" w:color="000000" w:fill="FFFFFF"/>
            <w:noWrap/>
            <w:hideMark/>
          </w:tcPr>
          <w:p w14:paraId="397F45A7"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629FE9A3" w14:textId="77777777" w:rsidR="00665F5E" w:rsidRPr="009F03E4" w:rsidRDefault="00665F5E" w:rsidP="00665F5E">
            <w:pPr>
              <w:rPr>
                <w:rFonts w:cs="Arial"/>
                <w:sz w:val="18"/>
                <w:szCs w:val="18"/>
                <w:lang w:eastAsia="en-GB"/>
              </w:rPr>
            </w:pPr>
            <w:r w:rsidRPr="009F03E4">
              <w:rPr>
                <w:rFonts w:cs="Arial"/>
                <w:sz w:val="18"/>
                <w:szCs w:val="18"/>
                <w:lang w:eastAsia="en-GB"/>
              </w:rPr>
              <w:t>Capital Receipts Reserve</w:t>
            </w:r>
          </w:p>
        </w:tc>
        <w:tc>
          <w:tcPr>
            <w:tcW w:w="731" w:type="dxa"/>
            <w:tcBorders>
              <w:top w:val="nil"/>
              <w:left w:val="nil"/>
              <w:bottom w:val="nil"/>
              <w:right w:val="nil"/>
            </w:tcBorders>
            <w:shd w:val="clear" w:color="000000" w:fill="FFFFFF"/>
            <w:noWrap/>
            <w:vAlign w:val="bottom"/>
            <w:hideMark/>
          </w:tcPr>
          <w:p w14:paraId="2BD3077B" w14:textId="090A6B37" w:rsidR="00665F5E" w:rsidRPr="009F03E4" w:rsidRDefault="00853889" w:rsidP="00665F5E">
            <w:pPr>
              <w:jc w:val="center"/>
              <w:rPr>
                <w:rFonts w:cs="Arial"/>
                <w:sz w:val="18"/>
                <w:szCs w:val="18"/>
                <w:lang w:eastAsia="en-GB"/>
              </w:rPr>
            </w:pPr>
            <w:r>
              <w:rPr>
                <w:rFonts w:cs="Arial"/>
                <w:sz w:val="18"/>
                <w:szCs w:val="18"/>
                <w:lang w:eastAsia="en-GB"/>
              </w:rPr>
              <w:t>10</w:t>
            </w:r>
          </w:p>
        </w:tc>
        <w:tc>
          <w:tcPr>
            <w:tcW w:w="1253" w:type="dxa"/>
            <w:tcBorders>
              <w:top w:val="nil"/>
              <w:left w:val="nil"/>
              <w:bottom w:val="nil"/>
              <w:right w:val="single" w:sz="4" w:space="0" w:color="auto"/>
            </w:tcBorders>
            <w:shd w:val="clear" w:color="000000" w:fill="FFFFFF"/>
            <w:noWrap/>
            <w:hideMark/>
          </w:tcPr>
          <w:p w14:paraId="59D2B76C" w14:textId="320EC8C8" w:rsidR="00665F5E" w:rsidRPr="009F03E4" w:rsidRDefault="00385A33" w:rsidP="00665F5E">
            <w:pPr>
              <w:jc w:val="right"/>
              <w:rPr>
                <w:rFonts w:cs="Arial"/>
                <w:sz w:val="18"/>
                <w:szCs w:val="18"/>
                <w:lang w:eastAsia="en-GB"/>
              </w:rPr>
            </w:pPr>
            <w:r>
              <w:rPr>
                <w:rFonts w:cs="Arial"/>
                <w:sz w:val="18"/>
                <w:szCs w:val="18"/>
                <w:lang w:eastAsia="en-GB"/>
              </w:rPr>
              <w:t>820</w:t>
            </w:r>
          </w:p>
        </w:tc>
      </w:tr>
      <w:tr w:rsidR="00665F5E" w:rsidRPr="009F03E4" w14:paraId="0C8B933D" w14:textId="77777777" w:rsidTr="00665F5E">
        <w:trPr>
          <w:trHeight w:val="150"/>
          <w:jc w:val="center"/>
        </w:trPr>
        <w:tc>
          <w:tcPr>
            <w:tcW w:w="1413" w:type="dxa"/>
            <w:tcBorders>
              <w:top w:val="nil"/>
              <w:left w:val="single" w:sz="4" w:space="0" w:color="auto"/>
              <w:bottom w:val="nil"/>
              <w:right w:val="nil"/>
            </w:tcBorders>
            <w:shd w:val="clear" w:color="000000" w:fill="FFFFFF"/>
            <w:noWrap/>
            <w:hideMark/>
          </w:tcPr>
          <w:p w14:paraId="685B7215" w14:textId="408DA5C7" w:rsidR="00665F5E" w:rsidRPr="009F03E4" w:rsidRDefault="00665F5E" w:rsidP="00665F5E">
            <w:pPr>
              <w:jc w:val="right"/>
              <w:rPr>
                <w:rFonts w:cs="Arial"/>
                <w:sz w:val="18"/>
                <w:szCs w:val="18"/>
                <w:lang w:eastAsia="en-GB"/>
              </w:rPr>
            </w:pPr>
            <w:r w:rsidRPr="009F03E4">
              <w:rPr>
                <w:rFonts w:cs="Arial"/>
                <w:sz w:val="18"/>
                <w:szCs w:val="18"/>
                <w:lang w:eastAsia="en-GB"/>
              </w:rPr>
              <w:t>255</w:t>
            </w:r>
          </w:p>
        </w:tc>
        <w:tc>
          <w:tcPr>
            <w:tcW w:w="425" w:type="dxa"/>
            <w:tcBorders>
              <w:top w:val="nil"/>
              <w:left w:val="nil"/>
              <w:bottom w:val="nil"/>
              <w:right w:val="nil"/>
            </w:tcBorders>
            <w:shd w:val="clear" w:color="000000" w:fill="FFFFFF"/>
            <w:noWrap/>
            <w:hideMark/>
          </w:tcPr>
          <w:p w14:paraId="1734912F"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56B26DB9" w14:textId="77777777" w:rsidR="00665F5E" w:rsidRPr="009F03E4" w:rsidRDefault="00665F5E" w:rsidP="00665F5E">
            <w:pPr>
              <w:rPr>
                <w:rFonts w:cs="Arial"/>
                <w:sz w:val="18"/>
                <w:szCs w:val="18"/>
                <w:lang w:eastAsia="en-GB"/>
              </w:rPr>
            </w:pPr>
            <w:r w:rsidRPr="009F03E4">
              <w:rPr>
                <w:rFonts w:cs="Arial"/>
                <w:sz w:val="18"/>
                <w:szCs w:val="18"/>
                <w:lang w:eastAsia="en-GB"/>
              </w:rPr>
              <w:t>Capital Grants Unapplied Reserve</w:t>
            </w:r>
          </w:p>
        </w:tc>
        <w:tc>
          <w:tcPr>
            <w:tcW w:w="731" w:type="dxa"/>
            <w:tcBorders>
              <w:top w:val="nil"/>
              <w:left w:val="nil"/>
              <w:bottom w:val="nil"/>
              <w:right w:val="nil"/>
            </w:tcBorders>
            <w:shd w:val="clear" w:color="000000" w:fill="FFFFFF"/>
            <w:noWrap/>
            <w:vAlign w:val="bottom"/>
            <w:hideMark/>
          </w:tcPr>
          <w:p w14:paraId="16282E26" w14:textId="6ABBE454" w:rsidR="00665F5E" w:rsidRPr="009F03E4" w:rsidRDefault="00853889" w:rsidP="00665F5E">
            <w:pPr>
              <w:jc w:val="center"/>
              <w:rPr>
                <w:rFonts w:cs="Arial"/>
                <w:sz w:val="18"/>
                <w:szCs w:val="18"/>
                <w:lang w:eastAsia="en-GB"/>
              </w:rPr>
            </w:pPr>
            <w:r>
              <w:rPr>
                <w:rFonts w:cs="Arial"/>
                <w:sz w:val="18"/>
                <w:szCs w:val="18"/>
                <w:lang w:eastAsia="en-GB"/>
              </w:rPr>
              <w:t>10</w:t>
            </w:r>
          </w:p>
        </w:tc>
        <w:tc>
          <w:tcPr>
            <w:tcW w:w="1253" w:type="dxa"/>
            <w:tcBorders>
              <w:top w:val="nil"/>
              <w:left w:val="nil"/>
              <w:bottom w:val="nil"/>
              <w:right w:val="single" w:sz="4" w:space="0" w:color="auto"/>
            </w:tcBorders>
            <w:shd w:val="clear" w:color="000000" w:fill="FFFFFF"/>
            <w:noWrap/>
            <w:hideMark/>
          </w:tcPr>
          <w:p w14:paraId="1E7F166A" w14:textId="0AF51D0E" w:rsidR="00665F5E" w:rsidRPr="009F03E4" w:rsidRDefault="00665F5E" w:rsidP="00665F5E">
            <w:pPr>
              <w:jc w:val="right"/>
              <w:rPr>
                <w:rFonts w:cs="Arial"/>
                <w:sz w:val="18"/>
                <w:szCs w:val="18"/>
                <w:lang w:eastAsia="en-GB"/>
              </w:rPr>
            </w:pPr>
            <w:r w:rsidRPr="009F03E4">
              <w:rPr>
                <w:rFonts w:cs="Arial"/>
                <w:sz w:val="18"/>
                <w:szCs w:val="18"/>
                <w:lang w:eastAsia="en-GB"/>
              </w:rPr>
              <w:t>2</w:t>
            </w:r>
            <w:r w:rsidR="00187646">
              <w:rPr>
                <w:rFonts w:cs="Arial"/>
                <w:sz w:val="18"/>
                <w:szCs w:val="18"/>
                <w:lang w:eastAsia="en-GB"/>
              </w:rPr>
              <w:t>52</w:t>
            </w:r>
          </w:p>
        </w:tc>
      </w:tr>
      <w:tr w:rsidR="00665F5E" w:rsidRPr="009F03E4" w14:paraId="30CDBA50" w14:textId="77777777" w:rsidTr="00665F5E">
        <w:trPr>
          <w:trHeight w:val="225"/>
          <w:jc w:val="center"/>
        </w:trPr>
        <w:tc>
          <w:tcPr>
            <w:tcW w:w="1413" w:type="dxa"/>
            <w:tcBorders>
              <w:top w:val="nil"/>
              <w:left w:val="single" w:sz="4" w:space="0" w:color="auto"/>
              <w:bottom w:val="nil"/>
              <w:right w:val="nil"/>
            </w:tcBorders>
            <w:shd w:val="clear" w:color="000000" w:fill="FFFFFF"/>
            <w:noWrap/>
            <w:hideMark/>
          </w:tcPr>
          <w:p w14:paraId="619C3D83" w14:textId="2CF3C996" w:rsidR="00665F5E" w:rsidRPr="009F03E4" w:rsidRDefault="00665F5E" w:rsidP="00665F5E">
            <w:pPr>
              <w:jc w:val="right"/>
              <w:rPr>
                <w:rFonts w:cs="Arial"/>
                <w:sz w:val="18"/>
                <w:szCs w:val="18"/>
                <w:lang w:eastAsia="en-GB"/>
              </w:rPr>
            </w:pPr>
            <w:r w:rsidRPr="009F03E4">
              <w:rPr>
                <w:rFonts w:cs="Arial"/>
                <w:sz w:val="18"/>
                <w:szCs w:val="18"/>
                <w:lang w:eastAsia="en-GB"/>
              </w:rPr>
              <w:t>1,841</w:t>
            </w:r>
          </w:p>
        </w:tc>
        <w:tc>
          <w:tcPr>
            <w:tcW w:w="425" w:type="dxa"/>
            <w:tcBorders>
              <w:top w:val="nil"/>
              <w:left w:val="nil"/>
              <w:bottom w:val="nil"/>
              <w:right w:val="nil"/>
            </w:tcBorders>
            <w:shd w:val="clear" w:color="000000" w:fill="FFFFFF"/>
            <w:noWrap/>
            <w:hideMark/>
          </w:tcPr>
          <w:p w14:paraId="41F0A6D4"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483CDD7F" w14:textId="77777777" w:rsidR="00665F5E" w:rsidRPr="009F03E4" w:rsidRDefault="00665F5E" w:rsidP="00665F5E">
            <w:pPr>
              <w:rPr>
                <w:rFonts w:cs="Arial"/>
                <w:sz w:val="18"/>
                <w:szCs w:val="18"/>
                <w:lang w:eastAsia="en-GB"/>
              </w:rPr>
            </w:pPr>
            <w:r w:rsidRPr="009F03E4">
              <w:rPr>
                <w:rFonts w:cs="Arial"/>
                <w:sz w:val="18"/>
                <w:szCs w:val="18"/>
                <w:lang w:eastAsia="en-GB"/>
              </w:rPr>
              <w:t>Earmarked Reserves</w:t>
            </w:r>
          </w:p>
        </w:tc>
        <w:tc>
          <w:tcPr>
            <w:tcW w:w="731" w:type="dxa"/>
            <w:tcBorders>
              <w:top w:val="nil"/>
              <w:left w:val="nil"/>
              <w:bottom w:val="nil"/>
              <w:right w:val="nil"/>
            </w:tcBorders>
            <w:shd w:val="clear" w:color="000000" w:fill="FFFFFF"/>
            <w:noWrap/>
            <w:vAlign w:val="bottom"/>
            <w:hideMark/>
          </w:tcPr>
          <w:p w14:paraId="620A19BE" w14:textId="5C61B6C1" w:rsidR="00665F5E" w:rsidRPr="009F03E4" w:rsidRDefault="00665F5E" w:rsidP="00665F5E">
            <w:pPr>
              <w:jc w:val="center"/>
              <w:rPr>
                <w:rFonts w:cs="Arial"/>
                <w:sz w:val="18"/>
                <w:szCs w:val="18"/>
                <w:lang w:eastAsia="en-GB"/>
              </w:rPr>
            </w:pPr>
            <w:r w:rsidRPr="009F03E4">
              <w:rPr>
                <w:rFonts w:cs="Arial"/>
                <w:sz w:val="18"/>
                <w:szCs w:val="18"/>
                <w:lang w:eastAsia="en-GB"/>
              </w:rPr>
              <w:t>3</w:t>
            </w:r>
            <w:r w:rsidR="00853889">
              <w:rPr>
                <w:rFonts w:cs="Arial"/>
                <w:sz w:val="18"/>
                <w:szCs w:val="18"/>
                <w:lang w:eastAsia="en-GB"/>
              </w:rPr>
              <w:t>1</w:t>
            </w:r>
          </w:p>
        </w:tc>
        <w:tc>
          <w:tcPr>
            <w:tcW w:w="1253" w:type="dxa"/>
            <w:tcBorders>
              <w:top w:val="nil"/>
              <w:left w:val="nil"/>
              <w:bottom w:val="nil"/>
              <w:right w:val="single" w:sz="4" w:space="0" w:color="auto"/>
            </w:tcBorders>
            <w:shd w:val="clear" w:color="000000" w:fill="FFFFFF"/>
            <w:noWrap/>
            <w:hideMark/>
          </w:tcPr>
          <w:p w14:paraId="388A683D" w14:textId="069AEFFC" w:rsidR="00665F5E" w:rsidRPr="009F03E4" w:rsidRDefault="00385A33" w:rsidP="00665F5E">
            <w:pPr>
              <w:jc w:val="right"/>
              <w:rPr>
                <w:rFonts w:cs="Arial"/>
                <w:sz w:val="18"/>
                <w:szCs w:val="18"/>
                <w:lang w:eastAsia="en-GB"/>
              </w:rPr>
            </w:pPr>
            <w:r>
              <w:rPr>
                <w:rFonts w:cs="Arial"/>
                <w:sz w:val="18"/>
                <w:szCs w:val="18"/>
                <w:lang w:eastAsia="en-GB"/>
              </w:rPr>
              <w:t>2,40</w:t>
            </w:r>
            <w:r w:rsidR="00187646">
              <w:rPr>
                <w:rFonts w:cs="Arial"/>
                <w:sz w:val="18"/>
                <w:szCs w:val="18"/>
                <w:lang w:eastAsia="en-GB"/>
              </w:rPr>
              <w:t>2</w:t>
            </w:r>
          </w:p>
        </w:tc>
      </w:tr>
      <w:tr w:rsidR="00665F5E" w:rsidRPr="009F03E4" w14:paraId="7E26464C" w14:textId="77777777" w:rsidTr="00665F5E">
        <w:trPr>
          <w:trHeight w:val="143"/>
          <w:jc w:val="center"/>
        </w:trPr>
        <w:tc>
          <w:tcPr>
            <w:tcW w:w="1413" w:type="dxa"/>
            <w:tcBorders>
              <w:top w:val="nil"/>
              <w:left w:val="single" w:sz="4" w:space="0" w:color="auto"/>
              <w:bottom w:val="nil"/>
              <w:right w:val="nil"/>
            </w:tcBorders>
            <w:shd w:val="clear" w:color="000000" w:fill="FFFFFF"/>
            <w:noWrap/>
            <w:hideMark/>
          </w:tcPr>
          <w:p w14:paraId="5F7153D8" w14:textId="6E4CBC10" w:rsidR="00665F5E" w:rsidRPr="009F03E4" w:rsidRDefault="00665F5E" w:rsidP="00665F5E">
            <w:pPr>
              <w:jc w:val="right"/>
              <w:rPr>
                <w:rFonts w:cs="Arial"/>
                <w:sz w:val="18"/>
                <w:szCs w:val="18"/>
                <w:lang w:eastAsia="en-GB"/>
              </w:rPr>
            </w:pPr>
            <w:r w:rsidRPr="009F03E4">
              <w:rPr>
                <w:rFonts w:cs="Arial"/>
                <w:sz w:val="18"/>
                <w:szCs w:val="18"/>
                <w:lang w:eastAsia="en-GB"/>
              </w:rPr>
              <w:t>1,570</w:t>
            </w:r>
          </w:p>
        </w:tc>
        <w:tc>
          <w:tcPr>
            <w:tcW w:w="425" w:type="dxa"/>
            <w:tcBorders>
              <w:top w:val="nil"/>
              <w:left w:val="nil"/>
              <w:bottom w:val="nil"/>
              <w:right w:val="nil"/>
            </w:tcBorders>
            <w:shd w:val="clear" w:color="000000" w:fill="FFFFFF"/>
            <w:noWrap/>
            <w:hideMark/>
          </w:tcPr>
          <w:p w14:paraId="19AA7BEF"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3C6139F8" w14:textId="77777777" w:rsidR="00665F5E" w:rsidRPr="009F03E4" w:rsidRDefault="00665F5E" w:rsidP="00665F5E">
            <w:pPr>
              <w:rPr>
                <w:rFonts w:cs="Arial"/>
                <w:sz w:val="18"/>
                <w:szCs w:val="18"/>
                <w:lang w:eastAsia="en-GB"/>
              </w:rPr>
            </w:pPr>
            <w:r w:rsidRPr="009F03E4">
              <w:rPr>
                <w:rFonts w:cs="Arial"/>
                <w:sz w:val="18"/>
                <w:szCs w:val="18"/>
                <w:lang w:eastAsia="en-GB"/>
              </w:rPr>
              <w:t>General Reserve</w:t>
            </w:r>
          </w:p>
        </w:tc>
        <w:tc>
          <w:tcPr>
            <w:tcW w:w="731" w:type="dxa"/>
            <w:tcBorders>
              <w:top w:val="nil"/>
              <w:left w:val="nil"/>
              <w:bottom w:val="nil"/>
              <w:right w:val="nil"/>
            </w:tcBorders>
            <w:shd w:val="clear" w:color="000000" w:fill="FFFFFF"/>
            <w:noWrap/>
            <w:vAlign w:val="bottom"/>
            <w:hideMark/>
          </w:tcPr>
          <w:p w14:paraId="78F9B722" w14:textId="19E4AA49" w:rsidR="00665F5E" w:rsidRPr="009F03E4" w:rsidRDefault="00853889" w:rsidP="00665F5E">
            <w:pPr>
              <w:jc w:val="center"/>
              <w:rPr>
                <w:rFonts w:cs="Arial"/>
                <w:sz w:val="18"/>
                <w:szCs w:val="18"/>
                <w:lang w:eastAsia="en-GB"/>
              </w:rPr>
            </w:pPr>
            <w:r>
              <w:rPr>
                <w:rFonts w:cs="Arial"/>
                <w:sz w:val="18"/>
                <w:szCs w:val="18"/>
                <w:lang w:eastAsia="en-GB"/>
              </w:rPr>
              <w:t>10</w:t>
            </w:r>
          </w:p>
        </w:tc>
        <w:tc>
          <w:tcPr>
            <w:tcW w:w="1253" w:type="dxa"/>
            <w:tcBorders>
              <w:top w:val="nil"/>
              <w:left w:val="nil"/>
              <w:bottom w:val="nil"/>
              <w:right w:val="single" w:sz="4" w:space="0" w:color="auto"/>
            </w:tcBorders>
            <w:shd w:val="clear" w:color="000000" w:fill="FFFFFF"/>
            <w:noWrap/>
            <w:hideMark/>
          </w:tcPr>
          <w:p w14:paraId="1EF37D9A" w14:textId="465DECD0" w:rsidR="00665F5E" w:rsidRPr="009F03E4" w:rsidRDefault="00665F5E" w:rsidP="00665F5E">
            <w:pPr>
              <w:jc w:val="right"/>
              <w:rPr>
                <w:rFonts w:cs="Arial"/>
                <w:sz w:val="18"/>
                <w:szCs w:val="18"/>
                <w:lang w:eastAsia="en-GB"/>
              </w:rPr>
            </w:pPr>
            <w:r w:rsidRPr="009F03E4">
              <w:rPr>
                <w:rFonts w:cs="Arial"/>
                <w:sz w:val="18"/>
                <w:szCs w:val="18"/>
                <w:lang w:eastAsia="en-GB"/>
              </w:rPr>
              <w:t>1,</w:t>
            </w:r>
            <w:r w:rsidR="00385A33">
              <w:rPr>
                <w:rFonts w:cs="Arial"/>
                <w:sz w:val="18"/>
                <w:szCs w:val="18"/>
                <w:lang w:eastAsia="en-GB"/>
              </w:rPr>
              <w:t>387</w:t>
            </w:r>
          </w:p>
        </w:tc>
      </w:tr>
      <w:tr w:rsidR="00665F5E" w:rsidRPr="009F03E4" w14:paraId="2DEE5EA2" w14:textId="77777777" w:rsidTr="00665F5E">
        <w:trPr>
          <w:trHeight w:val="216"/>
          <w:jc w:val="center"/>
        </w:trPr>
        <w:tc>
          <w:tcPr>
            <w:tcW w:w="1413" w:type="dxa"/>
            <w:tcBorders>
              <w:top w:val="nil"/>
              <w:left w:val="single" w:sz="4" w:space="0" w:color="auto"/>
              <w:bottom w:val="nil"/>
              <w:right w:val="nil"/>
            </w:tcBorders>
            <w:shd w:val="clear" w:color="000000" w:fill="FFFFFF"/>
            <w:noWrap/>
            <w:hideMark/>
          </w:tcPr>
          <w:p w14:paraId="1D63CB25" w14:textId="3D7079A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425" w:type="dxa"/>
            <w:tcBorders>
              <w:top w:val="nil"/>
              <w:left w:val="nil"/>
              <w:bottom w:val="nil"/>
              <w:right w:val="nil"/>
            </w:tcBorders>
            <w:shd w:val="clear" w:color="000000" w:fill="FFFFFF"/>
            <w:noWrap/>
            <w:hideMark/>
          </w:tcPr>
          <w:p w14:paraId="187515E6"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5ED5C8A8" w14:textId="77777777" w:rsidR="00665F5E" w:rsidRPr="009F03E4" w:rsidRDefault="00665F5E" w:rsidP="00665F5E">
            <w:pPr>
              <w:rPr>
                <w:rFonts w:cs="Arial"/>
                <w:b/>
                <w:bCs/>
                <w:sz w:val="18"/>
                <w:szCs w:val="18"/>
                <w:lang w:eastAsia="en-GB"/>
              </w:rPr>
            </w:pPr>
            <w:r w:rsidRPr="009F03E4">
              <w:rPr>
                <w:rFonts w:cs="Arial"/>
                <w:b/>
                <w:bCs/>
                <w:sz w:val="18"/>
                <w:szCs w:val="18"/>
                <w:lang w:eastAsia="en-GB"/>
              </w:rPr>
              <w:t>Unusable Reserves</w:t>
            </w:r>
          </w:p>
        </w:tc>
        <w:tc>
          <w:tcPr>
            <w:tcW w:w="731" w:type="dxa"/>
            <w:tcBorders>
              <w:top w:val="nil"/>
              <w:left w:val="nil"/>
              <w:bottom w:val="nil"/>
              <w:right w:val="nil"/>
            </w:tcBorders>
            <w:shd w:val="clear" w:color="000000" w:fill="FFFFFF"/>
            <w:noWrap/>
            <w:vAlign w:val="bottom"/>
            <w:hideMark/>
          </w:tcPr>
          <w:p w14:paraId="4A7FC666"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nil"/>
              <w:left w:val="nil"/>
              <w:bottom w:val="nil"/>
              <w:right w:val="single" w:sz="4" w:space="0" w:color="auto"/>
            </w:tcBorders>
            <w:shd w:val="clear" w:color="000000" w:fill="FFFFFF"/>
            <w:noWrap/>
            <w:hideMark/>
          </w:tcPr>
          <w:p w14:paraId="22EB0A14"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r>
      <w:tr w:rsidR="00665F5E" w:rsidRPr="009F03E4" w14:paraId="325CC331" w14:textId="77777777" w:rsidTr="00665F5E">
        <w:trPr>
          <w:trHeight w:val="149"/>
          <w:jc w:val="center"/>
        </w:trPr>
        <w:tc>
          <w:tcPr>
            <w:tcW w:w="1413" w:type="dxa"/>
            <w:tcBorders>
              <w:top w:val="nil"/>
              <w:left w:val="single" w:sz="4" w:space="0" w:color="auto"/>
              <w:bottom w:val="nil"/>
              <w:right w:val="nil"/>
            </w:tcBorders>
            <w:shd w:val="clear" w:color="000000" w:fill="FFFFFF"/>
            <w:noWrap/>
            <w:hideMark/>
          </w:tcPr>
          <w:p w14:paraId="2CB13DA0" w14:textId="6D7E254C" w:rsidR="00665F5E" w:rsidRPr="009F03E4" w:rsidRDefault="00665F5E" w:rsidP="00665F5E">
            <w:pPr>
              <w:jc w:val="right"/>
              <w:rPr>
                <w:rFonts w:cs="Arial"/>
                <w:sz w:val="18"/>
                <w:szCs w:val="18"/>
                <w:lang w:eastAsia="en-GB"/>
              </w:rPr>
            </w:pPr>
            <w:r w:rsidRPr="009F03E4">
              <w:rPr>
                <w:rFonts w:cs="Arial"/>
                <w:sz w:val="18"/>
                <w:szCs w:val="18"/>
                <w:lang w:eastAsia="en-GB"/>
              </w:rPr>
              <w:t>1</w:t>
            </w:r>
            <w:r>
              <w:rPr>
                <w:rFonts w:cs="Arial"/>
                <w:sz w:val="18"/>
                <w:szCs w:val="18"/>
                <w:lang w:eastAsia="en-GB"/>
              </w:rPr>
              <w:t>0,714</w:t>
            </w:r>
          </w:p>
        </w:tc>
        <w:tc>
          <w:tcPr>
            <w:tcW w:w="425" w:type="dxa"/>
            <w:tcBorders>
              <w:top w:val="nil"/>
              <w:left w:val="nil"/>
              <w:bottom w:val="nil"/>
              <w:right w:val="nil"/>
            </w:tcBorders>
            <w:shd w:val="clear" w:color="000000" w:fill="FFFFFF"/>
            <w:noWrap/>
            <w:hideMark/>
          </w:tcPr>
          <w:p w14:paraId="2695F59F"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61FCAE13" w14:textId="77777777" w:rsidR="00665F5E" w:rsidRPr="009F03E4" w:rsidRDefault="00665F5E" w:rsidP="00665F5E">
            <w:pPr>
              <w:rPr>
                <w:rFonts w:cs="Arial"/>
                <w:sz w:val="18"/>
                <w:szCs w:val="18"/>
                <w:lang w:eastAsia="en-GB"/>
              </w:rPr>
            </w:pPr>
            <w:r w:rsidRPr="009F03E4">
              <w:rPr>
                <w:rFonts w:cs="Arial"/>
                <w:sz w:val="18"/>
                <w:szCs w:val="18"/>
                <w:lang w:eastAsia="en-GB"/>
              </w:rPr>
              <w:t>Revaluation Reserve</w:t>
            </w:r>
          </w:p>
        </w:tc>
        <w:tc>
          <w:tcPr>
            <w:tcW w:w="731" w:type="dxa"/>
            <w:tcBorders>
              <w:top w:val="nil"/>
              <w:left w:val="nil"/>
              <w:bottom w:val="nil"/>
              <w:right w:val="nil"/>
            </w:tcBorders>
            <w:shd w:val="clear" w:color="000000" w:fill="FFFFFF"/>
            <w:noWrap/>
            <w:vAlign w:val="bottom"/>
            <w:hideMark/>
          </w:tcPr>
          <w:p w14:paraId="35AEFC86" w14:textId="5B3FC22E" w:rsidR="00665F5E" w:rsidRPr="009F03E4" w:rsidRDefault="00853889" w:rsidP="00665F5E">
            <w:pPr>
              <w:jc w:val="center"/>
              <w:rPr>
                <w:rFonts w:cs="Arial"/>
                <w:sz w:val="18"/>
                <w:szCs w:val="18"/>
                <w:lang w:eastAsia="en-GB"/>
              </w:rPr>
            </w:pPr>
            <w:r>
              <w:rPr>
                <w:rFonts w:cs="Arial"/>
                <w:sz w:val="18"/>
                <w:szCs w:val="18"/>
                <w:lang w:eastAsia="en-GB"/>
              </w:rPr>
              <w:t>10</w:t>
            </w:r>
          </w:p>
        </w:tc>
        <w:tc>
          <w:tcPr>
            <w:tcW w:w="1253" w:type="dxa"/>
            <w:tcBorders>
              <w:top w:val="nil"/>
              <w:left w:val="nil"/>
              <w:bottom w:val="nil"/>
              <w:right w:val="single" w:sz="4" w:space="0" w:color="auto"/>
            </w:tcBorders>
            <w:shd w:val="clear" w:color="000000" w:fill="FFFFFF"/>
            <w:noWrap/>
            <w:hideMark/>
          </w:tcPr>
          <w:p w14:paraId="151A708E" w14:textId="13E6F9E3" w:rsidR="00665F5E" w:rsidRPr="009F03E4" w:rsidRDefault="00665F5E" w:rsidP="00665F5E">
            <w:pPr>
              <w:jc w:val="right"/>
              <w:rPr>
                <w:rFonts w:cs="Arial"/>
                <w:sz w:val="18"/>
                <w:szCs w:val="18"/>
                <w:lang w:eastAsia="en-GB"/>
              </w:rPr>
            </w:pPr>
            <w:r w:rsidRPr="009F03E4">
              <w:rPr>
                <w:rFonts w:cs="Arial"/>
                <w:sz w:val="18"/>
                <w:szCs w:val="18"/>
                <w:lang w:eastAsia="en-GB"/>
              </w:rPr>
              <w:t>1</w:t>
            </w:r>
            <w:r w:rsidR="00385A33">
              <w:rPr>
                <w:rFonts w:cs="Arial"/>
                <w:sz w:val="18"/>
                <w:szCs w:val="18"/>
                <w:lang w:eastAsia="en-GB"/>
              </w:rPr>
              <w:t>2,</w:t>
            </w:r>
            <w:r w:rsidR="000D591A">
              <w:rPr>
                <w:rFonts w:cs="Arial"/>
                <w:sz w:val="18"/>
                <w:szCs w:val="18"/>
                <w:lang w:eastAsia="en-GB"/>
              </w:rPr>
              <w:t>390</w:t>
            </w:r>
          </w:p>
        </w:tc>
      </w:tr>
      <w:tr w:rsidR="00665F5E" w:rsidRPr="009F03E4" w14:paraId="2DD34253" w14:textId="77777777" w:rsidTr="00665F5E">
        <w:trPr>
          <w:trHeight w:val="223"/>
          <w:jc w:val="center"/>
        </w:trPr>
        <w:tc>
          <w:tcPr>
            <w:tcW w:w="1413" w:type="dxa"/>
            <w:tcBorders>
              <w:top w:val="nil"/>
              <w:left w:val="single" w:sz="4" w:space="0" w:color="auto"/>
              <w:bottom w:val="nil"/>
              <w:right w:val="nil"/>
            </w:tcBorders>
            <w:shd w:val="clear" w:color="000000" w:fill="FFFFFF"/>
            <w:noWrap/>
            <w:hideMark/>
          </w:tcPr>
          <w:p w14:paraId="2BB8ECD8" w14:textId="78838CFB" w:rsidR="00665F5E" w:rsidRPr="009F03E4" w:rsidRDefault="00665F5E" w:rsidP="00665F5E">
            <w:pPr>
              <w:jc w:val="right"/>
              <w:rPr>
                <w:rFonts w:cs="Arial"/>
                <w:sz w:val="18"/>
                <w:szCs w:val="18"/>
                <w:lang w:eastAsia="en-GB"/>
              </w:rPr>
            </w:pPr>
            <w:r w:rsidRPr="009F03E4">
              <w:rPr>
                <w:rFonts w:cs="Arial"/>
                <w:sz w:val="18"/>
                <w:szCs w:val="18"/>
                <w:lang w:eastAsia="en-GB"/>
              </w:rPr>
              <w:t>24,</w:t>
            </w:r>
            <w:r>
              <w:rPr>
                <w:rFonts w:cs="Arial"/>
                <w:sz w:val="18"/>
                <w:szCs w:val="18"/>
                <w:lang w:eastAsia="en-GB"/>
              </w:rPr>
              <w:t>611</w:t>
            </w:r>
          </w:p>
        </w:tc>
        <w:tc>
          <w:tcPr>
            <w:tcW w:w="425" w:type="dxa"/>
            <w:tcBorders>
              <w:top w:val="nil"/>
              <w:left w:val="nil"/>
              <w:bottom w:val="nil"/>
              <w:right w:val="nil"/>
            </w:tcBorders>
            <w:shd w:val="clear" w:color="000000" w:fill="FFFFFF"/>
            <w:noWrap/>
            <w:hideMark/>
          </w:tcPr>
          <w:p w14:paraId="7062DD3A"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1BCDF435" w14:textId="77777777" w:rsidR="00665F5E" w:rsidRPr="009F03E4" w:rsidRDefault="00665F5E" w:rsidP="00665F5E">
            <w:pPr>
              <w:rPr>
                <w:rFonts w:cs="Arial"/>
                <w:sz w:val="18"/>
                <w:szCs w:val="18"/>
                <w:lang w:eastAsia="en-GB"/>
              </w:rPr>
            </w:pPr>
            <w:r w:rsidRPr="009F03E4">
              <w:rPr>
                <w:rFonts w:cs="Arial"/>
                <w:sz w:val="18"/>
                <w:szCs w:val="18"/>
                <w:lang w:eastAsia="en-GB"/>
              </w:rPr>
              <w:t>Capital Adjustment Account</w:t>
            </w:r>
          </w:p>
        </w:tc>
        <w:tc>
          <w:tcPr>
            <w:tcW w:w="731" w:type="dxa"/>
            <w:tcBorders>
              <w:top w:val="nil"/>
              <w:left w:val="nil"/>
              <w:bottom w:val="nil"/>
              <w:right w:val="nil"/>
            </w:tcBorders>
            <w:shd w:val="clear" w:color="000000" w:fill="FFFFFF"/>
            <w:noWrap/>
            <w:vAlign w:val="bottom"/>
            <w:hideMark/>
          </w:tcPr>
          <w:p w14:paraId="471E4BBA" w14:textId="42BC72E8" w:rsidR="00665F5E" w:rsidRPr="009F03E4" w:rsidRDefault="00853889" w:rsidP="00665F5E">
            <w:pPr>
              <w:jc w:val="center"/>
              <w:rPr>
                <w:rFonts w:cs="Arial"/>
                <w:sz w:val="18"/>
                <w:szCs w:val="18"/>
                <w:lang w:eastAsia="en-GB"/>
              </w:rPr>
            </w:pPr>
            <w:r>
              <w:rPr>
                <w:rFonts w:cs="Arial"/>
                <w:sz w:val="18"/>
                <w:szCs w:val="18"/>
                <w:lang w:eastAsia="en-GB"/>
              </w:rPr>
              <w:t>10</w:t>
            </w:r>
          </w:p>
        </w:tc>
        <w:tc>
          <w:tcPr>
            <w:tcW w:w="1253" w:type="dxa"/>
            <w:tcBorders>
              <w:top w:val="nil"/>
              <w:left w:val="nil"/>
              <w:bottom w:val="nil"/>
              <w:right w:val="single" w:sz="4" w:space="0" w:color="auto"/>
            </w:tcBorders>
            <w:shd w:val="clear" w:color="000000" w:fill="FFFFFF"/>
            <w:noWrap/>
            <w:hideMark/>
          </w:tcPr>
          <w:p w14:paraId="704BFA6E" w14:textId="498FA35F" w:rsidR="00665F5E" w:rsidRPr="009F03E4" w:rsidRDefault="00665F5E" w:rsidP="00665F5E">
            <w:pPr>
              <w:jc w:val="right"/>
              <w:rPr>
                <w:rFonts w:cs="Arial"/>
                <w:sz w:val="18"/>
                <w:szCs w:val="18"/>
                <w:lang w:eastAsia="en-GB"/>
              </w:rPr>
            </w:pPr>
            <w:r w:rsidRPr="009F03E4">
              <w:rPr>
                <w:rFonts w:cs="Arial"/>
                <w:sz w:val="18"/>
                <w:szCs w:val="18"/>
                <w:lang w:eastAsia="en-GB"/>
              </w:rPr>
              <w:t>24</w:t>
            </w:r>
            <w:r w:rsidR="00385A33">
              <w:rPr>
                <w:rFonts w:cs="Arial"/>
                <w:sz w:val="18"/>
                <w:szCs w:val="18"/>
                <w:lang w:eastAsia="en-GB"/>
              </w:rPr>
              <w:t>,</w:t>
            </w:r>
            <w:r w:rsidR="000D591A">
              <w:rPr>
                <w:rFonts w:cs="Arial"/>
                <w:sz w:val="18"/>
                <w:szCs w:val="18"/>
                <w:lang w:eastAsia="en-GB"/>
              </w:rPr>
              <w:t>098</w:t>
            </w:r>
          </w:p>
        </w:tc>
      </w:tr>
      <w:tr w:rsidR="00665F5E" w:rsidRPr="009F03E4" w14:paraId="3A6174DA" w14:textId="77777777" w:rsidTr="00665F5E">
        <w:trPr>
          <w:trHeight w:val="141"/>
          <w:jc w:val="center"/>
        </w:trPr>
        <w:tc>
          <w:tcPr>
            <w:tcW w:w="1413" w:type="dxa"/>
            <w:tcBorders>
              <w:top w:val="nil"/>
              <w:left w:val="single" w:sz="4" w:space="0" w:color="auto"/>
              <w:bottom w:val="nil"/>
              <w:right w:val="nil"/>
            </w:tcBorders>
            <w:shd w:val="clear" w:color="000000" w:fill="FFFFFF"/>
            <w:noWrap/>
            <w:hideMark/>
          </w:tcPr>
          <w:p w14:paraId="1CA44771" w14:textId="2E6C5F94" w:rsidR="00665F5E" w:rsidRPr="009F03E4" w:rsidRDefault="00665F5E" w:rsidP="00665F5E">
            <w:pPr>
              <w:jc w:val="right"/>
              <w:rPr>
                <w:rFonts w:cs="Arial"/>
                <w:sz w:val="18"/>
                <w:szCs w:val="18"/>
                <w:lang w:eastAsia="en-GB"/>
              </w:rPr>
            </w:pPr>
            <w:r>
              <w:rPr>
                <w:rFonts w:cs="Arial"/>
                <w:sz w:val="18"/>
                <w:szCs w:val="18"/>
                <w:lang w:eastAsia="en-GB"/>
              </w:rPr>
              <w:t>(</w:t>
            </w:r>
            <w:r w:rsidRPr="009F03E4">
              <w:rPr>
                <w:rFonts w:cs="Arial"/>
                <w:sz w:val="18"/>
                <w:szCs w:val="18"/>
                <w:lang w:eastAsia="en-GB"/>
              </w:rPr>
              <w:t>254</w:t>
            </w:r>
            <w:r>
              <w:rPr>
                <w:rFonts w:cs="Arial"/>
                <w:sz w:val="18"/>
                <w:szCs w:val="18"/>
                <w:lang w:eastAsia="en-GB"/>
              </w:rPr>
              <w:t>)</w:t>
            </w:r>
          </w:p>
        </w:tc>
        <w:tc>
          <w:tcPr>
            <w:tcW w:w="425" w:type="dxa"/>
            <w:tcBorders>
              <w:top w:val="nil"/>
              <w:left w:val="nil"/>
              <w:bottom w:val="nil"/>
              <w:right w:val="nil"/>
            </w:tcBorders>
            <w:shd w:val="clear" w:color="000000" w:fill="FFFFFF"/>
            <w:noWrap/>
            <w:hideMark/>
          </w:tcPr>
          <w:p w14:paraId="655572FF"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1A297C47" w14:textId="77777777" w:rsidR="00665F5E" w:rsidRPr="009F03E4" w:rsidRDefault="00665F5E" w:rsidP="00665F5E">
            <w:pPr>
              <w:rPr>
                <w:rFonts w:cs="Arial"/>
                <w:sz w:val="18"/>
                <w:szCs w:val="18"/>
                <w:lang w:eastAsia="en-GB"/>
              </w:rPr>
            </w:pPr>
            <w:r w:rsidRPr="009F03E4">
              <w:rPr>
                <w:rFonts w:cs="Arial"/>
                <w:sz w:val="18"/>
                <w:szCs w:val="18"/>
                <w:lang w:eastAsia="en-GB"/>
              </w:rPr>
              <w:t>Accumulated Absences Account</w:t>
            </w:r>
          </w:p>
        </w:tc>
        <w:tc>
          <w:tcPr>
            <w:tcW w:w="731" w:type="dxa"/>
            <w:tcBorders>
              <w:top w:val="nil"/>
              <w:left w:val="nil"/>
              <w:bottom w:val="nil"/>
              <w:right w:val="nil"/>
            </w:tcBorders>
            <w:shd w:val="clear" w:color="000000" w:fill="FFFFFF"/>
            <w:noWrap/>
            <w:vAlign w:val="bottom"/>
            <w:hideMark/>
          </w:tcPr>
          <w:p w14:paraId="449168E3" w14:textId="77777777" w:rsidR="00665F5E" w:rsidRPr="009F03E4" w:rsidRDefault="00665F5E" w:rsidP="00665F5E">
            <w:pPr>
              <w:jc w:val="center"/>
              <w:rPr>
                <w:rFonts w:cs="Arial"/>
                <w:sz w:val="18"/>
                <w:szCs w:val="18"/>
                <w:lang w:eastAsia="en-GB"/>
              </w:rPr>
            </w:pPr>
            <w:r w:rsidRPr="009F03E4">
              <w:rPr>
                <w:rFonts w:cs="Arial"/>
                <w:sz w:val="18"/>
                <w:szCs w:val="18"/>
                <w:lang w:eastAsia="en-GB"/>
              </w:rPr>
              <w:t> </w:t>
            </w:r>
          </w:p>
        </w:tc>
        <w:tc>
          <w:tcPr>
            <w:tcW w:w="1253" w:type="dxa"/>
            <w:tcBorders>
              <w:top w:val="nil"/>
              <w:left w:val="nil"/>
              <w:bottom w:val="nil"/>
              <w:right w:val="single" w:sz="4" w:space="0" w:color="auto"/>
            </w:tcBorders>
            <w:shd w:val="clear" w:color="000000" w:fill="FFFFFF"/>
            <w:noWrap/>
            <w:hideMark/>
          </w:tcPr>
          <w:p w14:paraId="1971B60B" w14:textId="2D4E2733" w:rsidR="00665F5E" w:rsidRPr="009F03E4" w:rsidRDefault="00665F5E" w:rsidP="00665F5E">
            <w:pPr>
              <w:jc w:val="right"/>
              <w:rPr>
                <w:rFonts w:cs="Arial"/>
                <w:sz w:val="18"/>
                <w:szCs w:val="18"/>
                <w:lang w:eastAsia="en-GB"/>
              </w:rPr>
            </w:pPr>
            <w:r>
              <w:rPr>
                <w:rFonts w:cs="Arial"/>
                <w:sz w:val="18"/>
                <w:szCs w:val="18"/>
                <w:lang w:eastAsia="en-GB"/>
              </w:rPr>
              <w:t>(</w:t>
            </w:r>
            <w:r w:rsidR="00385A33">
              <w:rPr>
                <w:rFonts w:cs="Arial"/>
                <w:sz w:val="18"/>
                <w:szCs w:val="18"/>
                <w:lang w:eastAsia="en-GB"/>
              </w:rPr>
              <w:t>272</w:t>
            </w:r>
            <w:r>
              <w:rPr>
                <w:rFonts w:cs="Arial"/>
                <w:sz w:val="18"/>
                <w:szCs w:val="18"/>
                <w:lang w:eastAsia="en-GB"/>
              </w:rPr>
              <w:t>)</w:t>
            </w:r>
          </w:p>
        </w:tc>
      </w:tr>
      <w:tr w:rsidR="00665F5E" w:rsidRPr="009F03E4" w14:paraId="3A70BDA8" w14:textId="77777777" w:rsidTr="00665F5E">
        <w:trPr>
          <w:trHeight w:val="215"/>
          <w:jc w:val="center"/>
        </w:trPr>
        <w:tc>
          <w:tcPr>
            <w:tcW w:w="1413" w:type="dxa"/>
            <w:tcBorders>
              <w:top w:val="nil"/>
              <w:left w:val="single" w:sz="4" w:space="0" w:color="auto"/>
              <w:bottom w:val="nil"/>
              <w:right w:val="nil"/>
            </w:tcBorders>
            <w:shd w:val="clear" w:color="000000" w:fill="FFFFFF"/>
            <w:noWrap/>
            <w:hideMark/>
          </w:tcPr>
          <w:p w14:paraId="47CC9328" w14:textId="7BCE7FC4" w:rsidR="00665F5E" w:rsidRPr="009F03E4" w:rsidRDefault="00665F5E" w:rsidP="00665F5E">
            <w:pPr>
              <w:jc w:val="right"/>
              <w:rPr>
                <w:rFonts w:cs="Arial"/>
                <w:sz w:val="18"/>
                <w:szCs w:val="18"/>
                <w:lang w:eastAsia="en-GB"/>
              </w:rPr>
            </w:pPr>
            <w:r>
              <w:rPr>
                <w:rFonts w:cs="Arial"/>
                <w:sz w:val="18"/>
                <w:szCs w:val="18"/>
                <w:lang w:eastAsia="en-GB"/>
              </w:rPr>
              <w:t>(852)</w:t>
            </w:r>
          </w:p>
        </w:tc>
        <w:tc>
          <w:tcPr>
            <w:tcW w:w="425" w:type="dxa"/>
            <w:tcBorders>
              <w:top w:val="nil"/>
              <w:left w:val="nil"/>
              <w:bottom w:val="nil"/>
              <w:right w:val="nil"/>
            </w:tcBorders>
            <w:shd w:val="clear" w:color="000000" w:fill="FFFFFF"/>
            <w:noWrap/>
            <w:hideMark/>
          </w:tcPr>
          <w:p w14:paraId="0E3635B5" w14:textId="77777777" w:rsidR="00665F5E" w:rsidRPr="009F03E4" w:rsidRDefault="00665F5E" w:rsidP="00665F5E">
            <w:pPr>
              <w:jc w:val="right"/>
              <w:rPr>
                <w:rFonts w:cs="Arial"/>
                <w:sz w:val="18"/>
                <w:szCs w:val="18"/>
                <w:lang w:eastAsia="en-GB"/>
              </w:rPr>
            </w:pPr>
            <w:r w:rsidRPr="009F03E4">
              <w:rPr>
                <w:rFonts w:cs="Arial"/>
                <w:sz w:val="18"/>
                <w:szCs w:val="18"/>
                <w:lang w:eastAsia="en-GB"/>
              </w:rPr>
              <w:t> </w:t>
            </w:r>
          </w:p>
        </w:tc>
        <w:tc>
          <w:tcPr>
            <w:tcW w:w="5245" w:type="dxa"/>
            <w:tcBorders>
              <w:top w:val="nil"/>
              <w:left w:val="nil"/>
              <w:bottom w:val="nil"/>
              <w:right w:val="nil"/>
            </w:tcBorders>
            <w:shd w:val="clear" w:color="000000" w:fill="FFFFFF"/>
            <w:noWrap/>
            <w:vAlign w:val="bottom"/>
            <w:hideMark/>
          </w:tcPr>
          <w:p w14:paraId="50B721DE" w14:textId="77777777" w:rsidR="00665F5E" w:rsidRPr="009F03E4" w:rsidRDefault="00665F5E" w:rsidP="00665F5E">
            <w:pPr>
              <w:rPr>
                <w:rFonts w:cs="Arial"/>
                <w:sz w:val="18"/>
                <w:szCs w:val="18"/>
                <w:lang w:eastAsia="en-GB"/>
              </w:rPr>
            </w:pPr>
            <w:r w:rsidRPr="009F03E4">
              <w:rPr>
                <w:rFonts w:cs="Arial"/>
                <w:sz w:val="18"/>
                <w:szCs w:val="18"/>
                <w:lang w:eastAsia="en-GB"/>
              </w:rPr>
              <w:t>Pension Reserve</w:t>
            </w:r>
          </w:p>
        </w:tc>
        <w:tc>
          <w:tcPr>
            <w:tcW w:w="731" w:type="dxa"/>
            <w:tcBorders>
              <w:top w:val="nil"/>
              <w:left w:val="nil"/>
              <w:bottom w:val="nil"/>
              <w:right w:val="nil"/>
            </w:tcBorders>
            <w:shd w:val="clear" w:color="000000" w:fill="FFFFFF"/>
            <w:noWrap/>
            <w:vAlign w:val="bottom"/>
            <w:hideMark/>
          </w:tcPr>
          <w:p w14:paraId="1C9B1592" w14:textId="1F3F5277" w:rsidR="00665F5E" w:rsidRPr="009F03E4" w:rsidRDefault="00665F5E" w:rsidP="00665F5E">
            <w:pPr>
              <w:jc w:val="center"/>
              <w:rPr>
                <w:rFonts w:cs="Arial"/>
                <w:sz w:val="18"/>
                <w:szCs w:val="18"/>
                <w:lang w:eastAsia="en-GB"/>
              </w:rPr>
            </w:pPr>
            <w:r w:rsidRPr="009F03E4">
              <w:rPr>
                <w:rFonts w:cs="Arial"/>
                <w:sz w:val="18"/>
                <w:szCs w:val="18"/>
                <w:lang w:eastAsia="en-GB"/>
              </w:rPr>
              <w:t>1</w:t>
            </w:r>
            <w:r w:rsidR="00853889">
              <w:rPr>
                <w:rFonts w:cs="Arial"/>
                <w:sz w:val="18"/>
                <w:szCs w:val="18"/>
                <w:lang w:eastAsia="en-GB"/>
              </w:rPr>
              <w:t>6</w:t>
            </w:r>
          </w:p>
        </w:tc>
        <w:tc>
          <w:tcPr>
            <w:tcW w:w="1253" w:type="dxa"/>
            <w:tcBorders>
              <w:top w:val="nil"/>
              <w:left w:val="nil"/>
              <w:bottom w:val="nil"/>
              <w:right w:val="single" w:sz="4" w:space="0" w:color="auto"/>
            </w:tcBorders>
            <w:shd w:val="clear" w:color="000000" w:fill="FFFFFF"/>
            <w:noWrap/>
            <w:hideMark/>
          </w:tcPr>
          <w:p w14:paraId="0497464D" w14:textId="397A726B" w:rsidR="00665F5E" w:rsidRPr="009F03E4" w:rsidRDefault="00665F5E" w:rsidP="00665F5E">
            <w:pPr>
              <w:jc w:val="right"/>
              <w:rPr>
                <w:rFonts w:cs="Arial"/>
                <w:sz w:val="18"/>
                <w:szCs w:val="18"/>
                <w:lang w:eastAsia="en-GB"/>
              </w:rPr>
            </w:pPr>
            <w:r>
              <w:rPr>
                <w:rFonts w:cs="Arial"/>
                <w:sz w:val="18"/>
                <w:szCs w:val="18"/>
                <w:lang w:eastAsia="en-GB"/>
              </w:rPr>
              <w:t>(</w:t>
            </w:r>
            <w:r w:rsidR="00385A33">
              <w:rPr>
                <w:rFonts w:cs="Arial"/>
                <w:sz w:val="18"/>
                <w:szCs w:val="18"/>
                <w:lang w:eastAsia="en-GB"/>
              </w:rPr>
              <w:t>809</w:t>
            </w:r>
            <w:r>
              <w:rPr>
                <w:rFonts w:cs="Arial"/>
                <w:sz w:val="18"/>
                <w:szCs w:val="18"/>
                <w:lang w:eastAsia="en-GB"/>
              </w:rPr>
              <w:t>)</w:t>
            </w:r>
          </w:p>
        </w:tc>
      </w:tr>
      <w:tr w:rsidR="00665F5E" w:rsidRPr="009F03E4" w14:paraId="77929C02" w14:textId="77777777" w:rsidTr="00665F5E">
        <w:trPr>
          <w:trHeight w:val="147"/>
          <w:jc w:val="center"/>
        </w:trPr>
        <w:tc>
          <w:tcPr>
            <w:tcW w:w="1413" w:type="dxa"/>
            <w:tcBorders>
              <w:top w:val="nil"/>
              <w:left w:val="single" w:sz="4" w:space="0" w:color="auto"/>
              <w:bottom w:val="nil"/>
              <w:right w:val="nil"/>
            </w:tcBorders>
            <w:shd w:val="clear" w:color="000000" w:fill="FFFFFF"/>
            <w:noWrap/>
            <w:vAlign w:val="bottom"/>
            <w:hideMark/>
          </w:tcPr>
          <w:p w14:paraId="1228AD07" w14:textId="2F7C6A90" w:rsidR="00665F5E" w:rsidRPr="009F03E4" w:rsidRDefault="00665F5E" w:rsidP="00665F5E">
            <w:pPr>
              <w:rPr>
                <w:rFonts w:cs="Arial"/>
                <w:color w:val="000000"/>
                <w:sz w:val="18"/>
                <w:szCs w:val="18"/>
                <w:lang w:eastAsia="en-GB"/>
              </w:rPr>
            </w:pPr>
            <w:r w:rsidRPr="009F03E4">
              <w:rPr>
                <w:rFonts w:cs="Arial"/>
                <w:color w:val="000000"/>
                <w:sz w:val="18"/>
                <w:szCs w:val="18"/>
                <w:lang w:eastAsia="en-GB"/>
              </w:rPr>
              <w:t> </w:t>
            </w:r>
          </w:p>
        </w:tc>
        <w:tc>
          <w:tcPr>
            <w:tcW w:w="425" w:type="dxa"/>
            <w:tcBorders>
              <w:top w:val="nil"/>
              <w:left w:val="nil"/>
              <w:bottom w:val="nil"/>
              <w:right w:val="nil"/>
            </w:tcBorders>
            <w:shd w:val="clear" w:color="000000" w:fill="FFFFFF"/>
            <w:noWrap/>
            <w:vAlign w:val="bottom"/>
            <w:hideMark/>
          </w:tcPr>
          <w:p w14:paraId="3D829499" w14:textId="77777777" w:rsidR="00665F5E" w:rsidRPr="009F03E4" w:rsidRDefault="00665F5E" w:rsidP="00665F5E">
            <w:pPr>
              <w:rPr>
                <w:rFonts w:cs="Arial"/>
                <w:color w:val="000000"/>
                <w:sz w:val="18"/>
                <w:szCs w:val="18"/>
                <w:lang w:eastAsia="en-GB"/>
              </w:rPr>
            </w:pPr>
            <w:r w:rsidRPr="009F03E4">
              <w:rPr>
                <w:rFonts w:cs="Arial"/>
                <w:color w:val="000000"/>
                <w:sz w:val="18"/>
                <w:szCs w:val="18"/>
                <w:lang w:eastAsia="en-GB"/>
              </w:rPr>
              <w:t> </w:t>
            </w:r>
          </w:p>
        </w:tc>
        <w:tc>
          <w:tcPr>
            <w:tcW w:w="5245" w:type="dxa"/>
            <w:tcBorders>
              <w:top w:val="nil"/>
              <w:left w:val="nil"/>
              <w:bottom w:val="nil"/>
              <w:right w:val="nil"/>
            </w:tcBorders>
            <w:shd w:val="clear" w:color="000000" w:fill="FFFFFF"/>
            <w:noWrap/>
            <w:vAlign w:val="bottom"/>
            <w:hideMark/>
          </w:tcPr>
          <w:p w14:paraId="558B8E1E" w14:textId="77777777" w:rsidR="00665F5E" w:rsidRPr="009F03E4" w:rsidRDefault="00665F5E" w:rsidP="00665F5E">
            <w:pPr>
              <w:rPr>
                <w:rFonts w:cs="Arial"/>
                <w:color w:val="000000"/>
                <w:sz w:val="18"/>
                <w:szCs w:val="18"/>
                <w:lang w:eastAsia="en-GB"/>
              </w:rPr>
            </w:pPr>
            <w:r w:rsidRPr="009F03E4">
              <w:rPr>
                <w:rFonts w:cs="Arial"/>
                <w:color w:val="000000"/>
                <w:sz w:val="18"/>
                <w:szCs w:val="18"/>
                <w:lang w:eastAsia="en-GB"/>
              </w:rPr>
              <w:t> </w:t>
            </w:r>
          </w:p>
        </w:tc>
        <w:tc>
          <w:tcPr>
            <w:tcW w:w="731" w:type="dxa"/>
            <w:tcBorders>
              <w:top w:val="nil"/>
              <w:left w:val="nil"/>
              <w:bottom w:val="nil"/>
              <w:right w:val="nil"/>
            </w:tcBorders>
            <w:shd w:val="clear" w:color="000000" w:fill="FFFFFF"/>
            <w:noWrap/>
            <w:vAlign w:val="bottom"/>
            <w:hideMark/>
          </w:tcPr>
          <w:p w14:paraId="65D7FB40" w14:textId="77777777" w:rsidR="00665F5E" w:rsidRPr="009F03E4" w:rsidRDefault="00665F5E" w:rsidP="00665F5E">
            <w:pPr>
              <w:rPr>
                <w:rFonts w:cs="Arial"/>
                <w:color w:val="000000"/>
                <w:sz w:val="18"/>
                <w:szCs w:val="18"/>
                <w:lang w:eastAsia="en-GB"/>
              </w:rPr>
            </w:pPr>
            <w:r w:rsidRPr="009F03E4">
              <w:rPr>
                <w:rFonts w:cs="Arial"/>
                <w:color w:val="000000"/>
                <w:sz w:val="18"/>
                <w:szCs w:val="18"/>
                <w:lang w:eastAsia="en-GB"/>
              </w:rPr>
              <w:t> </w:t>
            </w:r>
          </w:p>
        </w:tc>
        <w:tc>
          <w:tcPr>
            <w:tcW w:w="1253" w:type="dxa"/>
            <w:tcBorders>
              <w:top w:val="nil"/>
              <w:left w:val="nil"/>
              <w:bottom w:val="nil"/>
              <w:right w:val="single" w:sz="4" w:space="0" w:color="auto"/>
            </w:tcBorders>
            <w:shd w:val="clear" w:color="000000" w:fill="FFFFFF"/>
            <w:noWrap/>
            <w:vAlign w:val="bottom"/>
            <w:hideMark/>
          </w:tcPr>
          <w:p w14:paraId="29CEA4BC" w14:textId="77777777" w:rsidR="00665F5E" w:rsidRPr="009F03E4" w:rsidRDefault="00665F5E" w:rsidP="00665F5E">
            <w:pPr>
              <w:rPr>
                <w:rFonts w:cs="Arial"/>
                <w:color w:val="000000"/>
                <w:sz w:val="18"/>
                <w:szCs w:val="18"/>
                <w:lang w:eastAsia="en-GB"/>
              </w:rPr>
            </w:pPr>
            <w:r w:rsidRPr="009F03E4">
              <w:rPr>
                <w:rFonts w:cs="Arial"/>
                <w:color w:val="000000"/>
                <w:sz w:val="18"/>
                <w:szCs w:val="18"/>
                <w:lang w:eastAsia="en-GB"/>
              </w:rPr>
              <w:t> </w:t>
            </w:r>
          </w:p>
        </w:tc>
      </w:tr>
      <w:tr w:rsidR="00665F5E" w:rsidRPr="009F03E4" w14:paraId="7A3720E4" w14:textId="77777777" w:rsidTr="00665F5E">
        <w:trPr>
          <w:trHeight w:val="310"/>
          <w:jc w:val="center"/>
        </w:trPr>
        <w:tc>
          <w:tcPr>
            <w:tcW w:w="1413" w:type="dxa"/>
            <w:tcBorders>
              <w:top w:val="single" w:sz="4" w:space="0" w:color="auto"/>
              <w:left w:val="single" w:sz="4" w:space="0" w:color="auto"/>
              <w:bottom w:val="double" w:sz="6" w:space="0" w:color="auto"/>
              <w:right w:val="nil"/>
            </w:tcBorders>
            <w:shd w:val="clear" w:color="000000" w:fill="FFFFFF"/>
            <w:noWrap/>
            <w:vAlign w:val="center"/>
            <w:hideMark/>
          </w:tcPr>
          <w:p w14:paraId="4E77DF27" w14:textId="4C4959CA" w:rsidR="00665F5E" w:rsidRPr="009F03E4" w:rsidRDefault="00665F5E" w:rsidP="00665F5E">
            <w:pPr>
              <w:jc w:val="right"/>
              <w:rPr>
                <w:rFonts w:cs="Arial"/>
                <w:b/>
                <w:bCs/>
                <w:sz w:val="18"/>
                <w:szCs w:val="18"/>
                <w:lang w:eastAsia="en-GB"/>
              </w:rPr>
            </w:pPr>
            <w:r>
              <w:rPr>
                <w:rFonts w:cs="Arial"/>
                <w:b/>
                <w:bCs/>
                <w:sz w:val="18"/>
                <w:szCs w:val="18"/>
                <w:lang w:eastAsia="en-GB"/>
              </w:rPr>
              <w:t>39,160</w:t>
            </w:r>
          </w:p>
        </w:tc>
        <w:tc>
          <w:tcPr>
            <w:tcW w:w="425" w:type="dxa"/>
            <w:tcBorders>
              <w:top w:val="nil"/>
              <w:left w:val="nil"/>
              <w:bottom w:val="nil"/>
              <w:right w:val="nil"/>
            </w:tcBorders>
            <w:shd w:val="clear" w:color="000000" w:fill="FFFFFF"/>
            <w:noWrap/>
            <w:vAlign w:val="center"/>
            <w:hideMark/>
          </w:tcPr>
          <w:p w14:paraId="67B8C0B2" w14:textId="77777777" w:rsidR="00665F5E" w:rsidRPr="009F03E4" w:rsidRDefault="00665F5E" w:rsidP="00665F5E">
            <w:pPr>
              <w:jc w:val="right"/>
              <w:rPr>
                <w:rFonts w:cs="Arial"/>
                <w:b/>
                <w:bCs/>
                <w:sz w:val="18"/>
                <w:szCs w:val="18"/>
                <w:lang w:eastAsia="en-GB"/>
              </w:rPr>
            </w:pPr>
            <w:r w:rsidRPr="009F03E4">
              <w:rPr>
                <w:rFonts w:cs="Arial"/>
                <w:b/>
                <w:bCs/>
                <w:sz w:val="18"/>
                <w:szCs w:val="18"/>
                <w:lang w:eastAsia="en-GB"/>
              </w:rPr>
              <w:t> </w:t>
            </w:r>
          </w:p>
        </w:tc>
        <w:tc>
          <w:tcPr>
            <w:tcW w:w="5245" w:type="dxa"/>
            <w:tcBorders>
              <w:top w:val="nil"/>
              <w:left w:val="nil"/>
              <w:bottom w:val="nil"/>
              <w:right w:val="nil"/>
            </w:tcBorders>
            <w:shd w:val="clear" w:color="000000" w:fill="FFFFFF"/>
            <w:noWrap/>
            <w:vAlign w:val="center"/>
            <w:hideMark/>
          </w:tcPr>
          <w:p w14:paraId="35C54B39" w14:textId="77777777" w:rsidR="00665F5E" w:rsidRPr="009F03E4" w:rsidRDefault="00665F5E" w:rsidP="00665F5E">
            <w:pPr>
              <w:rPr>
                <w:rFonts w:cs="Arial"/>
                <w:b/>
                <w:bCs/>
                <w:sz w:val="18"/>
                <w:szCs w:val="18"/>
                <w:lang w:eastAsia="en-GB"/>
              </w:rPr>
            </w:pPr>
            <w:r w:rsidRPr="009F03E4">
              <w:rPr>
                <w:rFonts w:cs="Arial"/>
                <w:b/>
                <w:bCs/>
                <w:sz w:val="18"/>
                <w:szCs w:val="18"/>
                <w:lang w:eastAsia="en-GB"/>
              </w:rPr>
              <w:t>Total Reserves</w:t>
            </w:r>
          </w:p>
        </w:tc>
        <w:tc>
          <w:tcPr>
            <w:tcW w:w="731" w:type="dxa"/>
            <w:tcBorders>
              <w:top w:val="nil"/>
              <w:left w:val="nil"/>
              <w:bottom w:val="nil"/>
              <w:right w:val="nil"/>
            </w:tcBorders>
            <w:shd w:val="clear" w:color="000000" w:fill="FFFFFF"/>
            <w:noWrap/>
            <w:vAlign w:val="bottom"/>
            <w:hideMark/>
          </w:tcPr>
          <w:p w14:paraId="6CE3AC63" w14:textId="77777777" w:rsidR="00665F5E" w:rsidRPr="009F03E4" w:rsidRDefault="00665F5E" w:rsidP="00665F5E">
            <w:pPr>
              <w:rPr>
                <w:rFonts w:cs="Arial"/>
                <w:sz w:val="18"/>
                <w:szCs w:val="18"/>
                <w:lang w:eastAsia="en-GB"/>
              </w:rPr>
            </w:pPr>
            <w:r w:rsidRPr="009F03E4">
              <w:rPr>
                <w:rFonts w:cs="Arial"/>
                <w:sz w:val="18"/>
                <w:szCs w:val="18"/>
                <w:lang w:eastAsia="en-GB"/>
              </w:rPr>
              <w:t> </w:t>
            </w:r>
          </w:p>
        </w:tc>
        <w:tc>
          <w:tcPr>
            <w:tcW w:w="1253" w:type="dxa"/>
            <w:tcBorders>
              <w:top w:val="single" w:sz="4" w:space="0" w:color="auto"/>
              <w:left w:val="nil"/>
              <w:bottom w:val="double" w:sz="6" w:space="0" w:color="auto"/>
              <w:right w:val="single" w:sz="4" w:space="0" w:color="auto"/>
            </w:tcBorders>
            <w:shd w:val="clear" w:color="000000" w:fill="FFFFFF"/>
            <w:noWrap/>
            <w:vAlign w:val="center"/>
            <w:hideMark/>
          </w:tcPr>
          <w:p w14:paraId="75593445" w14:textId="1535C228" w:rsidR="00665F5E" w:rsidRPr="009F03E4" w:rsidRDefault="00385A33" w:rsidP="00665F5E">
            <w:pPr>
              <w:jc w:val="right"/>
              <w:rPr>
                <w:rFonts w:cs="Arial"/>
                <w:b/>
                <w:bCs/>
                <w:sz w:val="18"/>
                <w:szCs w:val="18"/>
                <w:lang w:eastAsia="en-GB"/>
              </w:rPr>
            </w:pPr>
            <w:r>
              <w:rPr>
                <w:rFonts w:cs="Arial"/>
                <w:b/>
                <w:bCs/>
                <w:sz w:val="18"/>
                <w:szCs w:val="18"/>
                <w:lang w:eastAsia="en-GB"/>
              </w:rPr>
              <w:t>40,</w:t>
            </w:r>
            <w:r w:rsidR="00187646">
              <w:rPr>
                <w:rFonts w:cs="Arial"/>
                <w:b/>
                <w:bCs/>
                <w:sz w:val="18"/>
                <w:szCs w:val="18"/>
                <w:lang w:eastAsia="en-GB"/>
              </w:rPr>
              <w:t>2</w:t>
            </w:r>
            <w:r w:rsidR="000D591A">
              <w:rPr>
                <w:rFonts w:cs="Arial"/>
                <w:b/>
                <w:bCs/>
                <w:sz w:val="18"/>
                <w:szCs w:val="18"/>
                <w:lang w:eastAsia="en-GB"/>
              </w:rPr>
              <w:t>68</w:t>
            </w:r>
          </w:p>
        </w:tc>
      </w:tr>
      <w:tr w:rsidR="00CC37BA" w:rsidRPr="009F03E4" w14:paraId="582A3E43" w14:textId="77777777" w:rsidTr="00665F5E">
        <w:trPr>
          <w:trHeight w:val="46"/>
          <w:jc w:val="center"/>
        </w:trPr>
        <w:tc>
          <w:tcPr>
            <w:tcW w:w="1413" w:type="dxa"/>
            <w:tcBorders>
              <w:top w:val="nil"/>
              <w:left w:val="single" w:sz="4" w:space="0" w:color="auto"/>
              <w:bottom w:val="single" w:sz="4" w:space="0" w:color="auto"/>
              <w:right w:val="nil"/>
            </w:tcBorders>
            <w:shd w:val="clear" w:color="000000" w:fill="FFFFFF"/>
            <w:noWrap/>
            <w:vAlign w:val="bottom"/>
            <w:hideMark/>
          </w:tcPr>
          <w:p w14:paraId="2FF5C556" w14:textId="77777777" w:rsidR="00CC37BA" w:rsidRPr="009F03E4" w:rsidRDefault="00CC37BA" w:rsidP="00CC37BA">
            <w:pPr>
              <w:jc w:val="right"/>
              <w:rPr>
                <w:rFonts w:cs="Arial"/>
                <w:b/>
                <w:bCs/>
                <w:sz w:val="18"/>
                <w:szCs w:val="18"/>
                <w:lang w:eastAsia="en-GB"/>
              </w:rPr>
            </w:pPr>
            <w:r w:rsidRPr="009F03E4">
              <w:rPr>
                <w:rFonts w:cs="Arial"/>
                <w:b/>
                <w:bCs/>
                <w:sz w:val="18"/>
                <w:szCs w:val="18"/>
                <w:lang w:eastAsia="en-GB"/>
              </w:rPr>
              <w:t> </w:t>
            </w:r>
          </w:p>
        </w:tc>
        <w:tc>
          <w:tcPr>
            <w:tcW w:w="425" w:type="dxa"/>
            <w:tcBorders>
              <w:top w:val="nil"/>
              <w:left w:val="nil"/>
              <w:bottom w:val="single" w:sz="4" w:space="0" w:color="auto"/>
              <w:right w:val="nil"/>
            </w:tcBorders>
            <w:shd w:val="clear" w:color="000000" w:fill="FFFFFF"/>
            <w:noWrap/>
            <w:vAlign w:val="bottom"/>
            <w:hideMark/>
          </w:tcPr>
          <w:p w14:paraId="02A04D7C" w14:textId="77777777" w:rsidR="00CC37BA" w:rsidRPr="009F03E4" w:rsidRDefault="00CC37BA" w:rsidP="00CC37BA">
            <w:pPr>
              <w:jc w:val="right"/>
              <w:rPr>
                <w:rFonts w:cs="Arial"/>
                <w:b/>
                <w:bCs/>
                <w:sz w:val="18"/>
                <w:szCs w:val="18"/>
                <w:lang w:eastAsia="en-GB"/>
              </w:rPr>
            </w:pPr>
            <w:r w:rsidRPr="009F03E4">
              <w:rPr>
                <w:rFonts w:cs="Arial"/>
                <w:b/>
                <w:bCs/>
                <w:sz w:val="18"/>
                <w:szCs w:val="18"/>
                <w:lang w:eastAsia="en-GB"/>
              </w:rPr>
              <w:t> </w:t>
            </w:r>
          </w:p>
        </w:tc>
        <w:tc>
          <w:tcPr>
            <w:tcW w:w="5245" w:type="dxa"/>
            <w:tcBorders>
              <w:top w:val="nil"/>
              <w:left w:val="nil"/>
              <w:bottom w:val="single" w:sz="4" w:space="0" w:color="auto"/>
              <w:right w:val="nil"/>
            </w:tcBorders>
            <w:shd w:val="clear" w:color="000000" w:fill="FFFFFF"/>
            <w:noWrap/>
            <w:vAlign w:val="bottom"/>
            <w:hideMark/>
          </w:tcPr>
          <w:p w14:paraId="5AC94E56" w14:textId="77777777" w:rsidR="00CC37BA" w:rsidRPr="009F03E4" w:rsidRDefault="00CC37BA" w:rsidP="00CC37BA">
            <w:pPr>
              <w:rPr>
                <w:rFonts w:cs="Arial"/>
                <w:sz w:val="18"/>
                <w:szCs w:val="18"/>
                <w:lang w:eastAsia="en-GB"/>
              </w:rPr>
            </w:pPr>
            <w:r w:rsidRPr="009F03E4">
              <w:rPr>
                <w:rFonts w:cs="Arial"/>
                <w:sz w:val="18"/>
                <w:szCs w:val="18"/>
                <w:lang w:eastAsia="en-GB"/>
              </w:rPr>
              <w:t> </w:t>
            </w:r>
          </w:p>
        </w:tc>
        <w:tc>
          <w:tcPr>
            <w:tcW w:w="731" w:type="dxa"/>
            <w:tcBorders>
              <w:top w:val="nil"/>
              <w:left w:val="nil"/>
              <w:bottom w:val="single" w:sz="4" w:space="0" w:color="auto"/>
              <w:right w:val="nil"/>
            </w:tcBorders>
            <w:shd w:val="clear" w:color="000000" w:fill="FFFFFF"/>
            <w:noWrap/>
            <w:vAlign w:val="bottom"/>
            <w:hideMark/>
          </w:tcPr>
          <w:p w14:paraId="77CF0D3C" w14:textId="77777777" w:rsidR="00CC37BA" w:rsidRPr="009F03E4" w:rsidRDefault="00CC37BA" w:rsidP="00CC37BA">
            <w:pPr>
              <w:rPr>
                <w:rFonts w:cs="Arial"/>
                <w:sz w:val="18"/>
                <w:szCs w:val="18"/>
                <w:lang w:eastAsia="en-GB"/>
              </w:rPr>
            </w:pPr>
            <w:r w:rsidRPr="009F03E4">
              <w:rPr>
                <w:rFonts w:cs="Arial"/>
                <w:sz w:val="18"/>
                <w:szCs w:val="18"/>
                <w:lang w:eastAsia="en-GB"/>
              </w:rPr>
              <w:t> </w:t>
            </w:r>
          </w:p>
        </w:tc>
        <w:tc>
          <w:tcPr>
            <w:tcW w:w="1253" w:type="dxa"/>
            <w:tcBorders>
              <w:top w:val="nil"/>
              <w:left w:val="nil"/>
              <w:bottom w:val="single" w:sz="4" w:space="0" w:color="auto"/>
              <w:right w:val="single" w:sz="4" w:space="0" w:color="auto"/>
            </w:tcBorders>
            <w:shd w:val="clear" w:color="000000" w:fill="FFFFFF"/>
            <w:noWrap/>
            <w:vAlign w:val="bottom"/>
            <w:hideMark/>
          </w:tcPr>
          <w:p w14:paraId="5D3BBF64" w14:textId="77777777" w:rsidR="00CC37BA" w:rsidRPr="009F03E4" w:rsidRDefault="00CC37BA" w:rsidP="00CC37BA">
            <w:pPr>
              <w:rPr>
                <w:rFonts w:cs="Arial"/>
                <w:sz w:val="18"/>
                <w:szCs w:val="18"/>
                <w:lang w:eastAsia="en-GB"/>
              </w:rPr>
            </w:pPr>
            <w:r w:rsidRPr="009F03E4">
              <w:rPr>
                <w:rFonts w:cs="Arial"/>
                <w:sz w:val="18"/>
                <w:szCs w:val="18"/>
                <w:lang w:eastAsia="en-GB"/>
              </w:rPr>
              <w:t> </w:t>
            </w:r>
          </w:p>
        </w:tc>
      </w:tr>
    </w:tbl>
    <w:p w14:paraId="116FE8ED" w14:textId="77777777" w:rsidR="009F03E4" w:rsidRDefault="009F03E4" w:rsidP="00737683">
      <w:pPr>
        <w:pStyle w:val="ListParagraph"/>
        <w:ind w:left="360"/>
        <w:rPr>
          <w:sz w:val="23"/>
          <w:szCs w:val="23"/>
          <w:u w:val="none"/>
        </w:rPr>
      </w:pPr>
    </w:p>
    <w:p w14:paraId="26AD44FA" w14:textId="6FE5891A" w:rsidR="00737683" w:rsidRPr="00CC37BA" w:rsidRDefault="00737683" w:rsidP="00737683">
      <w:pPr>
        <w:pStyle w:val="ListParagraph"/>
        <w:ind w:left="360"/>
      </w:pPr>
      <w:r w:rsidRPr="00CC37BA">
        <w:rPr>
          <w:sz w:val="23"/>
          <w:szCs w:val="23"/>
          <w:u w:val="none"/>
        </w:rPr>
        <w:t xml:space="preserve">The Balance Sheet shows the value of the assets and liabilities recognised by the Authority. The net assets of the Authority (assets less liabilities) are matched by the reserves held by the Authority. Reserves are reported in two categories. </w:t>
      </w:r>
      <w:r w:rsidR="009F03E4">
        <w:rPr>
          <w:sz w:val="23"/>
          <w:szCs w:val="23"/>
          <w:u w:val="none"/>
        </w:rPr>
        <w:t>U</w:t>
      </w:r>
      <w:r w:rsidRPr="00CC37BA">
        <w:rPr>
          <w:sz w:val="23"/>
          <w:szCs w:val="23"/>
          <w:u w:val="none"/>
        </w:rPr>
        <w:t>sable reserves, being those reserves that the Authority may use to provide services. Use of these is subject to the need to maintain a prudent level of reserves and any statutory limitations on their use for example the capital receipts reserve that may only be used to fund capital expenditure or repay debt. The second category of reserves are those that the Authority is not able to use to provide services. This category includes reserves that hold unrealised gains and losses, for example the revaluation reserve, where amounts would only become available to provide services if the assets are sold. It also includes reserves that hold timing differences shown in the Movement in Reserves Statement line “adjustments between accounting basis and funding basis under regulations”.</w:t>
      </w:r>
    </w:p>
    <w:p w14:paraId="0B440E17" w14:textId="01F6206C" w:rsidR="00737683" w:rsidRPr="004D5CA8" w:rsidRDefault="00737683" w:rsidP="00B72CF2">
      <w:pPr>
        <w:tabs>
          <w:tab w:val="left" w:pos="0"/>
        </w:tabs>
        <w:jc w:val="center"/>
        <w:rPr>
          <w:b/>
          <w:sz w:val="28"/>
          <w:szCs w:val="28"/>
          <w:highlight w:val="yellow"/>
        </w:rPr>
        <w:sectPr w:rsidR="00737683" w:rsidRPr="004D5CA8" w:rsidSect="00397A5D">
          <w:pgSz w:w="11906" w:h="16838" w:code="9"/>
          <w:pgMar w:top="1135" w:right="991" w:bottom="993" w:left="1276" w:header="709" w:footer="403" w:gutter="0"/>
          <w:cols w:space="708"/>
          <w:docGrid w:linePitch="360"/>
        </w:sectPr>
      </w:pPr>
    </w:p>
    <w:p w14:paraId="485A45AB" w14:textId="572EBF9A" w:rsidR="00F408E5" w:rsidRDefault="00276F53" w:rsidP="00C01DC6">
      <w:pPr>
        <w:pStyle w:val="Heading1"/>
        <w:jc w:val="left"/>
      </w:pPr>
      <w:bookmarkStart w:id="154" w:name="_Toc167965791"/>
      <w:r w:rsidRPr="00C01DC6">
        <w:lastRenderedPageBreak/>
        <w:t>C</w:t>
      </w:r>
      <w:r w:rsidR="009C5A0E">
        <w:t>ash Flow Statement</w:t>
      </w:r>
      <w:bookmarkEnd w:id="154"/>
    </w:p>
    <w:p w14:paraId="37E46CBB" w14:textId="77777777" w:rsidR="00BB0672" w:rsidRDefault="00BB0672" w:rsidP="00BB0672"/>
    <w:tbl>
      <w:tblPr>
        <w:tblW w:w="9336" w:type="dxa"/>
        <w:tblLook w:val="04A0" w:firstRow="1" w:lastRow="0" w:firstColumn="1" w:lastColumn="0" w:noHBand="0" w:noVBand="1"/>
      </w:tblPr>
      <w:tblGrid>
        <w:gridCol w:w="272"/>
        <w:gridCol w:w="1036"/>
        <w:gridCol w:w="272"/>
        <w:gridCol w:w="5536"/>
        <w:gridCol w:w="996"/>
        <w:gridCol w:w="976"/>
        <w:gridCol w:w="328"/>
      </w:tblGrid>
      <w:tr w:rsidR="00BB0672" w:rsidRPr="00BB0672" w14:paraId="2A058725" w14:textId="77777777" w:rsidTr="00BB0672">
        <w:trPr>
          <w:trHeight w:val="290"/>
        </w:trPr>
        <w:tc>
          <w:tcPr>
            <w:tcW w:w="228" w:type="dxa"/>
            <w:tcBorders>
              <w:top w:val="single" w:sz="4" w:space="0" w:color="auto"/>
              <w:left w:val="single" w:sz="4" w:space="0" w:color="auto"/>
              <w:bottom w:val="nil"/>
              <w:right w:val="nil"/>
            </w:tcBorders>
            <w:shd w:val="clear" w:color="000000" w:fill="000000"/>
            <w:noWrap/>
            <w:vAlign w:val="bottom"/>
            <w:hideMark/>
          </w:tcPr>
          <w:p w14:paraId="7CC8CD94" w14:textId="77777777" w:rsidR="00BB0672" w:rsidRPr="00BB0672" w:rsidRDefault="00BB0672" w:rsidP="00BB0672">
            <w:pPr>
              <w:jc w:val="center"/>
              <w:rPr>
                <w:rFonts w:cs="Arial"/>
                <w:b/>
                <w:bCs/>
                <w:color w:val="000000"/>
                <w:sz w:val="20"/>
                <w:szCs w:val="20"/>
                <w:lang w:eastAsia="en-GB"/>
              </w:rPr>
            </w:pPr>
            <w:r w:rsidRPr="00BB0672">
              <w:rPr>
                <w:rFonts w:cs="Arial"/>
                <w:b/>
                <w:bCs/>
                <w:color w:val="000000"/>
                <w:sz w:val="20"/>
                <w:szCs w:val="20"/>
                <w:lang w:eastAsia="en-GB"/>
              </w:rPr>
              <w:t> </w:t>
            </w:r>
          </w:p>
        </w:tc>
        <w:tc>
          <w:tcPr>
            <w:tcW w:w="1036" w:type="dxa"/>
            <w:tcBorders>
              <w:top w:val="single" w:sz="4" w:space="0" w:color="auto"/>
              <w:left w:val="nil"/>
              <w:bottom w:val="nil"/>
              <w:right w:val="nil"/>
            </w:tcBorders>
            <w:shd w:val="clear" w:color="000000" w:fill="000000"/>
            <w:noWrap/>
            <w:vAlign w:val="bottom"/>
            <w:hideMark/>
          </w:tcPr>
          <w:p w14:paraId="3E839E20" w14:textId="77777777" w:rsidR="00BB0672" w:rsidRPr="00BB0672" w:rsidRDefault="00BB0672" w:rsidP="00BB0672">
            <w:pPr>
              <w:rPr>
                <w:rFonts w:cs="Arial"/>
                <w:b/>
                <w:bCs/>
                <w:color w:val="FFFFFF"/>
                <w:sz w:val="20"/>
                <w:szCs w:val="20"/>
                <w:lang w:eastAsia="en-GB"/>
              </w:rPr>
            </w:pPr>
            <w:r w:rsidRPr="00BB0672">
              <w:rPr>
                <w:rFonts w:cs="Arial"/>
                <w:b/>
                <w:bCs/>
                <w:color w:val="FFFFFF"/>
                <w:sz w:val="20"/>
                <w:szCs w:val="20"/>
                <w:lang w:eastAsia="en-GB"/>
              </w:rPr>
              <w:t xml:space="preserve">2022/23 </w:t>
            </w:r>
          </w:p>
        </w:tc>
        <w:tc>
          <w:tcPr>
            <w:tcW w:w="236" w:type="dxa"/>
            <w:tcBorders>
              <w:top w:val="single" w:sz="4" w:space="0" w:color="auto"/>
              <w:left w:val="nil"/>
              <w:bottom w:val="nil"/>
              <w:right w:val="nil"/>
            </w:tcBorders>
            <w:shd w:val="clear" w:color="000000" w:fill="000000"/>
            <w:noWrap/>
            <w:vAlign w:val="bottom"/>
            <w:hideMark/>
          </w:tcPr>
          <w:p w14:paraId="5A56191A" w14:textId="77777777" w:rsidR="00BB0672" w:rsidRPr="00BB0672" w:rsidRDefault="00BB0672" w:rsidP="00BB0672">
            <w:pPr>
              <w:jc w:val="center"/>
              <w:rPr>
                <w:rFonts w:cs="Arial"/>
                <w:b/>
                <w:bCs/>
                <w:color w:val="FFFFFF"/>
                <w:sz w:val="20"/>
                <w:szCs w:val="20"/>
                <w:lang w:eastAsia="en-GB"/>
              </w:rPr>
            </w:pPr>
            <w:r w:rsidRPr="00BB0672">
              <w:rPr>
                <w:rFonts w:cs="Arial"/>
                <w:b/>
                <w:bCs/>
                <w:color w:val="FFFFFF"/>
                <w:sz w:val="20"/>
                <w:szCs w:val="20"/>
                <w:lang w:eastAsia="en-GB"/>
              </w:rPr>
              <w:t> </w:t>
            </w:r>
          </w:p>
        </w:tc>
        <w:tc>
          <w:tcPr>
            <w:tcW w:w="5536" w:type="dxa"/>
            <w:tcBorders>
              <w:top w:val="single" w:sz="4" w:space="0" w:color="auto"/>
              <w:left w:val="nil"/>
              <w:bottom w:val="nil"/>
              <w:right w:val="nil"/>
            </w:tcBorders>
            <w:shd w:val="clear" w:color="000000" w:fill="000000"/>
            <w:noWrap/>
            <w:vAlign w:val="bottom"/>
            <w:hideMark/>
          </w:tcPr>
          <w:p w14:paraId="340DCE5E" w14:textId="77777777" w:rsidR="00BB0672" w:rsidRPr="00BB0672" w:rsidRDefault="00BB0672" w:rsidP="00BB0672">
            <w:pPr>
              <w:jc w:val="center"/>
              <w:rPr>
                <w:rFonts w:cs="Arial"/>
                <w:b/>
                <w:bCs/>
                <w:color w:val="FFFFFF"/>
                <w:sz w:val="20"/>
                <w:szCs w:val="20"/>
                <w:lang w:eastAsia="en-GB"/>
              </w:rPr>
            </w:pPr>
            <w:r w:rsidRPr="00BB0672">
              <w:rPr>
                <w:rFonts w:cs="Arial"/>
                <w:b/>
                <w:bCs/>
                <w:color w:val="FFFFFF"/>
                <w:sz w:val="20"/>
                <w:szCs w:val="20"/>
                <w:lang w:eastAsia="en-GB"/>
              </w:rPr>
              <w:t> </w:t>
            </w:r>
          </w:p>
        </w:tc>
        <w:tc>
          <w:tcPr>
            <w:tcW w:w="996" w:type="dxa"/>
            <w:tcBorders>
              <w:top w:val="single" w:sz="4" w:space="0" w:color="auto"/>
              <w:left w:val="nil"/>
              <w:bottom w:val="nil"/>
              <w:right w:val="nil"/>
            </w:tcBorders>
            <w:shd w:val="clear" w:color="000000" w:fill="000000"/>
            <w:noWrap/>
            <w:vAlign w:val="bottom"/>
            <w:hideMark/>
          </w:tcPr>
          <w:p w14:paraId="10B2B069" w14:textId="77777777" w:rsidR="00BB0672" w:rsidRPr="00BB0672" w:rsidRDefault="00BB0672" w:rsidP="00BB0672">
            <w:pPr>
              <w:jc w:val="center"/>
              <w:rPr>
                <w:rFonts w:cs="Arial"/>
                <w:b/>
                <w:bCs/>
                <w:color w:val="FFFFFF"/>
                <w:sz w:val="20"/>
                <w:szCs w:val="20"/>
                <w:lang w:eastAsia="en-GB"/>
              </w:rPr>
            </w:pPr>
            <w:r w:rsidRPr="00BB0672">
              <w:rPr>
                <w:rFonts w:cs="Arial"/>
                <w:b/>
                <w:bCs/>
                <w:color w:val="FFFFFF"/>
                <w:sz w:val="20"/>
                <w:szCs w:val="20"/>
                <w:lang w:eastAsia="en-GB"/>
              </w:rPr>
              <w:t> </w:t>
            </w:r>
          </w:p>
        </w:tc>
        <w:tc>
          <w:tcPr>
            <w:tcW w:w="976" w:type="dxa"/>
            <w:tcBorders>
              <w:top w:val="single" w:sz="4" w:space="0" w:color="auto"/>
              <w:left w:val="nil"/>
              <w:bottom w:val="nil"/>
              <w:right w:val="nil"/>
            </w:tcBorders>
            <w:shd w:val="clear" w:color="000000" w:fill="000000"/>
            <w:noWrap/>
            <w:vAlign w:val="bottom"/>
            <w:hideMark/>
          </w:tcPr>
          <w:p w14:paraId="322671D4" w14:textId="77777777" w:rsidR="00BB0672" w:rsidRPr="00BB0672" w:rsidRDefault="00BB0672" w:rsidP="00BB0672">
            <w:pPr>
              <w:rPr>
                <w:rFonts w:cs="Arial"/>
                <w:b/>
                <w:bCs/>
                <w:color w:val="FFFFFF"/>
                <w:sz w:val="20"/>
                <w:szCs w:val="20"/>
                <w:lang w:eastAsia="en-GB"/>
              </w:rPr>
            </w:pPr>
            <w:r w:rsidRPr="00BB0672">
              <w:rPr>
                <w:rFonts w:cs="Arial"/>
                <w:b/>
                <w:bCs/>
                <w:color w:val="FFFFFF"/>
                <w:sz w:val="20"/>
                <w:szCs w:val="20"/>
                <w:lang w:eastAsia="en-GB"/>
              </w:rPr>
              <w:t>2023/24</w:t>
            </w:r>
          </w:p>
        </w:tc>
        <w:tc>
          <w:tcPr>
            <w:tcW w:w="328" w:type="dxa"/>
            <w:tcBorders>
              <w:top w:val="single" w:sz="4" w:space="0" w:color="auto"/>
              <w:left w:val="nil"/>
              <w:bottom w:val="nil"/>
              <w:right w:val="single" w:sz="4" w:space="0" w:color="auto"/>
            </w:tcBorders>
            <w:shd w:val="clear" w:color="000000" w:fill="000000"/>
            <w:noWrap/>
            <w:vAlign w:val="bottom"/>
            <w:hideMark/>
          </w:tcPr>
          <w:p w14:paraId="07E9A903" w14:textId="77777777" w:rsidR="00BB0672" w:rsidRPr="00BB0672" w:rsidRDefault="00BB0672" w:rsidP="00BB0672">
            <w:pPr>
              <w:jc w:val="center"/>
              <w:rPr>
                <w:rFonts w:cs="Arial"/>
                <w:b/>
                <w:bCs/>
                <w:color w:val="000000"/>
                <w:sz w:val="20"/>
                <w:szCs w:val="20"/>
                <w:lang w:eastAsia="en-GB"/>
              </w:rPr>
            </w:pPr>
            <w:r w:rsidRPr="00BB0672">
              <w:rPr>
                <w:rFonts w:cs="Arial"/>
                <w:b/>
                <w:bCs/>
                <w:color w:val="000000"/>
                <w:sz w:val="20"/>
                <w:szCs w:val="20"/>
                <w:lang w:eastAsia="en-GB"/>
              </w:rPr>
              <w:t> </w:t>
            </w:r>
          </w:p>
        </w:tc>
      </w:tr>
      <w:tr w:rsidR="00BB0672" w:rsidRPr="00BB0672" w14:paraId="06EAC3EB" w14:textId="77777777" w:rsidTr="00BB0672">
        <w:trPr>
          <w:trHeight w:val="290"/>
        </w:trPr>
        <w:tc>
          <w:tcPr>
            <w:tcW w:w="228" w:type="dxa"/>
            <w:tcBorders>
              <w:top w:val="nil"/>
              <w:left w:val="single" w:sz="4" w:space="0" w:color="auto"/>
              <w:bottom w:val="nil"/>
              <w:right w:val="nil"/>
            </w:tcBorders>
            <w:shd w:val="clear" w:color="000000" w:fill="000000"/>
            <w:noWrap/>
            <w:vAlign w:val="bottom"/>
            <w:hideMark/>
          </w:tcPr>
          <w:p w14:paraId="311E72FB" w14:textId="77777777" w:rsidR="00BB0672" w:rsidRPr="00BB0672" w:rsidRDefault="00BB0672" w:rsidP="00BB0672">
            <w:pPr>
              <w:jc w:val="center"/>
              <w:rPr>
                <w:rFonts w:cs="Arial"/>
                <w:b/>
                <w:bCs/>
                <w:color w:val="000000"/>
                <w:sz w:val="20"/>
                <w:szCs w:val="20"/>
                <w:lang w:eastAsia="en-GB"/>
              </w:rPr>
            </w:pPr>
            <w:r w:rsidRPr="00BB0672">
              <w:rPr>
                <w:rFonts w:cs="Arial"/>
                <w:b/>
                <w:bCs/>
                <w:color w:val="000000"/>
                <w:sz w:val="20"/>
                <w:szCs w:val="20"/>
                <w:lang w:eastAsia="en-GB"/>
              </w:rPr>
              <w:t> </w:t>
            </w:r>
          </w:p>
        </w:tc>
        <w:tc>
          <w:tcPr>
            <w:tcW w:w="1036" w:type="dxa"/>
            <w:tcBorders>
              <w:top w:val="nil"/>
              <w:left w:val="nil"/>
              <w:bottom w:val="nil"/>
              <w:right w:val="nil"/>
            </w:tcBorders>
            <w:shd w:val="clear" w:color="000000" w:fill="000000"/>
            <w:noWrap/>
            <w:vAlign w:val="bottom"/>
            <w:hideMark/>
          </w:tcPr>
          <w:p w14:paraId="782DC72B" w14:textId="77777777" w:rsidR="00BB0672" w:rsidRPr="00BB0672" w:rsidRDefault="00BB0672" w:rsidP="00BB0672">
            <w:pPr>
              <w:jc w:val="center"/>
              <w:rPr>
                <w:rFonts w:cs="Arial"/>
                <w:b/>
                <w:bCs/>
                <w:color w:val="FFFFFF"/>
                <w:sz w:val="20"/>
                <w:szCs w:val="20"/>
                <w:lang w:eastAsia="en-GB"/>
              </w:rPr>
            </w:pPr>
            <w:r w:rsidRPr="00BB0672">
              <w:rPr>
                <w:rFonts w:cs="Arial"/>
                <w:b/>
                <w:bCs/>
                <w:color w:val="FFFFFF"/>
                <w:sz w:val="20"/>
                <w:szCs w:val="20"/>
                <w:lang w:eastAsia="en-GB"/>
              </w:rPr>
              <w:t>£'000</w:t>
            </w:r>
          </w:p>
        </w:tc>
        <w:tc>
          <w:tcPr>
            <w:tcW w:w="236" w:type="dxa"/>
            <w:tcBorders>
              <w:top w:val="nil"/>
              <w:left w:val="nil"/>
              <w:bottom w:val="nil"/>
              <w:right w:val="nil"/>
            </w:tcBorders>
            <w:shd w:val="clear" w:color="000000" w:fill="000000"/>
            <w:noWrap/>
            <w:vAlign w:val="bottom"/>
            <w:hideMark/>
          </w:tcPr>
          <w:p w14:paraId="0F3EC179" w14:textId="77777777" w:rsidR="00BB0672" w:rsidRPr="00BB0672" w:rsidRDefault="00BB0672" w:rsidP="00BB0672">
            <w:pPr>
              <w:jc w:val="center"/>
              <w:rPr>
                <w:rFonts w:cs="Arial"/>
                <w:b/>
                <w:bCs/>
                <w:color w:val="FFFFFF"/>
                <w:sz w:val="20"/>
                <w:szCs w:val="20"/>
                <w:lang w:eastAsia="en-GB"/>
              </w:rPr>
            </w:pPr>
            <w:r w:rsidRPr="00BB0672">
              <w:rPr>
                <w:rFonts w:cs="Arial"/>
                <w:b/>
                <w:bCs/>
                <w:color w:val="FFFFFF"/>
                <w:sz w:val="20"/>
                <w:szCs w:val="20"/>
                <w:lang w:eastAsia="en-GB"/>
              </w:rPr>
              <w:t> </w:t>
            </w:r>
          </w:p>
        </w:tc>
        <w:tc>
          <w:tcPr>
            <w:tcW w:w="5536" w:type="dxa"/>
            <w:tcBorders>
              <w:top w:val="nil"/>
              <w:left w:val="nil"/>
              <w:bottom w:val="nil"/>
              <w:right w:val="nil"/>
            </w:tcBorders>
            <w:shd w:val="clear" w:color="000000" w:fill="000000"/>
            <w:noWrap/>
            <w:vAlign w:val="bottom"/>
            <w:hideMark/>
          </w:tcPr>
          <w:p w14:paraId="7590F461" w14:textId="77777777" w:rsidR="00BB0672" w:rsidRPr="00BB0672" w:rsidRDefault="00BB0672" w:rsidP="00BB0672">
            <w:pPr>
              <w:jc w:val="center"/>
              <w:rPr>
                <w:rFonts w:cs="Arial"/>
                <w:b/>
                <w:bCs/>
                <w:color w:val="FFFFFF"/>
                <w:sz w:val="20"/>
                <w:szCs w:val="20"/>
                <w:lang w:eastAsia="en-GB"/>
              </w:rPr>
            </w:pPr>
            <w:r w:rsidRPr="00BB0672">
              <w:rPr>
                <w:rFonts w:cs="Arial"/>
                <w:b/>
                <w:bCs/>
                <w:color w:val="FFFFFF"/>
                <w:sz w:val="20"/>
                <w:szCs w:val="20"/>
                <w:lang w:eastAsia="en-GB"/>
              </w:rPr>
              <w:t> </w:t>
            </w:r>
          </w:p>
        </w:tc>
        <w:tc>
          <w:tcPr>
            <w:tcW w:w="996" w:type="dxa"/>
            <w:tcBorders>
              <w:top w:val="nil"/>
              <w:left w:val="nil"/>
              <w:bottom w:val="nil"/>
              <w:right w:val="nil"/>
            </w:tcBorders>
            <w:shd w:val="clear" w:color="000000" w:fill="000000"/>
            <w:noWrap/>
            <w:vAlign w:val="bottom"/>
            <w:hideMark/>
          </w:tcPr>
          <w:p w14:paraId="54FC1AA2" w14:textId="77777777" w:rsidR="00BB0672" w:rsidRPr="00BB0672" w:rsidRDefault="00BB0672" w:rsidP="00BB0672">
            <w:pPr>
              <w:jc w:val="center"/>
              <w:rPr>
                <w:rFonts w:cs="Arial"/>
                <w:b/>
                <w:bCs/>
                <w:color w:val="FFFFFF"/>
                <w:sz w:val="20"/>
                <w:szCs w:val="20"/>
                <w:lang w:eastAsia="en-GB"/>
              </w:rPr>
            </w:pPr>
            <w:r w:rsidRPr="00BB0672">
              <w:rPr>
                <w:rFonts w:cs="Arial"/>
                <w:b/>
                <w:bCs/>
                <w:color w:val="FFFFFF"/>
                <w:sz w:val="20"/>
                <w:szCs w:val="20"/>
                <w:lang w:eastAsia="en-GB"/>
              </w:rPr>
              <w:t> </w:t>
            </w:r>
          </w:p>
        </w:tc>
        <w:tc>
          <w:tcPr>
            <w:tcW w:w="976" w:type="dxa"/>
            <w:tcBorders>
              <w:top w:val="nil"/>
              <w:left w:val="nil"/>
              <w:bottom w:val="nil"/>
              <w:right w:val="nil"/>
            </w:tcBorders>
            <w:shd w:val="clear" w:color="000000" w:fill="000000"/>
            <w:noWrap/>
            <w:vAlign w:val="bottom"/>
            <w:hideMark/>
          </w:tcPr>
          <w:p w14:paraId="66969A2E" w14:textId="77777777" w:rsidR="00BB0672" w:rsidRPr="00BB0672" w:rsidRDefault="00BB0672" w:rsidP="00BB0672">
            <w:pPr>
              <w:jc w:val="center"/>
              <w:rPr>
                <w:rFonts w:cs="Arial"/>
                <w:b/>
                <w:bCs/>
                <w:color w:val="FFFFFF"/>
                <w:sz w:val="20"/>
                <w:szCs w:val="20"/>
                <w:lang w:eastAsia="en-GB"/>
              </w:rPr>
            </w:pPr>
            <w:r w:rsidRPr="00BB0672">
              <w:rPr>
                <w:rFonts w:cs="Arial"/>
                <w:b/>
                <w:bCs/>
                <w:color w:val="FFFFFF"/>
                <w:sz w:val="20"/>
                <w:szCs w:val="20"/>
                <w:lang w:eastAsia="en-GB"/>
              </w:rPr>
              <w:t>£'000</w:t>
            </w:r>
          </w:p>
        </w:tc>
        <w:tc>
          <w:tcPr>
            <w:tcW w:w="328" w:type="dxa"/>
            <w:tcBorders>
              <w:top w:val="nil"/>
              <w:left w:val="nil"/>
              <w:bottom w:val="nil"/>
              <w:right w:val="single" w:sz="4" w:space="0" w:color="auto"/>
            </w:tcBorders>
            <w:shd w:val="clear" w:color="000000" w:fill="000000"/>
            <w:noWrap/>
            <w:vAlign w:val="bottom"/>
            <w:hideMark/>
          </w:tcPr>
          <w:p w14:paraId="3AA5D50A" w14:textId="77777777" w:rsidR="00BB0672" w:rsidRPr="00BB0672" w:rsidRDefault="00BB0672" w:rsidP="00BB0672">
            <w:pPr>
              <w:jc w:val="center"/>
              <w:rPr>
                <w:rFonts w:cs="Arial"/>
                <w:b/>
                <w:bCs/>
                <w:color w:val="000000"/>
                <w:sz w:val="20"/>
                <w:szCs w:val="20"/>
                <w:lang w:eastAsia="en-GB"/>
              </w:rPr>
            </w:pPr>
            <w:r w:rsidRPr="00BB0672">
              <w:rPr>
                <w:rFonts w:cs="Arial"/>
                <w:b/>
                <w:bCs/>
                <w:color w:val="000000"/>
                <w:sz w:val="20"/>
                <w:szCs w:val="20"/>
                <w:lang w:eastAsia="en-GB"/>
              </w:rPr>
              <w:t> </w:t>
            </w:r>
          </w:p>
        </w:tc>
      </w:tr>
      <w:tr w:rsidR="00BB0672" w:rsidRPr="00BB0672" w14:paraId="16308008"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776AB555"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nil"/>
              <w:right w:val="nil"/>
            </w:tcBorders>
            <w:shd w:val="clear" w:color="auto" w:fill="auto"/>
            <w:noWrap/>
            <w:vAlign w:val="bottom"/>
            <w:hideMark/>
          </w:tcPr>
          <w:p w14:paraId="53BB691A" w14:textId="77777777"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 xml:space="preserve"> (2,459)</w:t>
            </w:r>
          </w:p>
        </w:tc>
        <w:tc>
          <w:tcPr>
            <w:tcW w:w="236" w:type="dxa"/>
            <w:tcBorders>
              <w:top w:val="nil"/>
              <w:left w:val="nil"/>
              <w:bottom w:val="nil"/>
              <w:right w:val="nil"/>
            </w:tcBorders>
            <w:shd w:val="clear" w:color="auto" w:fill="auto"/>
            <w:noWrap/>
            <w:vAlign w:val="bottom"/>
            <w:hideMark/>
          </w:tcPr>
          <w:p w14:paraId="57BBE196" w14:textId="77777777" w:rsidR="00BB0672" w:rsidRPr="00BB0672" w:rsidRDefault="00BB0672" w:rsidP="00BB0672">
            <w:pPr>
              <w:jc w:val="right"/>
              <w:rPr>
                <w:rFonts w:cs="Arial"/>
                <w:b/>
                <w:bCs/>
                <w:color w:val="000000"/>
                <w:sz w:val="20"/>
                <w:szCs w:val="20"/>
                <w:lang w:eastAsia="en-GB"/>
              </w:rPr>
            </w:pPr>
          </w:p>
        </w:tc>
        <w:tc>
          <w:tcPr>
            <w:tcW w:w="5536" w:type="dxa"/>
            <w:tcBorders>
              <w:top w:val="nil"/>
              <w:left w:val="nil"/>
              <w:bottom w:val="nil"/>
              <w:right w:val="nil"/>
            </w:tcBorders>
            <w:shd w:val="clear" w:color="auto" w:fill="auto"/>
            <w:noWrap/>
            <w:vAlign w:val="bottom"/>
            <w:hideMark/>
          </w:tcPr>
          <w:p w14:paraId="5DCA1AD8" w14:textId="77777777" w:rsidR="00BB0672" w:rsidRPr="00BB0672" w:rsidRDefault="00BB0672" w:rsidP="00BB0672">
            <w:pPr>
              <w:rPr>
                <w:rFonts w:cs="Arial"/>
                <w:b/>
                <w:bCs/>
                <w:color w:val="000000"/>
                <w:sz w:val="20"/>
                <w:szCs w:val="20"/>
                <w:lang w:eastAsia="en-GB"/>
              </w:rPr>
            </w:pPr>
            <w:r w:rsidRPr="00BB0672">
              <w:rPr>
                <w:rFonts w:cs="Arial"/>
                <w:b/>
                <w:bCs/>
                <w:color w:val="000000"/>
                <w:sz w:val="20"/>
                <w:szCs w:val="20"/>
                <w:lang w:eastAsia="en-GB"/>
              </w:rPr>
              <w:t>Net surplus/(deficit) on provision of services</w:t>
            </w:r>
          </w:p>
        </w:tc>
        <w:tc>
          <w:tcPr>
            <w:tcW w:w="996" w:type="dxa"/>
            <w:tcBorders>
              <w:top w:val="nil"/>
              <w:left w:val="nil"/>
              <w:bottom w:val="nil"/>
              <w:right w:val="nil"/>
            </w:tcBorders>
            <w:shd w:val="clear" w:color="auto" w:fill="auto"/>
            <w:noWrap/>
            <w:vAlign w:val="bottom"/>
            <w:hideMark/>
          </w:tcPr>
          <w:p w14:paraId="2D74CB21" w14:textId="77777777" w:rsidR="00BB0672" w:rsidRPr="00BB0672" w:rsidRDefault="00BB0672" w:rsidP="00BB0672">
            <w:pPr>
              <w:rPr>
                <w:rFonts w:cs="Arial"/>
                <w:b/>
                <w:bCs/>
                <w:color w:val="000000"/>
                <w:sz w:val="20"/>
                <w:szCs w:val="20"/>
                <w:lang w:eastAsia="en-GB"/>
              </w:rPr>
            </w:pPr>
          </w:p>
        </w:tc>
        <w:tc>
          <w:tcPr>
            <w:tcW w:w="976" w:type="dxa"/>
            <w:tcBorders>
              <w:top w:val="nil"/>
              <w:left w:val="nil"/>
              <w:bottom w:val="nil"/>
              <w:right w:val="nil"/>
            </w:tcBorders>
            <w:shd w:val="clear" w:color="auto" w:fill="auto"/>
            <w:noWrap/>
            <w:vAlign w:val="bottom"/>
            <w:hideMark/>
          </w:tcPr>
          <w:p w14:paraId="74A171B9" w14:textId="47AF3C75"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 xml:space="preserve"> (8</w:t>
            </w:r>
            <w:r w:rsidR="001B5FDF">
              <w:rPr>
                <w:rFonts w:cs="Arial"/>
                <w:b/>
                <w:bCs/>
                <w:color w:val="000000"/>
                <w:sz w:val="20"/>
                <w:szCs w:val="20"/>
                <w:lang w:eastAsia="en-GB"/>
              </w:rPr>
              <w:t>00</w:t>
            </w:r>
            <w:r w:rsidRPr="00BB0672">
              <w:rPr>
                <w:rFonts w:cs="Arial"/>
                <w:b/>
                <w:bCs/>
                <w:color w:val="000000"/>
                <w:sz w:val="20"/>
                <w:szCs w:val="20"/>
                <w:lang w:eastAsia="en-GB"/>
              </w:rPr>
              <w:t>)</w:t>
            </w:r>
          </w:p>
        </w:tc>
        <w:tc>
          <w:tcPr>
            <w:tcW w:w="328" w:type="dxa"/>
            <w:tcBorders>
              <w:top w:val="nil"/>
              <w:left w:val="nil"/>
              <w:bottom w:val="nil"/>
              <w:right w:val="single" w:sz="4" w:space="0" w:color="auto"/>
            </w:tcBorders>
            <w:shd w:val="clear" w:color="auto" w:fill="auto"/>
            <w:noWrap/>
            <w:vAlign w:val="bottom"/>
            <w:hideMark/>
          </w:tcPr>
          <w:p w14:paraId="7094C402"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1AC79175"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5DAC7DC2"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nil"/>
              <w:right w:val="nil"/>
            </w:tcBorders>
            <w:shd w:val="clear" w:color="auto" w:fill="auto"/>
            <w:noWrap/>
            <w:vAlign w:val="bottom"/>
            <w:hideMark/>
          </w:tcPr>
          <w:p w14:paraId="3D6166ED"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831</w:t>
            </w:r>
          </w:p>
        </w:tc>
        <w:tc>
          <w:tcPr>
            <w:tcW w:w="236" w:type="dxa"/>
            <w:tcBorders>
              <w:top w:val="nil"/>
              <w:left w:val="nil"/>
              <w:bottom w:val="nil"/>
              <w:right w:val="nil"/>
            </w:tcBorders>
            <w:shd w:val="clear" w:color="auto" w:fill="auto"/>
            <w:noWrap/>
            <w:vAlign w:val="bottom"/>
            <w:hideMark/>
          </w:tcPr>
          <w:p w14:paraId="5CB657B4" w14:textId="77777777" w:rsidR="00BB0672" w:rsidRPr="00BB0672" w:rsidRDefault="00BB0672" w:rsidP="00BB0672">
            <w:pPr>
              <w:jc w:val="right"/>
              <w:rPr>
                <w:rFonts w:cs="Arial"/>
                <w:color w:val="000000"/>
                <w:sz w:val="20"/>
                <w:szCs w:val="20"/>
                <w:lang w:eastAsia="en-GB"/>
              </w:rPr>
            </w:pPr>
          </w:p>
        </w:tc>
        <w:tc>
          <w:tcPr>
            <w:tcW w:w="5536" w:type="dxa"/>
            <w:tcBorders>
              <w:top w:val="nil"/>
              <w:left w:val="nil"/>
              <w:bottom w:val="nil"/>
              <w:right w:val="nil"/>
            </w:tcBorders>
            <w:shd w:val="clear" w:color="auto" w:fill="auto"/>
            <w:noWrap/>
            <w:vAlign w:val="bottom"/>
            <w:hideMark/>
          </w:tcPr>
          <w:p w14:paraId="5A4F8AC7" w14:textId="354E62C9" w:rsidR="00BB0672" w:rsidRPr="00BB0672" w:rsidRDefault="003123F6" w:rsidP="00BB0672">
            <w:pPr>
              <w:ind w:firstLineChars="100" w:firstLine="200"/>
              <w:rPr>
                <w:rFonts w:cs="Arial"/>
                <w:color w:val="000000"/>
                <w:sz w:val="20"/>
                <w:szCs w:val="20"/>
                <w:lang w:eastAsia="en-GB"/>
              </w:rPr>
            </w:pPr>
            <w:r>
              <w:rPr>
                <w:rFonts w:cs="Arial"/>
                <w:color w:val="000000"/>
                <w:sz w:val="20"/>
                <w:szCs w:val="20"/>
                <w:lang w:eastAsia="en-GB"/>
              </w:rPr>
              <w:t>Capital items (</w:t>
            </w:r>
            <w:r w:rsidR="00BB0672" w:rsidRPr="00BB0672">
              <w:rPr>
                <w:rFonts w:cs="Arial"/>
                <w:color w:val="000000"/>
                <w:sz w:val="20"/>
                <w:szCs w:val="20"/>
                <w:lang w:eastAsia="en-GB"/>
              </w:rPr>
              <w:t>Depreciation, amortisation &amp; impairment</w:t>
            </w:r>
            <w:r>
              <w:rPr>
                <w:rFonts w:cs="Arial"/>
                <w:color w:val="000000"/>
                <w:sz w:val="20"/>
                <w:szCs w:val="20"/>
                <w:lang w:eastAsia="en-GB"/>
              </w:rPr>
              <w:t>)</w:t>
            </w:r>
          </w:p>
        </w:tc>
        <w:tc>
          <w:tcPr>
            <w:tcW w:w="996" w:type="dxa"/>
            <w:tcBorders>
              <w:top w:val="nil"/>
              <w:left w:val="nil"/>
              <w:bottom w:val="nil"/>
              <w:right w:val="nil"/>
            </w:tcBorders>
            <w:shd w:val="clear" w:color="auto" w:fill="auto"/>
            <w:noWrap/>
            <w:vAlign w:val="bottom"/>
            <w:hideMark/>
          </w:tcPr>
          <w:p w14:paraId="388BCDD5" w14:textId="77777777" w:rsidR="00BB0672" w:rsidRPr="00BB0672" w:rsidRDefault="00BB0672" w:rsidP="00BB0672">
            <w:pPr>
              <w:ind w:firstLineChars="100" w:firstLine="200"/>
              <w:rPr>
                <w:rFonts w:cs="Arial"/>
                <w:color w:val="000000"/>
                <w:sz w:val="20"/>
                <w:szCs w:val="20"/>
                <w:lang w:eastAsia="en-GB"/>
              </w:rPr>
            </w:pPr>
          </w:p>
        </w:tc>
        <w:tc>
          <w:tcPr>
            <w:tcW w:w="976" w:type="dxa"/>
            <w:tcBorders>
              <w:top w:val="nil"/>
              <w:left w:val="nil"/>
              <w:bottom w:val="nil"/>
              <w:right w:val="nil"/>
            </w:tcBorders>
            <w:shd w:val="clear" w:color="auto" w:fill="auto"/>
            <w:noWrap/>
            <w:vAlign w:val="bottom"/>
            <w:hideMark/>
          </w:tcPr>
          <w:p w14:paraId="6664408A" w14:textId="576382F8"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1,5</w:t>
            </w:r>
            <w:r w:rsidR="001B5FDF">
              <w:rPr>
                <w:rFonts w:cs="Arial"/>
                <w:color w:val="000000"/>
                <w:sz w:val="20"/>
                <w:szCs w:val="20"/>
                <w:lang w:eastAsia="en-GB"/>
              </w:rPr>
              <w:t>35</w:t>
            </w:r>
          </w:p>
        </w:tc>
        <w:tc>
          <w:tcPr>
            <w:tcW w:w="328" w:type="dxa"/>
            <w:tcBorders>
              <w:top w:val="nil"/>
              <w:left w:val="nil"/>
              <w:bottom w:val="nil"/>
              <w:right w:val="single" w:sz="4" w:space="0" w:color="auto"/>
            </w:tcBorders>
            <w:shd w:val="clear" w:color="auto" w:fill="auto"/>
            <w:noWrap/>
            <w:vAlign w:val="bottom"/>
            <w:hideMark/>
          </w:tcPr>
          <w:p w14:paraId="2F0CD802"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2F41EFF6"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7523E8FA"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nil"/>
              <w:right w:val="nil"/>
            </w:tcBorders>
            <w:shd w:val="clear" w:color="auto" w:fill="auto"/>
            <w:noWrap/>
            <w:vAlign w:val="bottom"/>
            <w:hideMark/>
          </w:tcPr>
          <w:p w14:paraId="7DADB6DA"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 xml:space="preserve"> (173)</w:t>
            </w:r>
          </w:p>
        </w:tc>
        <w:tc>
          <w:tcPr>
            <w:tcW w:w="236" w:type="dxa"/>
            <w:tcBorders>
              <w:top w:val="nil"/>
              <w:left w:val="nil"/>
              <w:bottom w:val="nil"/>
              <w:right w:val="nil"/>
            </w:tcBorders>
            <w:shd w:val="clear" w:color="auto" w:fill="auto"/>
            <w:noWrap/>
            <w:vAlign w:val="bottom"/>
            <w:hideMark/>
          </w:tcPr>
          <w:p w14:paraId="0C4CC91A" w14:textId="77777777" w:rsidR="00BB0672" w:rsidRPr="00BB0672" w:rsidRDefault="00BB0672" w:rsidP="00BB0672">
            <w:pPr>
              <w:jc w:val="right"/>
              <w:rPr>
                <w:rFonts w:cs="Arial"/>
                <w:color w:val="000000"/>
                <w:sz w:val="20"/>
                <w:szCs w:val="20"/>
                <w:lang w:eastAsia="en-GB"/>
              </w:rPr>
            </w:pPr>
          </w:p>
        </w:tc>
        <w:tc>
          <w:tcPr>
            <w:tcW w:w="5536" w:type="dxa"/>
            <w:tcBorders>
              <w:top w:val="nil"/>
              <w:left w:val="nil"/>
              <w:bottom w:val="nil"/>
              <w:right w:val="nil"/>
            </w:tcBorders>
            <w:shd w:val="clear" w:color="auto" w:fill="auto"/>
            <w:noWrap/>
            <w:vAlign w:val="bottom"/>
            <w:hideMark/>
          </w:tcPr>
          <w:p w14:paraId="78CBA051" w14:textId="77777777" w:rsidR="00BB0672" w:rsidRPr="00BB0672" w:rsidRDefault="00BB0672" w:rsidP="00BB0672">
            <w:pPr>
              <w:ind w:firstLineChars="100" w:firstLine="200"/>
              <w:rPr>
                <w:rFonts w:cs="Arial"/>
                <w:color w:val="000000"/>
                <w:sz w:val="20"/>
                <w:szCs w:val="20"/>
                <w:lang w:eastAsia="en-GB"/>
              </w:rPr>
            </w:pPr>
            <w:r w:rsidRPr="00BB0672">
              <w:rPr>
                <w:rFonts w:cs="Arial"/>
                <w:color w:val="000000"/>
                <w:sz w:val="20"/>
                <w:szCs w:val="20"/>
                <w:lang w:eastAsia="en-GB"/>
              </w:rPr>
              <w:t>Movement in Market Value Investment Properties</w:t>
            </w:r>
          </w:p>
        </w:tc>
        <w:tc>
          <w:tcPr>
            <w:tcW w:w="996" w:type="dxa"/>
            <w:tcBorders>
              <w:top w:val="nil"/>
              <w:left w:val="nil"/>
              <w:bottom w:val="nil"/>
              <w:right w:val="nil"/>
            </w:tcBorders>
            <w:shd w:val="clear" w:color="auto" w:fill="auto"/>
            <w:noWrap/>
            <w:vAlign w:val="bottom"/>
            <w:hideMark/>
          </w:tcPr>
          <w:p w14:paraId="36D23445" w14:textId="77777777" w:rsidR="00BB0672" w:rsidRPr="00BB0672" w:rsidRDefault="00BB0672" w:rsidP="00BB0672">
            <w:pPr>
              <w:ind w:firstLineChars="100" w:firstLine="200"/>
              <w:rPr>
                <w:rFonts w:cs="Arial"/>
                <w:color w:val="000000"/>
                <w:sz w:val="20"/>
                <w:szCs w:val="20"/>
                <w:lang w:eastAsia="en-GB"/>
              </w:rPr>
            </w:pPr>
          </w:p>
        </w:tc>
        <w:tc>
          <w:tcPr>
            <w:tcW w:w="976" w:type="dxa"/>
            <w:tcBorders>
              <w:top w:val="nil"/>
              <w:left w:val="nil"/>
              <w:bottom w:val="nil"/>
              <w:right w:val="nil"/>
            </w:tcBorders>
            <w:shd w:val="clear" w:color="auto" w:fill="auto"/>
            <w:noWrap/>
            <w:vAlign w:val="bottom"/>
            <w:hideMark/>
          </w:tcPr>
          <w:p w14:paraId="392C03D3"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 xml:space="preserve"> (186)</w:t>
            </w:r>
          </w:p>
        </w:tc>
        <w:tc>
          <w:tcPr>
            <w:tcW w:w="328" w:type="dxa"/>
            <w:tcBorders>
              <w:top w:val="nil"/>
              <w:left w:val="nil"/>
              <w:bottom w:val="nil"/>
              <w:right w:val="single" w:sz="4" w:space="0" w:color="auto"/>
            </w:tcBorders>
            <w:shd w:val="clear" w:color="auto" w:fill="auto"/>
            <w:noWrap/>
            <w:vAlign w:val="bottom"/>
            <w:hideMark/>
          </w:tcPr>
          <w:p w14:paraId="689B7770"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17DCCDF9"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0F9F75E7"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nil"/>
              <w:right w:val="nil"/>
            </w:tcBorders>
            <w:shd w:val="clear" w:color="auto" w:fill="auto"/>
            <w:noWrap/>
            <w:vAlign w:val="bottom"/>
            <w:hideMark/>
          </w:tcPr>
          <w:p w14:paraId="737AE7F8"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 xml:space="preserve"> (975)</w:t>
            </w:r>
          </w:p>
        </w:tc>
        <w:tc>
          <w:tcPr>
            <w:tcW w:w="236" w:type="dxa"/>
            <w:tcBorders>
              <w:top w:val="nil"/>
              <w:left w:val="nil"/>
              <w:bottom w:val="nil"/>
              <w:right w:val="nil"/>
            </w:tcBorders>
            <w:shd w:val="clear" w:color="auto" w:fill="auto"/>
            <w:noWrap/>
            <w:vAlign w:val="bottom"/>
            <w:hideMark/>
          </w:tcPr>
          <w:p w14:paraId="4D22191E" w14:textId="77777777" w:rsidR="00BB0672" w:rsidRPr="00BB0672" w:rsidRDefault="00BB0672" w:rsidP="00BB0672">
            <w:pPr>
              <w:jc w:val="right"/>
              <w:rPr>
                <w:rFonts w:cs="Arial"/>
                <w:color w:val="000000"/>
                <w:sz w:val="20"/>
                <w:szCs w:val="20"/>
                <w:lang w:eastAsia="en-GB"/>
              </w:rPr>
            </w:pPr>
          </w:p>
        </w:tc>
        <w:tc>
          <w:tcPr>
            <w:tcW w:w="6532" w:type="dxa"/>
            <w:gridSpan w:val="2"/>
            <w:tcBorders>
              <w:top w:val="nil"/>
              <w:left w:val="nil"/>
              <w:bottom w:val="nil"/>
              <w:right w:val="nil"/>
            </w:tcBorders>
            <w:shd w:val="clear" w:color="auto" w:fill="auto"/>
            <w:noWrap/>
            <w:vAlign w:val="bottom"/>
            <w:hideMark/>
          </w:tcPr>
          <w:p w14:paraId="302A6FD6" w14:textId="77777777" w:rsidR="00BB0672" w:rsidRPr="00BB0672" w:rsidRDefault="00BB0672" w:rsidP="00BB0672">
            <w:pPr>
              <w:ind w:firstLineChars="100" w:firstLine="200"/>
              <w:rPr>
                <w:rFonts w:cs="Arial"/>
                <w:color w:val="000000"/>
                <w:sz w:val="20"/>
                <w:szCs w:val="20"/>
                <w:lang w:eastAsia="en-GB"/>
              </w:rPr>
            </w:pPr>
            <w:r w:rsidRPr="00BB0672">
              <w:rPr>
                <w:rFonts w:cs="Arial"/>
                <w:color w:val="000000"/>
                <w:sz w:val="20"/>
                <w:szCs w:val="20"/>
                <w:lang w:eastAsia="en-GB"/>
              </w:rPr>
              <w:t>Increase/(decrease) in creditors, Debtors, inventories &amp; Provisions</w:t>
            </w:r>
          </w:p>
        </w:tc>
        <w:tc>
          <w:tcPr>
            <w:tcW w:w="976" w:type="dxa"/>
            <w:tcBorders>
              <w:top w:val="nil"/>
              <w:left w:val="nil"/>
              <w:bottom w:val="nil"/>
              <w:right w:val="nil"/>
            </w:tcBorders>
            <w:shd w:val="clear" w:color="auto" w:fill="auto"/>
            <w:noWrap/>
            <w:vAlign w:val="bottom"/>
            <w:hideMark/>
          </w:tcPr>
          <w:p w14:paraId="671139B5"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187</w:t>
            </w:r>
          </w:p>
        </w:tc>
        <w:tc>
          <w:tcPr>
            <w:tcW w:w="328" w:type="dxa"/>
            <w:tcBorders>
              <w:top w:val="nil"/>
              <w:left w:val="nil"/>
              <w:bottom w:val="nil"/>
              <w:right w:val="single" w:sz="4" w:space="0" w:color="auto"/>
            </w:tcBorders>
            <w:shd w:val="clear" w:color="auto" w:fill="auto"/>
            <w:noWrap/>
            <w:vAlign w:val="bottom"/>
            <w:hideMark/>
          </w:tcPr>
          <w:p w14:paraId="1ADFD436"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388BCB8D"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0CD67F55"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nil"/>
              <w:right w:val="nil"/>
            </w:tcBorders>
            <w:shd w:val="clear" w:color="auto" w:fill="auto"/>
            <w:noWrap/>
            <w:vAlign w:val="bottom"/>
            <w:hideMark/>
          </w:tcPr>
          <w:p w14:paraId="1BDFAA5C"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1,664</w:t>
            </w:r>
          </w:p>
        </w:tc>
        <w:tc>
          <w:tcPr>
            <w:tcW w:w="236" w:type="dxa"/>
            <w:tcBorders>
              <w:top w:val="nil"/>
              <w:left w:val="nil"/>
              <w:bottom w:val="nil"/>
              <w:right w:val="nil"/>
            </w:tcBorders>
            <w:shd w:val="clear" w:color="auto" w:fill="auto"/>
            <w:noWrap/>
            <w:vAlign w:val="bottom"/>
            <w:hideMark/>
          </w:tcPr>
          <w:p w14:paraId="6E975406" w14:textId="77777777" w:rsidR="00BB0672" w:rsidRPr="00BB0672" w:rsidRDefault="00BB0672" w:rsidP="00BB0672">
            <w:pPr>
              <w:jc w:val="right"/>
              <w:rPr>
                <w:rFonts w:cs="Arial"/>
                <w:color w:val="000000"/>
                <w:sz w:val="20"/>
                <w:szCs w:val="20"/>
                <w:lang w:eastAsia="en-GB"/>
              </w:rPr>
            </w:pPr>
          </w:p>
        </w:tc>
        <w:tc>
          <w:tcPr>
            <w:tcW w:w="5536" w:type="dxa"/>
            <w:tcBorders>
              <w:top w:val="nil"/>
              <w:left w:val="nil"/>
              <w:bottom w:val="nil"/>
              <w:right w:val="nil"/>
            </w:tcBorders>
            <w:shd w:val="clear" w:color="auto" w:fill="auto"/>
            <w:noWrap/>
            <w:vAlign w:val="bottom"/>
            <w:hideMark/>
          </w:tcPr>
          <w:p w14:paraId="3E7F6AC2" w14:textId="77777777" w:rsidR="00BB0672" w:rsidRPr="00BB0672" w:rsidRDefault="00BB0672" w:rsidP="00BB0672">
            <w:pPr>
              <w:ind w:firstLineChars="100" w:firstLine="200"/>
              <w:rPr>
                <w:rFonts w:cs="Arial"/>
                <w:color w:val="000000"/>
                <w:sz w:val="20"/>
                <w:szCs w:val="20"/>
                <w:lang w:eastAsia="en-GB"/>
              </w:rPr>
            </w:pPr>
            <w:r w:rsidRPr="00BB0672">
              <w:rPr>
                <w:rFonts w:cs="Arial"/>
                <w:color w:val="000000"/>
                <w:sz w:val="20"/>
                <w:szCs w:val="20"/>
                <w:lang w:eastAsia="en-GB"/>
              </w:rPr>
              <w:t>Movement on pension liability- Increase/(decrease)</w:t>
            </w:r>
          </w:p>
        </w:tc>
        <w:tc>
          <w:tcPr>
            <w:tcW w:w="996" w:type="dxa"/>
            <w:tcBorders>
              <w:top w:val="nil"/>
              <w:left w:val="nil"/>
              <w:bottom w:val="nil"/>
              <w:right w:val="nil"/>
            </w:tcBorders>
            <w:shd w:val="clear" w:color="auto" w:fill="auto"/>
            <w:noWrap/>
            <w:vAlign w:val="bottom"/>
            <w:hideMark/>
          </w:tcPr>
          <w:p w14:paraId="392F62A1" w14:textId="77777777" w:rsidR="00BB0672" w:rsidRPr="00BB0672" w:rsidRDefault="00BB0672" w:rsidP="00BB0672">
            <w:pPr>
              <w:ind w:firstLineChars="100" w:firstLine="200"/>
              <w:rPr>
                <w:rFonts w:cs="Arial"/>
                <w:color w:val="000000"/>
                <w:sz w:val="20"/>
                <w:szCs w:val="20"/>
                <w:lang w:eastAsia="en-GB"/>
              </w:rPr>
            </w:pPr>
          </w:p>
        </w:tc>
        <w:tc>
          <w:tcPr>
            <w:tcW w:w="976" w:type="dxa"/>
            <w:tcBorders>
              <w:top w:val="nil"/>
              <w:left w:val="nil"/>
              <w:bottom w:val="nil"/>
              <w:right w:val="nil"/>
            </w:tcBorders>
            <w:shd w:val="clear" w:color="auto" w:fill="auto"/>
            <w:noWrap/>
            <w:vAlign w:val="bottom"/>
            <w:hideMark/>
          </w:tcPr>
          <w:p w14:paraId="69E77F45"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 xml:space="preserve"> (280)</w:t>
            </w:r>
          </w:p>
        </w:tc>
        <w:tc>
          <w:tcPr>
            <w:tcW w:w="328" w:type="dxa"/>
            <w:tcBorders>
              <w:top w:val="nil"/>
              <w:left w:val="nil"/>
              <w:bottom w:val="nil"/>
              <w:right w:val="single" w:sz="4" w:space="0" w:color="auto"/>
            </w:tcBorders>
            <w:shd w:val="clear" w:color="auto" w:fill="auto"/>
            <w:noWrap/>
            <w:vAlign w:val="bottom"/>
            <w:hideMark/>
          </w:tcPr>
          <w:p w14:paraId="710A7086"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34EE2AA4" w14:textId="77777777" w:rsidTr="00BB0672">
        <w:trPr>
          <w:trHeight w:val="720"/>
        </w:trPr>
        <w:tc>
          <w:tcPr>
            <w:tcW w:w="228" w:type="dxa"/>
            <w:tcBorders>
              <w:top w:val="nil"/>
              <w:left w:val="single" w:sz="4" w:space="0" w:color="auto"/>
              <w:bottom w:val="nil"/>
              <w:right w:val="nil"/>
            </w:tcBorders>
            <w:shd w:val="clear" w:color="auto" w:fill="auto"/>
            <w:noWrap/>
            <w:hideMark/>
          </w:tcPr>
          <w:p w14:paraId="660CB843"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single" w:sz="4" w:space="0" w:color="auto"/>
              <w:left w:val="nil"/>
              <w:bottom w:val="nil"/>
              <w:right w:val="nil"/>
            </w:tcBorders>
            <w:shd w:val="clear" w:color="auto" w:fill="auto"/>
            <w:noWrap/>
            <w:hideMark/>
          </w:tcPr>
          <w:p w14:paraId="1105CC97" w14:textId="77777777"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1,347</w:t>
            </w:r>
          </w:p>
        </w:tc>
        <w:tc>
          <w:tcPr>
            <w:tcW w:w="236" w:type="dxa"/>
            <w:tcBorders>
              <w:top w:val="nil"/>
              <w:left w:val="nil"/>
              <w:bottom w:val="nil"/>
              <w:right w:val="nil"/>
            </w:tcBorders>
            <w:shd w:val="clear" w:color="auto" w:fill="auto"/>
            <w:noWrap/>
            <w:hideMark/>
          </w:tcPr>
          <w:p w14:paraId="26868610" w14:textId="77777777" w:rsidR="00BB0672" w:rsidRPr="00BB0672" w:rsidRDefault="00BB0672" w:rsidP="00BB0672">
            <w:pPr>
              <w:jc w:val="right"/>
              <w:rPr>
                <w:rFonts w:cs="Arial"/>
                <w:b/>
                <w:bCs/>
                <w:color w:val="000000"/>
                <w:sz w:val="20"/>
                <w:szCs w:val="20"/>
                <w:lang w:eastAsia="en-GB"/>
              </w:rPr>
            </w:pPr>
          </w:p>
        </w:tc>
        <w:tc>
          <w:tcPr>
            <w:tcW w:w="5536" w:type="dxa"/>
            <w:tcBorders>
              <w:top w:val="nil"/>
              <w:left w:val="nil"/>
              <w:bottom w:val="nil"/>
              <w:right w:val="nil"/>
            </w:tcBorders>
            <w:shd w:val="clear" w:color="auto" w:fill="auto"/>
            <w:hideMark/>
          </w:tcPr>
          <w:p w14:paraId="11D1D90D" w14:textId="77777777" w:rsidR="00BB0672" w:rsidRPr="00BB0672" w:rsidRDefault="00BB0672" w:rsidP="00BB0672">
            <w:pPr>
              <w:rPr>
                <w:rFonts w:cs="Arial"/>
                <w:b/>
                <w:bCs/>
                <w:color w:val="000000"/>
                <w:sz w:val="20"/>
                <w:szCs w:val="20"/>
                <w:lang w:eastAsia="en-GB"/>
              </w:rPr>
            </w:pPr>
            <w:r w:rsidRPr="00BB0672">
              <w:rPr>
                <w:rFonts w:cs="Arial"/>
                <w:b/>
                <w:bCs/>
                <w:color w:val="000000"/>
                <w:sz w:val="20"/>
                <w:szCs w:val="20"/>
                <w:lang w:eastAsia="en-GB"/>
              </w:rPr>
              <w:t>Adjustment to net surplus/deficit on provision of services for non-cash movements</w:t>
            </w:r>
          </w:p>
        </w:tc>
        <w:tc>
          <w:tcPr>
            <w:tcW w:w="996" w:type="dxa"/>
            <w:tcBorders>
              <w:top w:val="nil"/>
              <w:left w:val="nil"/>
              <w:bottom w:val="nil"/>
              <w:right w:val="nil"/>
            </w:tcBorders>
            <w:shd w:val="clear" w:color="auto" w:fill="auto"/>
            <w:noWrap/>
            <w:hideMark/>
          </w:tcPr>
          <w:p w14:paraId="3A8074E8" w14:textId="77777777" w:rsidR="00BB0672" w:rsidRPr="00BB0672" w:rsidRDefault="00BB0672" w:rsidP="00BB0672">
            <w:pPr>
              <w:rPr>
                <w:rFonts w:cs="Arial"/>
                <w:b/>
                <w:bCs/>
                <w:color w:val="000000"/>
                <w:sz w:val="20"/>
                <w:szCs w:val="20"/>
                <w:lang w:eastAsia="en-GB"/>
              </w:rPr>
            </w:pPr>
          </w:p>
        </w:tc>
        <w:tc>
          <w:tcPr>
            <w:tcW w:w="976" w:type="dxa"/>
            <w:tcBorders>
              <w:top w:val="single" w:sz="4" w:space="0" w:color="auto"/>
              <w:left w:val="nil"/>
              <w:bottom w:val="nil"/>
              <w:right w:val="nil"/>
            </w:tcBorders>
            <w:shd w:val="clear" w:color="auto" w:fill="auto"/>
            <w:noWrap/>
            <w:hideMark/>
          </w:tcPr>
          <w:p w14:paraId="6D11B00F" w14:textId="6AFFDF8D"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1,2</w:t>
            </w:r>
            <w:r w:rsidR="001B5FDF">
              <w:rPr>
                <w:rFonts w:cs="Arial"/>
                <w:b/>
                <w:bCs/>
                <w:color w:val="000000"/>
                <w:sz w:val="20"/>
                <w:szCs w:val="20"/>
                <w:lang w:eastAsia="en-GB"/>
              </w:rPr>
              <w:t>56</w:t>
            </w:r>
          </w:p>
        </w:tc>
        <w:tc>
          <w:tcPr>
            <w:tcW w:w="328" w:type="dxa"/>
            <w:tcBorders>
              <w:top w:val="nil"/>
              <w:left w:val="nil"/>
              <w:bottom w:val="nil"/>
              <w:right w:val="single" w:sz="4" w:space="0" w:color="auto"/>
            </w:tcBorders>
            <w:shd w:val="clear" w:color="auto" w:fill="auto"/>
            <w:noWrap/>
            <w:hideMark/>
          </w:tcPr>
          <w:p w14:paraId="5A9C301A"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59C5B43C"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2FE69D36"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nil"/>
              <w:right w:val="nil"/>
            </w:tcBorders>
            <w:shd w:val="clear" w:color="auto" w:fill="auto"/>
            <w:noWrap/>
            <w:vAlign w:val="bottom"/>
            <w:hideMark/>
          </w:tcPr>
          <w:p w14:paraId="3D29ECF8"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63</w:t>
            </w:r>
          </w:p>
        </w:tc>
        <w:tc>
          <w:tcPr>
            <w:tcW w:w="236" w:type="dxa"/>
            <w:tcBorders>
              <w:top w:val="nil"/>
              <w:left w:val="nil"/>
              <w:bottom w:val="nil"/>
              <w:right w:val="nil"/>
            </w:tcBorders>
            <w:shd w:val="clear" w:color="auto" w:fill="auto"/>
            <w:noWrap/>
            <w:vAlign w:val="bottom"/>
            <w:hideMark/>
          </w:tcPr>
          <w:p w14:paraId="0C74C375" w14:textId="77777777" w:rsidR="00BB0672" w:rsidRPr="00BB0672" w:rsidRDefault="00BB0672" w:rsidP="00BB0672">
            <w:pPr>
              <w:jc w:val="right"/>
              <w:rPr>
                <w:rFonts w:cs="Arial"/>
                <w:color w:val="000000"/>
                <w:sz w:val="20"/>
                <w:szCs w:val="20"/>
                <w:lang w:eastAsia="en-GB"/>
              </w:rPr>
            </w:pPr>
          </w:p>
        </w:tc>
        <w:tc>
          <w:tcPr>
            <w:tcW w:w="6532" w:type="dxa"/>
            <w:gridSpan w:val="2"/>
            <w:tcBorders>
              <w:top w:val="nil"/>
              <w:left w:val="nil"/>
              <w:bottom w:val="nil"/>
              <w:right w:val="nil"/>
            </w:tcBorders>
            <w:shd w:val="clear" w:color="auto" w:fill="auto"/>
            <w:noWrap/>
            <w:vAlign w:val="bottom"/>
            <w:hideMark/>
          </w:tcPr>
          <w:p w14:paraId="767B1F6A" w14:textId="77777777" w:rsidR="00BB0672" w:rsidRPr="00BB0672" w:rsidRDefault="00BB0672" w:rsidP="00BB0672">
            <w:pPr>
              <w:ind w:firstLineChars="100" w:firstLine="200"/>
              <w:rPr>
                <w:rFonts w:cs="Arial"/>
                <w:color w:val="000000"/>
                <w:sz w:val="20"/>
                <w:szCs w:val="20"/>
                <w:lang w:eastAsia="en-GB"/>
              </w:rPr>
            </w:pPr>
            <w:r w:rsidRPr="00BB0672">
              <w:rPr>
                <w:rFonts w:cs="Arial"/>
                <w:color w:val="000000"/>
                <w:sz w:val="20"/>
                <w:szCs w:val="20"/>
                <w:lang w:eastAsia="en-GB"/>
              </w:rPr>
              <w:t>Loss from the sale of PPE, Investment Property and Intangibles</w:t>
            </w:r>
          </w:p>
        </w:tc>
        <w:tc>
          <w:tcPr>
            <w:tcW w:w="976" w:type="dxa"/>
            <w:tcBorders>
              <w:top w:val="nil"/>
              <w:left w:val="nil"/>
              <w:bottom w:val="nil"/>
              <w:right w:val="nil"/>
            </w:tcBorders>
            <w:shd w:val="clear" w:color="auto" w:fill="auto"/>
            <w:noWrap/>
            <w:vAlign w:val="bottom"/>
            <w:hideMark/>
          </w:tcPr>
          <w:p w14:paraId="6C712363"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139</w:t>
            </w:r>
          </w:p>
        </w:tc>
        <w:tc>
          <w:tcPr>
            <w:tcW w:w="328" w:type="dxa"/>
            <w:tcBorders>
              <w:top w:val="nil"/>
              <w:left w:val="nil"/>
              <w:bottom w:val="nil"/>
              <w:right w:val="single" w:sz="4" w:space="0" w:color="auto"/>
            </w:tcBorders>
            <w:shd w:val="clear" w:color="auto" w:fill="auto"/>
            <w:noWrap/>
            <w:vAlign w:val="bottom"/>
            <w:hideMark/>
          </w:tcPr>
          <w:p w14:paraId="4B676CCC"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069F5D31"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10A051BE"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nil"/>
              <w:right w:val="nil"/>
            </w:tcBorders>
            <w:shd w:val="clear" w:color="auto" w:fill="auto"/>
            <w:noWrap/>
            <w:vAlign w:val="bottom"/>
            <w:hideMark/>
          </w:tcPr>
          <w:p w14:paraId="716CA7BC"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 xml:space="preserve"> (128)</w:t>
            </w:r>
          </w:p>
        </w:tc>
        <w:tc>
          <w:tcPr>
            <w:tcW w:w="236" w:type="dxa"/>
            <w:tcBorders>
              <w:top w:val="nil"/>
              <w:left w:val="nil"/>
              <w:bottom w:val="nil"/>
              <w:right w:val="nil"/>
            </w:tcBorders>
            <w:shd w:val="clear" w:color="auto" w:fill="auto"/>
            <w:noWrap/>
            <w:vAlign w:val="bottom"/>
            <w:hideMark/>
          </w:tcPr>
          <w:p w14:paraId="706BBC99" w14:textId="77777777" w:rsidR="00BB0672" w:rsidRPr="00BB0672" w:rsidRDefault="00BB0672" w:rsidP="00BB0672">
            <w:pPr>
              <w:jc w:val="right"/>
              <w:rPr>
                <w:rFonts w:cs="Arial"/>
                <w:color w:val="000000"/>
                <w:sz w:val="20"/>
                <w:szCs w:val="20"/>
                <w:lang w:eastAsia="en-GB"/>
              </w:rPr>
            </w:pPr>
          </w:p>
        </w:tc>
        <w:tc>
          <w:tcPr>
            <w:tcW w:w="5536" w:type="dxa"/>
            <w:tcBorders>
              <w:top w:val="nil"/>
              <w:left w:val="nil"/>
              <w:bottom w:val="nil"/>
              <w:right w:val="nil"/>
            </w:tcBorders>
            <w:shd w:val="clear" w:color="auto" w:fill="auto"/>
            <w:noWrap/>
            <w:vAlign w:val="bottom"/>
            <w:hideMark/>
          </w:tcPr>
          <w:p w14:paraId="702F2999" w14:textId="607CA416" w:rsidR="00BB0672" w:rsidRPr="00BB0672" w:rsidRDefault="00BB0672" w:rsidP="00BB0672">
            <w:pPr>
              <w:ind w:firstLineChars="100" w:firstLine="200"/>
              <w:rPr>
                <w:rFonts w:cs="Arial"/>
                <w:color w:val="000000"/>
                <w:sz w:val="20"/>
                <w:szCs w:val="20"/>
                <w:lang w:eastAsia="en-GB"/>
              </w:rPr>
            </w:pPr>
            <w:r w:rsidRPr="00BB0672">
              <w:rPr>
                <w:rFonts w:cs="Arial"/>
                <w:color w:val="000000"/>
                <w:sz w:val="20"/>
                <w:szCs w:val="20"/>
                <w:lang w:eastAsia="en-GB"/>
              </w:rPr>
              <w:t xml:space="preserve">Capital Grant Income </w:t>
            </w:r>
          </w:p>
        </w:tc>
        <w:tc>
          <w:tcPr>
            <w:tcW w:w="996" w:type="dxa"/>
            <w:tcBorders>
              <w:top w:val="nil"/>
              <w:left w:val="nil"/>
              <w:bottom w:val="nil"/>
              <w:right w:val="nil"/>
            </w:tcBorders>
            <w:shd w:val="clear" w:color="auto" w:fill="auto"/>
            <w:noWrap/>
            <w:vAlign w:val="bottom"/>
            <w:hideMark/>
          </w:tcPr>
          <w:p w14:paraId="5C5BC1B3" w14:textId="77777777" w:rsidR="00BB0672" w:rsidRPr="00BB0672" w:rsidRDefault="00BB0672" w:rsidP="00BB0672">
            <w:pPr>
              <w:ind w:firstLineChars="100" w:firstLine="200"/>
              <w:rPr>
                <w:rFonts w:cs="Arial"/>
                <w:color w:val="000000"/>
                <w:sz w:val="20"/>
                <w:szCs w:val="20"/>
                <w:lang w:eastAsia="en-GB"/>
              </w:rPr>
            </w:pPr>
          </w:p>
        </w:tc>
        <w:tc>
          <w:tcPr>
            <w:tcW w:w="976" w:type="dxa"/>
            <w:tcBorders>
              <w:top w:val="nil"/>
              <w:left w:val="nil"/>
              <w:bottom w:val="nil"/>
              <w:right w:val="nil"/>
            </w:tcBorders>
            <w:shd w:val="clear" w:color="auto" w:fill="auto"/>
            <w:noWrap/>
            <w:vAlign w:val="bottom"/>
            <w:hideMark/>
          </w:tcPr>
          <w:p w14:paraId="4722D841"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 xml:space="preserve"> (345)</w:t>
            </w:r>
          </w:p>
        </w:tc>
        <w:tc>
          <w:tcPr>
            <w:tcW w:w="328" w:type="dxa"/>
            <w:tcBorders>
              <w:top w:val="nil"/>
              <w:left w:val="nil"/>
              <w:bottom w:val="nil"/>
              <w:right w:val="single" w:sz="4" w:space="0" w:color="auto"/>
            </w:tcBorders>
            <w:shd w:val="clear" w:color="auto" w:fill="auto"/>
            <w:noWrap/>
            <w:vAlign w:val="bottom"/>
            <w:hideMark/>
          </w:tcPr>
          <w:p w14:paraId="1ECF027E"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03D89213"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2AC6C3DE"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nil"/>
              <w:right w:val="nil"/>
            </w:tcBorders>
            <w:shd w:val="clear" w:color="auto" w:fill="auto"/>
            <w:noWrap/>
            <w:vAlign w:val="bottom"/>
            <w:hideMark/>
          </w:tcPr>
          <w:p w14:paraId="2654F5CA"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 xml:space="preserve"> (102)</w:t>
            </w:r>
          </w:p>
        </w:tc>
        <w:tc>
          <w:tcPr>
            <w:tcW w:w="236" w:type="dxa"/>
            <w:tcBorders>
              <w:top w:val="nil"/>
              <w:left w:val="nil"/>
              <w:bottom w:val="nil"/>
              <w:right w:val="nil"/>
            </w:tcBorders>
            <w:shd w:val="clear" w:color="auto" w:fill="auto"/>
            <w:noWrap/>
            <w:vAlign w:val="bottom"/>
            <w:hideMark/>
          </w:tcPr>
          <w:p w14:paraId="24660D91" w14:textId="77777777" w:rsidR="00BB0672" w:rsidRPr="00BB0672" w:rsidRDefault="00BB0672" w:rsidP="00BB0672">
            <w:pPr>
              <w:jc w:val="right"/>
              <w:rPr>
                <w:rFonts w:cs="Arial"/>
                <w:color w:val="000000"/>
                <w:sz w:val="20"/>
                <w:szCs w:val="20"/>
                <w:lang w:eastAsia="en-GB"/>
              </w:rPr>
            </w:pPr>
          </w:p>
        </w:tc>
        <w:tc>
          <w:tcPr>
            <w:tcW w:w="5536" w:type="dxa"/>
            <w:tcBorders>
              <w:top w:val="nil"/>
              <w:left w:val="nil"/>
              <w:bottom w:val="nil"/>
              <w:right w:val="nil"/>
            </w:tcBorders>
            <w:shd w:val="clear" w:color="auto" w:fill="auto"/>
            <w:noWrap/>
            <w:vAlign w:val="bottom"/>
            <w:hideMark/>
          </w:tcPr>
          <w:p w14:paraId="7A233C94" w14:textId="77777777" w:rsidR="00BB0672" w:rsidRPr="00BB0672" w:rsidRDefault="00BB0672" w:rsidP="00BB0672">
            <w:pPr>
              <w:ind w:firstLineChars="100" w:firstLine="200"/>
              <w:rPr>
                <w:rFonts w:cs="Arial"/>
                <w:color w:val="000000"/>
                <w:sz w:val="20"/>
                <w:szCs w:val="20"/>
                <w:lang w:eastAsia="en-GB"/>
              </w:rPr>
            </w:pPr>
            <w:r w:rsidRPr="00BB0672">
              <w:rPr>
                <w:rFonts w:cs="Arial"/>
                <w:color w:val="000000"/>
                <w:sz w:val="20"/>
                <w:szCs w:val="20"/>
                <w:lang w:eastAsia="en-GB"/>
              </w:rPr>
              <w:t>Interest Receivable</w:t>
            </w:r>
          </w:p>
        </w:tc>
        <w:tc>
          <w:tcPr>
            <w:tcW w:w="996" w:type="dxa"/>
            <w:tcBorders>
              <w:top w:val="nil"/>
              <w:left w:val="nil"/>
              <w:bottom w:val="nil"/>
              <w:right w:val="nil"/>
            </w:tcBorders>
            <w:shd w:val="clear" w:color="auto" w:fill="auto"/>
            <w:noWrap/>
            <w:vAlign w:val="bottom"/>
            <w:hideMark/>
          </w:tcPr>
          <w:p w14:paraId="34D7EFDB" w14:textId="77777777" w:rsidR="00BB0672" w:rsidRPr="00BB0672" w:rsidRDefault="00BB0672" w:rsidP="00BB0672">
            <w:pPr>
              <w:ind w:firstLineChars="100" w:firstLine="200"/>
              <w:rPr>
                <w:rFonts w:cs="Arial"/>
                <w:color w:val="000000"/>
                <w:sz w:val="20"/>
                <w:szCs w:val="20"/>
                <w:lang w:eastAsia="en-GB"/>
              </w:rPr>
            </w:pPr>
          </w:p>
        </w:tc>
        <w:tc>
          <w:tcPr>
            <w:tcW w:w="976" w:type="dxa"/>
            <w:tcBorders>
              <w:top w:val="nil"/>
              <w:left w:val="nil"/>
              <w:bottom w:val="nil"/>
              <w:right w:val="nil"/>
            </w:tcBorders>
            <w:shd w:val="clear" w:color="auto" w:fill="auto"/>
            <w:noWrap/>
            <w:vAlign w:val="bottom"/>
            <w:hideMark/>
          </w:tcPr>
          <w:p w14:paraId="5B196239"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 xml:space="preserve"> (217)</w:t>
            </w:r>
          </w:p>
        </w:tc>
        <w:tc>
          <w:tcPr>
            <w:tcW w:w="328" w:type="dxa"/>
            <w:tcBorders>
              <w:top w:val="nil"/>
              <w:left w:val="nil"/>
              <w:bottom w:val="nil"/>
              <w:right w:val="single" w:sz="4" w:space="0" w:color="auto"/>
            </w:tcBorders>
            <w:shd w:val="clear" w:color="auto" w:fill="auto"/>
            <w:noWrap/>
            <w:vAlign w:val="bottom"/>
            <w:hideMark/>
          </w:tcPr>
          <w:p w14:paraId="77DA115A"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098E5CAF" w14:textId="77777777" w:rsidTr="00BB0672">
        <w:trPr>
          <w:trHeight w:val="888"/>
        </w:trPr>
        <w:tc>
          <w:tcPr>
            <w:tcW w:w="228" w:type="dxa"/>
            <w:tcBorders>
              <w:top w:val="nil"/>
              <w:left w:val="single" w:sz="4" w:space="0" w:color="auto"/>
              <w:bottom w:val="nil"/>
              <w:right w:val="nil"/>
            </w:tcBorders>
            <w:shd w:val="clear" w:color="auto" w:fill="auto"/>
            <w:noWrap/>
            <w:hideMark/>
          </w:tcPr>
          <w:p w14:paraId="2668976E"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single" w:sz="4" w:space="0" w:color="auto"/>
              <w:left w:val="nil"/>
              <w:bottom w:val="nil"/>
              <w:right w:val="nil"/>
            </w:tcBorders>
            <w:shd w:val="clear" w:color="auto" w:fill="auto"/>
            <w:noWrap/>
            <w:hideMark/>
          </w:tcPr>
          <w:p w14:paraId="1586171A" w14:textId="77777777"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 xml:space="preserve"> (167)</w:t>
            </w:r>
          </w:p>
        </w:tc>
        <w:tc>
          <w:tcPr>
            <w:tcW w:w="236" w:type="dxa"/>
            <w:tcBorders>
              <w:top w:val="nil"/>
              <w:left w:val="nil"/>
              <w:bottom w:val="nil"/>
              <w:right w:val="nil"/>
            </w:tcBorders>
            <w:shd w:val="clear" w:color="auto" w:fill="auto"/>
            <w:noWrap/>
            <w:hideMark/>
          </w:tcPr>
          <w:p w14:paraId="54310681" w14:textId="77777777" w:rsidR="00BB0672" w:rsidRPr="00BB0672" w:rsidRDefault="00BB0672" w:rsidP="00BB0672">
            <w:pPr>
              <w:jc w:val="right"/>
              <w:rPr>
                <w:rFonts w:cs="Arial"/>
                <w:b/>
                <w:bCs/>
                <w:color w:val="000000"/>
                <w:sz w:val="20"/>
                <w:szCs w:val="20"/>
                <w:lang w:eastAsia="en-GB"/>
              </w:rPr>
            </w:pPr>
          </w:p>
        </w:tc>
        <w:tc>
          <w:tcPr>
            <w:tcW w:w="5536" w:type="dxa"/>
            <w:tcBorders>
              <w:top w:val="nil"/>
              <w:left w:val="nil"/>
              <w:bottom w:val="nil"/>
              <w:right w:val="nil"/>
            </w:tcBorders>
            <w:shd w:val="clear" w:color="auto" w:fill="auto"/>
            <w:hideMark/>
          </w:tcPr>
          <w:p w14:paraId="77D35655" w14:textId="77777777" w:rsidR="00BB0672" w:rsidRPr="00BB0672" w:rsidRDefault="00BB0672" w:rsidP="00BB0672">
            <w:pPr>
              <w:rPr>
                <w:rFonts w:cs="Arial"/>
                <w:b/>
                <w:bCs/>
                <w:color w:val="000000"/>
                <w:sz w:val="20"/>
                <w:szCs w:val="20"/>
                <w:lang w:eastAsia="en-GB"/>
              </w:rPr>
            </w:pPr>
            <w:r w:rsidRPr="00BB0672">
              <w:rPr>
                <w:rFonts w:cs="Arial"/>
                <w:b/>
                <w:bCs/>
                <w:color w:val="000000"/>
                <w:sz w:val="20"/>
                <w:szCs w:val="20"/>
                <w:lang w:eastAsia="en-GB"/>
              </w:rPr>
              <w:t>Adjustment for items included in the net surplus/deficit on provision of services that are investing and financing activities</w:t>
            </w:r>
          </w:p>
        </w:tc>
        <w:tc>
          <w:tcPr>
            <w:tcW w:w="996" w:type="dxa"/>
            <w:tcBorders>
              <w:top w:val="nil"/>
              <w:left w:val="nil"/>
              <w:bottom w:val="nil"/>
              <w:right w:val="nil"/>
            </w:tcBorders>
            <w:shd w:val="clear" w:color="auto" w:fill="auto"/>
            <w:hideMark/>
          </w:tcPr>
          <w:p w14:paraId="01A3E20F" w14:textId="77777777" w:rsidR="00BB0672" w:rsidRPr="00BB0672" w:rsidRDefault="00BB0672" w:rsidP="00BB0672">
            <w:pPr>
              <w:rPr>
                <w:rFonts w:cs="Arial"/>
                <w:b/>
                <w:bCs/>
                <w:color w:val="000000"/>
                <w:sz w:val="20"/>
                <w:szCs w:val="20"/>
                <w:lang w:eastAsia="en-GB"/>
              </w:rPr>
            </w:pPr>
          </w:p>
        </w:tc>
        <w:tc>
          <w:tcPr>
            <w:tcW w:w="976" w:type="dxa"/>
            <w:tcBorders>
              <w:top w:val="single" w:sz="4" w:space="0" w:color="auto"/>
              <w:left w:val="nil"/>
              <w:bottom w:val="nil"/>
              <w:right w:val="nil"/>
            </w:tcBorders>
            <w:shd w:val="clear" w:color="auto" w:fill="auto"/>
            <w:noWrap/>
            <w:hideMark/>
          </w:tcPr>
          <w:p w14:paraId="07241193" w14:textId="77777777"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 xml:space="preserve"> (423)</w:t>
            </w:r>
          </w:p>
        </w:tc>
        <w:tc>
          <w:tcPr>
            <w:tcW w:w="328" w:type="dxa"/>
            <w:tcBorders>
              <w:top w:val="nil"/>
              <w:left w:val="nil"/>
              <w:bottom w:val="nil"/>
              <w:right w:val="single" w:sz="4" w:space="0" w:color="auto"/>
            </w:tcBorders>
            <w:shd w:val="clear" w:color="auto" w:fill="auto"/>
            <w:noWrap/>
            <w:hideMark/>
          </w:tcPr>
          <w:p w14:paraId="0DC2E9C1"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58C008D8"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35864CF3"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single" w:sz="4" w:space="0" w:color="auto"/>
              <w:left w:val="nil"/>
              <w:bottom w:val="single" w:sz="4" w:space="0" w:color="auto"/>
              <w:right w:val="nil"/>
            </w:tcBorders>
            <w:shd w:val="clear" w:color="auto" w:fill="auto"/>
            <w:noWrap/>
            <w:vAlign w:val="bottom"/>
            <w:hideMark/>
          </w:tcPr>
          <w:p w14:paraId="7C42DE47" w14:textId="77777777"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1,180</w:t>
            </w:r>
          </w:p>
        </w:tc>
        <w:tc>
          <w:tcPr>
            <w:tcW w:w="236" w:type="dxa"/>
            <w:tcBorders>
              <w:top w:val="nil"/>
              <w:left w:val="nil"/>
              <w:bottom w:val="nil"/>
              <w:right w:val="nil"/>
            </w:tcBorders>
            <w:shd w:val="clear" w:color="auto" w:fill="auto"/>
            <w:noWrap/>
            <w:vAlign w:val="bottom"/>
            <w:hideMark/>
          </w:tcPr>
          <w:p w14:paraId="2C5643C7" w14:textId="77777777" w:rsidR="00BB0672" w:rsidRPr="00BB0672" w:rsidRDefault="00BB0672" w:rsidP="00BB0672">
            <w:pPr>
              <w:jc w:val="right"/>
              <w:rPr>
                <w:rFonts w:cs="Arial"/>
                <w:b/>
                <w:bCs/>
                <w:color w:val="000000"/>
                <w:sz w:val="20"/>
                <w:szCs w:val="20"/>
                <w:lang w:eastAsia="en-GB"/>
              </w:rPr>
            </w:pPr>
          </w:p>
        </w:tc>
        <w:tc>
          <w:tcPr>
            <w:tcW w:w="5536" w:type="dxa"/>
            <w:tcBorders>
              <w:top w:val="nil"/>
              <w:left w:val="nil"/>
              <w:bottom w:val="nil"/>
              <w:right w:val="nil"/>
            </w:tcBorders>
            <w:shd w:val="clear" w:color="auto" w:fill="auto"/>
            <w:noWrap/>
            <w:vAlign w:val="bottom"/>
            <w:hideMark/>
          </w:tcPr>
          <w:p w14:paraId="0472F80C" w14:textId="77777777" w:rsidR="00BB0672" w:rsidRPr="00BB0672" w:rsidRDefault="00BB0672" w:rsidP="00BB0672">
            <w:pPr>
              <w:rPr>
                <w:rFonts w:cs="Arial"/>
                <w:b/>
                <w:bCs/>
                <w:color w:val="000000"/>
                <w:sz w:val="20"/>
                <w:szCs w:val="20"/>
                <w:lang w:eastAsia="en-GB"/>
              </w:rPr>
            </w:pPr>
            <w:r w:rsidRPr="00BB0672">
              <w:rPr>
                <w:rFonts w:cs="Arial"/>
                <w:b/>
                <w:bCs/>
                <w:color w:val="000000"/>
                <w:sz w:val="20"/>
                <w:szCs w:val="20"/>
                <w:lang w:eastAsia="en-GB"/>
              </w:rPr>
              <w:t>Total Adjustments</w:t>
            </w:r>
          </w:p>
        </w:tc>
        <w:tc>
          <w:tcPr>
            <w:tcW w:w="996" w:type="dxa"/>
            <w:tcBorders>
              <w:top w:val="nil"/>
              <w:left w:val="nil"/>
              <w:bottom w:val="nil"/>
              <w:right w:val="nil"/>
            </w:tcBorders>
            <w:shd w:val="clear" w:color="auto" w:fill="auto"/>
            <w:noWrap/>
            <w:vAlign w:val="bottom"/>
            <w:hideMark/>
          </w:tcPr>
          <w:p w14:paraId="49A2942A" w14:textId="77777777" w:rsidR="00BB0672" w:rsidRPr="00BB0672" w:rsidRDefault="00BB0672" w:rsidP="00BB0672">
            <w:pPr>
              <w:rPr>
                <w:rFonts w:cs="Arial"/>
                <w:b/>
                <w:bCs/>
                <w:color w:val="000000"/>
                <w:sz w:val="20"/>
                <w:szCs w:val="20"/>
                <w:lang w:eastAsia="en-GB"/>
              </w:rPr>
            </w:pPr>
          </w:p>
        </w:tc>
        <w:tc>
          <w:tcPr>
            <w:tcW w:w="976" w:type="dxa"/>
            <w:tcBorders>
              <w:top w:val="single" w:sz="4" w:space="0" w:color="auto"/>
              <w:left w:val="nil"/>
              <w:bottom w:val="single" w:sz="4" w:space="0" w:color="auto"/>
              <w:right w:val="nil"/>
            </w:tcBorders>
            <w:shd w:val="clear" w:color="auto" w:fill="auto"/>
            <w:noWrap/>
            <w:vAlign w:val="bottom"/>
            <w:hideMark/>
          </w:tcPr>
          <w:p w14:paraId="7D1AE4BF" w14:textId="709B217F"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8</w:t>
            </w:r>
            <w:r w:rsidR="001B5FDF">
              <w:rPr>
                <w:rFonts w:cs="Arial"/>
                <w:b/>
                <w:bCs/>
                <w:color w:val="000000"/>
                <w:sz w:val="20"/>
                <w:szCs w:val="20"/>
                <w:lang w:eastAsia="en-GB"/>
              </w:rPr>
              <w:t>3</w:t>
            </w:r>
            <w:r w:rsidR="00EC0312">
              <w:rPr>
                <w:rFonts w:cs="Arial"/>
                <w:b/>
                <w:bCs/>
                <w:color w:val="000000"/>
                <w:sz w:val="20"/>
                <w:szCs w:val="20"/>
                <w:lang w:eastAsia="en-GB"/>
              </w:rPr>
              <w:t>3</w:t>
            </w:r>
          </w:p>
        </w:tc>
        <w:tc>
          <w:tcPr>
            <w:tcW w:w="328" w:type="dxa"/>
            <w:tcBorders>
              <w:top w:val="nil"/>
              <w:left w:val="nil"/>
              <w:bottom w:val="nil"/>
              <w:right w:val="single" w:sz="4" w:space="0" w:color="auto"/>
            </w:tcBorders>
            <w:shd w:val="clear" w:color="auto" w:fill="auto"/>
            <w:noWrap/>
            <w:vAlign w:val="bottom"/>
            <w:hideMark/>
          </w:tcPr>
          <w:p w14:paraId="0BC67D42"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1C28569B"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5A202554"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single" w:sz="4" w:space="0" w:color="auto"/>
              <w:right w:val="nil"/>
            </w:tcBorders>
            <w:shd w:val="clear" w:color="auto" w:fill="auto"/>
            <w:noWrap/>
            <w:vAlign w:val="bottom"/>
            <w:hideMark/>
          </w:tcPr>
          <w:p w14:paraId="1E44DFB5" w14:textId="77777777"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 xml:space="preserve"> (1,279)</w:t>
            </w:r>
          </w:p>
        </w:tc>
        <w:tc>
          <w:tcPr>
            <w:tcW w:w="236" w:type="dxa"/>
            <w:tcBorders>
              <w:top w:val="nil"/>
              <w:left w:val="nil"/>
              <w:bottom w:val="nil"/>
              <w:right w:val="nil"/>
            </w:tcBorders>
            <w:shd w:val="clear" w:color="auto" w:fill="auto"/>
            <w:noWrap/>
            <w:vAlign w:val="bottom"/>
            <w:hideMark/>
          </w:tcPr>
          <w:p w14:paraId="5346F493" w14:textId="77777777" w:rsidR="00BB0672" w:rsidRPr="00BB0672" w:rsidRDefault="00BB0672" w:rsidP="00BB0672">
            <w:pPr>
              <w:jc w:val="right"/>
              <w:rPr>
                <w:rFonts w:cs="Arial"/>
                <w:b/>
                <w:bCs/>
                <w:color w:val="000000"/>
                <w:sz w:val="20"/>
                <w:szCs w:val="20"/>
                <w:lang w:eastAsia="en-GB"/>
              </w:rPr>
            </w:pPr>
          </w:p>
        </w:tc>
        <w:tc>
          <w:tcPr>
            <w:tcW w:w="5536" w:type="dxa"/>
            <w:tcBorders>
              <w:top w:val="nil"/>
              <w:left w:val="nil"/>
              <w:bottom w:val="nil"/>
              <w:right w:val="nil"/>
            </w:tcBorders>
            <w:shd w:val="clear" w:color="auto" w:fill="auto"/>
            <w:noWrap/>
            <w:vAlign w:val="bottom"/>
            <w:hideMark/>
          </w:tcPr>
          <w:p w14:paraId="642192BA" w14:textId="77777777" w:rsidR="00BB0672" w:rsidRPr="00BB0672" w:rsidRDefault="00BB0672" w:rsidP="00BB0672">
            <w:pPr>
              <w:rPr>
                <w:rFonts w:cs="Arial"/>
                <w:b/>
                <w:bCs/>
                <w:color w:val="000000"/>
                <w:sz w:val="20"/>
                <w:szCs w:val="20"/>
                <w:lang w:eastAsia="en-GB"/>
              </w:rPr>
            </w:pPr>
            <w:r w:rsidRPr="00BB0672">
              <w:rPr>
                <w:rFonts w:cs="Arial"/>
                <w:b/>
                <w:bCs/>
                <w:color w:val="000000"/>
                <w:sz w:val="20"/>
                <w:szCs w:val="20"/>
                <w:lang w:eastAsia="en-GB"/>
              </w:rPr>
              <w:t>Net cash flows from Operating Activities</w:t>
            </w:r>
          </w:p>
        </w:tc>
        <w:tc>
          <w:tcPr>
            <w:tcW w:w="996" w:type="dxa"/>
            <w:tcBorders>
              <w:top w:val="nil"/>
              <w:left w:val="nil"/>
              <w:bottom w:val="nil"/>
              <w:right w:val="nil"/>
            </w:tcBorders>
            <w:shd w:val="clear" w:color="auto" w:fill="auto"/>
            <w:noWrap/>
            <w:vAlign w:val="bottom"/>
            <w:hideMark/>
          </w:tcPr>
          <w:p w14:paraId="7706D5EA" w14:textId="77777777" w:rsidR="00BB0672" w:rsidRPr="00BB0672" w:rsidRDefault="00BB0672" w:rsidP="00BB0672">
            <w:pPr>
              <w:rPr>
                <w:rFonts w:cs="Arial"/>
                <w:b/>
                <w:bCs/>
                <w:color w:val="000000"/>
                <w:sz w:val="20"/>
                <w:szCs w:val="20"/>
                <w:lang w:eastAsia="en-GB"/>
              </w:rPr>
            </w:pPr>
          </w:p>
        </w:tc>
        <w:tc>
          <w:tcPr>
            <w:tcW w:w="976" w:type="dxa"/>
            <w:tcBorders>
              <w:top w:val="nil"/>
              <w:left w:val="nil"/>
              <w:bottom w:val="single" w:sz="4" w:space="0" w:color="auto"/>
              <w:right w:val="nil"/>
            </w:tcBorders>
            <w:shd w:val="clear" w:color="auto" w:fill="auto"/>
            <w:noWrap/>
            <w:vAlign w:val="bottom"/>
            <w:hideMark/>
          </w:tcPr>
          <w:p w14:paraId="5C4964DF" w14:textId="440001FC"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3</w:t>
            </w:r>
            <w:r w:rsidR="00EC0312">
              <w:rPr>
                <w:rFonts w:cs="Arial"/>
                <w:b/>
                <w:bCs/>
                <w:color w:val="000000"/>
                <w:sz w:val="20"/>
                <w:szCs w:val="20"/>
                <w:lang w:eastAsia="en-GB"/>
              </w:rPr>
              <w:t>3</w:t>
            </w:r>
          </w:p>
        </w:tc>
        <w:tc>
          <w:tcPr>
            <w:tcW w:w="328" w:type="dxa"/>
            <w:tcBorders>
              <w:top w:val="nil"/>
              <w:left w:val="nil"/>
              <w:bottom w:val="nil"/>
              <w:right w:val="single" w:sz="4" w:space="0" w:color="auto"/>
            </w:tcBorders>
            <w:shd w:val="clear" w:color="auto" w:fill="auto"/>
            <w:noWrap/>
            <w:vAlign w:val="bottom"/>
            <w:hideMark/>
          </w:tcPr>
          <w:p w14:paraId="06AFAA63"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1A28C217"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528F4C74"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nil"/>
              <w:right w:val="nil"/>
            </w:tcBorders>
            <w:shd w:val="clear" w:color="auto" w:fill="auto"/>
            <w:noWrap/>
            <w:vAlign w:val="bottom"/>
            <w:hideMark/>
          </w:tcPr>
          <w:p w14:paraId="5E74D74E"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 xml:space="preserve"> (1,899)</w:t>
            </w:r>
          </w:p>
        </w:tc>
        <w:tc>
          <w:tcPr>
            <w:tcW w:w="236" w:type="dxa"/>
            <w:tcBorders>
              <w:top w:val="nil"/>
              <w:left w:val="nil"/>
              <w:bottom w:val="nil"/>
              <w:right w:val="nil"/>
            </w:tcBorders>
            <w:shd w:val="clear" w:color="auto" w:fill="auto"/>
            <w:noWrap/>
            <w:vAlign w:val="bottom"/>
            <w:hideMark/>
          </w:tcPr>
          <w:p w14:paraId="4374AB05" w14:textId="77777777" w:rsidR="00BB0672" w:rsidRPr="00BB0672" w:rsidRDefault="00BB0672" w:rsidP="00BB0672">
            <w:pPr>
              <w:jc w:val="right"/>
              <w:rPr>
                <w:rFonts w:cs="Arial"/>
                <w:color w:val="000000"/>
                <w:sz w:val="20"/>
                <w:szCs w:val="20"/>
                <w:lang w:eastAsia="en-GB"/>
              </w:rPr>
            </w:pPr>
          </w:p>
        </w:tc>
        <w:tc>
          <w:tcPr>
            <w:tcW w:w="6532" w:type="dxa"/>
            <w:gridSpan w:val="2"/>
            <w:tcBorders>
              <w:top w:val="nil"/>
              <w:left w:val="nil"/>
              <w:bottom w:val="nil"/>
              <w:right w:val="nil"/>
            </w:tcBorders>
            <w:shd w:val="clear" w:color="auto" w:fill="auto"/>
            <w:noWrap/>
            <w:vAlign w:val="bottom"/>
            <w:hideMark/>
          </w:tcPr>
          <w:p w14:paraId="6DD1B6EE" w14:textId="77777777" w:rsidR="00BB0672" w:rsidRPr="00BB0672" w:rsidRDefault="00BB0672" w:rsidP="00BB0672">
            <w:pPr>
              <w:ind w:firstLineChars="100" w:firstLine="200"/>
              <w:rPr>
                <w:rFonts w:cs="Arial"/>
                <w:color w:val="000000"/>
                <w:sz w:val="20"/>
                <w:szCs w:val="20"/>
                <w:lang w:eastAsia="en-GB"/>
              </w:rPr>
            </w:pPr>
            <w:r w:rsidRPr="00BB0672">
              <w:rPr>
                <w:rFonts w:cs="Arial"/>
                <w:color w:val="000000"/>
                <w:sz w:val="20"/>
                <w:szCs w:val="20"/>
                <w:lang w:eastAsia="en-GB"/>
              </w:rPr>
              <w:t>(Purchase) of property, plant &amp; equipment &amp; investment properties</w:t>
            </w:r>
          </w:p>
        </w:tc>
        <w:tc>
          <w:tcPr>
            <w:tcW w:w="976" w:type="dxa"/>
            <w:tcBorders>
              <w:top w:val="nil"/>
              <w:left w:val="nil"/>
              <w:bottom w:val="nil"/>
              <w:right w:val="nil"/>
            </w:tcBorders>
            <w:shd w:val="clear" w:color="auto" w:fill="auto"/>
            <w:noWrap/>
            <w:vAlign w:val="bottom"/>
            <w:hideMark/>
          </w:tcPr>
          <w:p w14:paraId="2163B9AE"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 xml:space="preserve"> (845)</w:t>
            </w:r>
          </w:p>
        </w:tc>
        <w:tc>
          <w:tcPr>
            <w:tcW w:w="328" w:type="dxa"/>
            <w:tcBorders>
              <w:top w:val="nil"/>
              <w:left w:val="nil"/>
              <w:bottom w:val="nil"/>
              <w:right w:val="single" w:sz="4" w:space="0" w:color="auto"/>
            </w:tcBorders>
            <w:shd w:val="clear" w:color="auto" w:fill="auto"/>
            <w:noWrap/>
            <w:vAlign w:val="bottom"/>
            <w:hideMark/>
          </w:tcPr>
          <w:p w14:paraId="09D70D60"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74B839CF"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28AAB842"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nil"/>
              <w:right w:val="nil"/>
            </w:tcBorders>
            <w:shd w:val="clear" w:color="auto" w:fill="auto"/>
            <w:noWrap/>
            <w:vAlign w:val="bottom"/>
            <w:hideMark/>
          </w:tcPr>
          <w:p w14:paraId="386B95E4"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93</w:t>
            </w:r>
          </w:p>
        </w:tc>
        <w:tc>
          <w:tcPr>
            <w:tcW w:w="236" w:type="dxa"/>
            <w:tcBorders>
              <w:top w:val="nil"/>
              <w:left w:val="nil"/>
              <w:bottom w:val="nil"/>
              <w:right w:val="nil"/>
            </w:tcBorders>
            <w:shd w:val="clear" w:color="auto" w:fill="auto"/>
            <w:noWrap/>
            <w:vAlign w:val="bottom"/>
            <w:hideMark/>
          </w:tcPr>
          <w:p w14:paraId="12622479" w14:textId="77777777" w:rsidR="00BB0672" w:rsidRPr="00BB0672" w:rsidRDefault="00BB0672" w:rsidP="00BB0672">
            <w:pPr>
              <w:jc w:val="right"/>
              <w:rPr>
                <w:rFonts w:cs="Arial"/>
                <w:color w:val="000000"/>
                <w:sz w:val="20"/>
                <w:szCs w:val="20"/>
                <w:lang w:eastAsia="en-GB"/>
              </w:rPr>
            </w:pPr>
          </w:p>
        </w:tc>
        <w:tc>
          <w:tcPr>
            <w:tcW w:w="5536" w:type="dxa"/>
            <w:tcBorders>
              <w:top w:val="nil"/>
              <w:left w:val="nil"/>
              <w:bottom w:val="nil"/>
              <w:right w:val="nil"/>
            </w:tcBorders>
            <w:shd w:val="clear" w:color="auto" w:fill="auto"/>
            <w:noWrap/>
            <w:vAlign w:val="bottom"/>
            <w:hideMark/>
          </w:tcPr>
          <w:p w14:paraId="5A1DE4DC" w14:textId="77777777" w:rsidR="00BB0672" w:rsidRPr="00BB0672" w:rsidRDefault="00BB0672" w:rsidP="00BB0672">
            <w:pPr>
              <w:ind w:firstLineChars="100" w:firstLine="200"/>
              <w:rPr>
                <w:rFonts w:cs="Arial"/>
                <w:color w:val="000000"/>
                <w:sz w:val="20"/>
                <w:szCs w:val="20"/>
                <w:lang w:eastAsia="en-GB"/>
              </w:rPr>
            </w:pPr>
            <w:r w:rsidRPr="00BB0672">
              <w:rPr>
                <w:rFonts w:cs="Arial"/>
                <w:color w:val="000000"/>
                <w:sz w:val="20"/>
                <w:szCs w:val="20"/>
                <w:lang w:eastAsia="en-GB"/>
              </w:rPr>
              <w:t>Net (Purchase)/Sale of short and long term investments</w:t>
            </w:r>
          </w:p>
        </w:tc>
        <w:tc>
          <w:tcPr>
            <w:tcW w:w="996" w:type="dxa"/>
            <w:tcBorders>
              <w:top w:val="nil"/>
              <w:left w:val="nil"/>
              <w:bottom w:val="nil"/>
              <w:right w:val="nil"/>
            </w:tcBorders>
            <w:shd w:val="clear" w:color="auto" w:fill="auto"/>
            <w:noWrap/>
            <w:vAlign w:val="bottom"/>
            <w:hideMark/>
          </w:tcPr>
          <w:p w14:paraId="47E1C0E3" w14:textId="77777777" w:rsidR="00BB0672" w:rsidRPr="00BB0672" w:rsidRDefault="00BB0672" w:rsidP="00BB0672">
            <w:pPr>
              <w:ind w:firstLineChars="100" w:firstLine="200"/>
              <w:rPr>
                <w:rFonts w:cs="Arial"/>
                <w:color w:val="000000"/>
                <w:sz w:val="20"/>
                <w:szCs w:val="20"/>
                <w:lang w:eastAsia="en-GB"/>
              </w:rPr>
            </w:pPr>
          </w:p>
        </w:tc>
        <w:tc>
          <w:tcPr>
            <w:tcW w:w="976" w:type="dxa"/>
            <w:tcBorders>
              <w:top w:val="nil"/>
              <w:left w:val="nil"/>
              <w:bottom w:val="nil"/>
              <w:right w:val="nil"/>
            </w:tcBorders>
            <w:shd w:val="clear" w:color="auto" w:fill="auto"/>
            <w:noWrap/>
            <w:vAlign w:val="bottom"/>
            <w:hideMark/>
          </w:tcPr>
          <w:p w14:paraId="3AB18CB2"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0</w:t>
            </w:r>
          </w:p>
        </w:tc>
        <w:tc>
          <w:tcPr>
            <w:tcW w:w="328" w:type="dxa"/>
            <w:tcBorders>
              <w:top w:val="nil"/>
              <w:left w:val="nil"/>
              <w:bottom w:val="nil"/>
              <w:right w:val="single" w:sz="4" w:space="0" w:color="auto"/>
            </w:tcBorders>
            <w:shd w:val="clear" w:color="auto" w:fill="auto"/>
            <w:noWrap/>
            <w:vAlign w:val="bottom"/>
            <w:hideMark/>
          </w:tcPr>
          <w:p w14:paraId="486F6666"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48034E8A" w14:textId="77777777" w:rsidTr="00BB0672">
        <w:trPr>
          <w:trHeight w:val="520"/>
        </w:trPr>
        <w:tc>
          <w:tcPr>
            <w:tcW w:w="228" w:type="dxa"/>
            <w:tcBorders>
              <w:top w:val="nil"/>
              <w:left w:val="single" w:sz="4" w:space="0" w:color="auto"/>
              <w:bottom w:val="nil"/>
              <w:right w:val="nil"/>
            </w:tcBorders>
            <w:shd w:val="clear" w:color="auto" w:fill="auto"/>
            <w:noWrap/>
            <w:vAlign w:val="bottom"/>
            <w:hideMark/>
          </w:tcPr>
          <w:p w14:paraId="5A8EA379"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nil"/>
              <w:right w:val="nil"/>
            </w:tcBorders>
            <w:shd w:val="clear" w:color="auto" w:fill="auto"/>
            <w:noWrap/>
            <w:vAlign w:val="bottom"/>
            <w:hideMark/>
          </w:tcPr>
          <w:p w14:paraId="2D223ABD"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1,476</w:t>
            </w:r>
          </w:p>
        </w:tc>
        <w:tc>
          <w:tcPr>
            <w:tcW w:w="236" w:type="dxa"/>
            <w:tcBorders>
              <w:top w:val="nil"/>
              <w:left w:val="nil"/>
              <w:bottom w:val="nil"/>
              <w:right w:val="nil"/>
            </w:tcBorders>
            <w:shd w:val="clear" w:color="auto" w:fill="auto"/>
            <w:noWrap/>
            <w:vAlign w:val="bottom"/>
            <w:hideMark/>
          </w:tcPr>
          <w:p w14:paraId="15344013" w14:textId="77777777" w:rsidR="00BB0672" w:rsidRPr="00BB0672" w:rsidRDefault="00BB0672" w:rsidP="00BB0672">
            <w:pPr>
              <w:jc w:val="right"/>
              <w:rPr>
                <w:rFonts w:cs="Arial"/>
                <w:color w:val="000000"/>
                <w:sz w:val="20"/>
                <w:szCs w:val="20"/>
                <w:lang w:eastAsia="en-GB"/>
              </w:rPr>
            </w:pPr>
          </w:p>
        </w:tc>
        <w:tc>
          <w:tcPr>
            <w:tcW w:w="5536" w:type="dxa"/>
            <w:tcBorders>
              <w:top w:val="nil"/>
              <w:left w:val="nil"/>
              <w:bottom w:val="nil"/>
              <w:right w:val="nil"/>
            </w:tcBorders>
            <w:shd w:val="clear" w:color="auto" w:fill="auto"/>
            <w:vAlign w:val="bottom"/>
            <w:hideMark/>
          </w:tcPr>
          <w:p w14:paraId="108AE376" w14:textId="6E64FAC1" w:rsidR="00BB0672" w:rsidRPr="00BB0672" w:rsidRDefault="00BB0672" w:rsidP="00BB0672">
            <w:pPr>
              <w:ind w:firstLineChars="100" w:firstLine="200"/>
              <w:rPr>
                <w:rFonts w:cs="Arial"/>
                <w:color w:val="000000"/>
                <w:sz w:val="20"/>
                <w:szCs w:val="20"/>
                <w:lang w:eastAsia="en-GB"/>
              </w:rPr>
            </w:pPr>
            <w:r w:rsidRPr="00BB0672">
              <w:rPr>
                <w:rFonts w:cs="Arial"/>
                <w:color w:val="000000"/>
                <w:sz w:val="20"/>
                <w:szCs w:val="20"/>
                <w:lang w:eastAsia="en-GB"/>
              </w:rPr>
              <w:t xml:space="preserve">Proceeds from the sale of property, plant &amp; equipment </w:t>
            </w:r>
            <w:r w:rsidR="003123F6">
              <w:rPr>
                <w:rFonts w:cs="Arial"/>
                <w:color w:val="000000"/>
                <w:sz w:val="20"/>
                <w:szCs w:val="20"/>
                <w:lang w:eastAsia="en-GB"/>
              </w:rPr>
              <w:t xml:space="preserve">   </w:t>
            </w:r>
            <w:r w:rsidRPr="00BB0672">
              <w:rPr>
                <w:rFonts w:cs="Arial"/>
                <w:color w:val="000000"/>
                <w:sz w:val="20"/>
                <w:szCs w:val="20"/>
                <w:lang w:eastAsia="en-GB"/>
              </w:rPr>
              <w:t>and Investment Property</w:t>
            </w:r>
          </w:p>
        </w:tc>
        <w:tc>
          <w:tcPr>
            <w:tcW w:w="996" w:type="dxa"/>
            <w:tcBorders>
              <w:top w:val="nil"/>
              <w:left w:val="nil"/>
              <w:bottom w:val="nil"/>
              <w:right w:val="nil"/>
            </w:tcBorders>
            <w:shd w:val="clear" w:color="auto" w:fill="auto"/>
            <w:noWrap/>
            <w:vAlign w:val="bottom"/>
            <w:hideMark/>
          </w:tcPr>
          <w:p w14:paraId="3B44CF14" w14:textId="77777777" w:rsidR="00BB0672" w:rsidRPr="00BB0672" w:rsidRDefault="00BB0672" w:rsidP="00BB0672">
            <w:pPr>
              <w:ind w:firstLineChars="100" w:firstLine="200"/>
              <w:rPr>
                <w:rFonts w:cs="Arial"/>
                <w:color w:val="000000"/>
                <w:sz w:val="20"/>
                <w:szCs w:val="20"/>
                <w:lang w:eastAsia="en-GB"/>
              </w:rPr>
            </w:pPr>
          </w:p>
        </w:tc>
        <w:tc>
          <w:tcPr>
            <w:tcW w:w="976" w:type="dxa"/>
            <w:tcBorders>
              <w:top w:val="nil"/>
              <w:left w:val="nil"/>
              <w:bottom w:val="nil"/>
              <w:right w:val="nil"/>
            </w:tcBorders>
            <w:shd w:val="clear" w:color="auto" w:fill="auto"/>
            <w:noWrap/>
            <w:vAlign w:val="bottom"/>
            <w:hideMark/>
          </w:tcPr>
          <w:p w14:paraId="59C9085B"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59</w:t>
            </w:r>
          </w:p>
        </w:tc>
        <w:tc>
          <w:tcPr>
            <w:tcW w:w="328" w:type="dxa"/>
            <w:tcBorders>
              <w:top w:val="nil"/>
              <w:left w:val="nil"/>
              <w:bottom w:val="nil"/>
              <w:right w:val="single" w:sz="4" w:space="0" w:color="auto"/>
            </w:tcBorders>
            <w:shd w:val="clear" w:color="auto" w:fill="auto"/>
            <w:noWrap/>
            <w:vAlign w:val="bottom"/>
            <w:hideMark/>
          </w:tcPr>
          <w:p w14:paraId="10527FF3"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5B9A6079"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41E8E5FD"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nil"/>
              <w:right w:val="nil"/>
            </w:tcBorders>
            <w:shd w:val="clear" w:color="auto" w:fill="auto"/>
            <w:noWrap/>
            <w:vAlign w:val="bottom"/>
            <w:hideMark/>
          </w:tcPr>
          <w:p w14:paraId="1ECBFD4B"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1,491</w:t>
            </w:r>
          </w:p>
        </w:tc>
        <w:tc>
          <w:tcPr>
            <w:tcW w:w="236" w:type="dxa"/>
            <w:tcBorders>
              <w:top w:val="nil"/>
              <w:left w:val="nil"/>
              <w:bottom w:val="nil"/>
              <w:right w:val="nil"/>
            </w:tcBorders>
            <w:shd w:val="clear" w:color="auto" w:fill="auto"/>
            <w:noWrap/>
            <w:vAlign w:val="bottom"/>
            <w:hideMark/>
          </w:tcPr>
          <w:p w14:paraId="12C0ECAF" w14:textId="77777777" w:rsidR="00BB0672" w:rsidRPr="00BB0672" w:rsidRDefault="00BB0672" w:rsidP="00BB0672">
            <w:pPr>
              <w:jc w:val="right"/>
              <w:rPr>
                <w:rFonts w:cs="Arial"/>
                <w:color w:val="000000"/>
                <w:sz w:val="20"/>
                <w:szCs w:val="20"/>
                <w:lang w:eastAsia="en-GB"/>
              </w:rPr>
            </w:pPr>
          </w:p>
        </w:tc>
        <w:tc>
          <w:tcPr>
            <w:tcW w:w="5536" w:type="dxa"/>
            <w:tcBorders>
              <w:top w:val="nil"/>
              <w:left w:val="nil"/>
              <w:bottom w:val="nil"/>
              <w:right w:val="nil"/>
            </w:tcBorders>
            <w:shd w:val="clear" w:color="auto" w:fill="auto"/>
            <w:noWrap/>
            <w:vAlign w:val="bottom"/>
            <w:hideMark/>
          </w:tcPr>
          <w:p w14:paraId="0E449F2A" w14:textId="77777777" w:rsidR="00BB0672" w:rsidRPr="00BB0672" w:rsidRDefault="00BB0672" w:rsidP="00BB0672">
            <w:pPr>
              <w:ind w:firstLineChars="100" w:firstLine="200"/>
              <w:rPr>
                <w:rFonts w:cs="Arial"/>
                <w:color w:val="000000"/>
                <w:sz w:val="20"/>
                <w:szCs w:val="20"/>
                <w:lang w:eastAsia="en-GB"/>
              </w:rPr>
            </w:pPr>
            <w:r w:rsidRPr="00BB0672">
              <w:rPr>
                <w:rFonts w:cs="Arial"/>
                <w:color w:val="000000"/>
                <w:sz w:val="20"/>
                <w:szCs w:val="20"/>
                <w:lang w:eastAsia="en-GB"/>
              </w:rPr>
              <w:t>Receipt of Capital Grants - Cash</w:t>
            </w:r>
          </w:p>
        </w:tc>
        <w:tc>
          <w:tcPr>
            <w:tcW w:w="996" w:type="dxa"/>
            <w:tcBorders>
              <w:top w:val="nil"/>
              <w:left w:val="nil"/>
              <w:bottom w:val="nil"/>
              <w:right w:val="nil"/>
            </w:tcBorders>
            <w:shd w:val="clear" w:color="auto" w:fill="auto"/>
            <w:noWrap/>
            <w:vAlign w:val="bottom"/>
            <w:hideMark/>
          </w:tcPr>
          <w:p w14:paraId="799ABA76" w14:textId="77777777" w:rsidR="00BB0672" w:rsidRPr="00BB0672" w:rsidRDefault="00BB0672" w:rsidP="00BB0672">
            <w:pPr>
              <w:ind w:firstLineChars="100" w:firstLine="200"/>
              <w:rPr>
                <w:rFonts w:cs="Arial"/>
                <w:color w:val="000000"/>
                <w:sz w:val="20"/>
                <w:szCs w:val="20"/>
                <w:lang w:eastAsia="en-GB"/>
              </w:rPr>
            </w:pPr>
          </w:p>
        </w:tc>
        <w:tc>
          <w:tcPr>
            <w:tcW w:w="976" w:type="dxa"/>
            <w:tcBorders>
              <w:top w:val="nil"/>
              <w:left w:val="nil"/>
              <w:bottom w:val="nil"/>
              <w:right w:val="nil"/>
            </w:tcBorders>
            <w:shd w:val="clear" w:color="auto" w:fill="auto"/>
            <w:noWrap/>
            <w:vAlign w:val="bottom"/>
            <w:hideMark/>
          </w:tcPr>
          <w:p w14:paraId="3FF04783"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593</w:t>
            </w:r>
          </w:p>
        </w:tc>
        <w:tc>
          <w:tcPr>
            <w:tcW w:w="328" w:type="dxa"/>
            <w:tcBorders>
              <w:top w:val="nil"/>
              <w:left w:val="nil"/>
              <w:bottom w:val="nil"/>
              <w:right w:val="single" w:sz="4" w:space="0" w:color="auto"/>
            </w:tcBorders>
            <w:shd w:val="clear" w:color="auto" w:fill="auto"/>
            <w:noWrap/>
            <w:vAlign w:val="bottom"/>
            <w:hideMark/>
          </w:tcPr>
          <w:p w14:paraId="7FF45629"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73BDC438"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4C73EC48"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nil"/>
              <w:right w:val="nil"/>
            </w:tcBorders>
            <w:shd w:val="clear" w:color="auto" w:fill="auto"/>
            <w:noWrap/>
            <w:vAlign w:val="bottom"/>
            <w:hideMark/>
          </w:tcPr>
          <w:p w14:paraId="163C5655"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102</w:t>
            </w:r>
          </w:p>
        </w:tc>
        <w:tc>
          <w:tcPr>
            <w:tcW w:w="236" w:type="dxa"/>
            <w:tcBorders>
              <w:top w:val="nil"/>
              <w:left w:val="nil"/>
              <w:bottom w:val="nil"/>
              <w:right w:val="nil"/>
            </w:tcBorders>
            <w:shd w:val="clear" w:color="auto" w:fill="auto"/>
            <w:noWrap/>
            <w:vAlign w:val="bottom"/>
            <w:hideMark/>
          </w:tcPr>
          <w:p w14:paraId="23C8BBFE" w14:textId="77777777" w:rsidR="00BB0672" w:rsidRPr="00BB0672" w:rsidRDefault="00BB0672" w:rsidP="00BB0672">
            <w:pPr>
              <w:jc w:val="right"/>
              <w:rPr>
                <w:rFonts w:cs="Arial"/>
                <w:color w:val="000000"/>
                <w:sz w:val="20"/>
                <w:szCs w:val="20"/>
                <w:lang w:eastAsia="en-GB"/>
              </w:rPr>
            </w:pPr>
          </w:p>
        </w:tc>
        <w:tc>
          <w:tcPr>
            <w:tcW w:w="5536" w:type="dxa"/>
            <w:tcBorders>
              <w:top w:val="nil"/>
              <w:left w:val="nil"/>
              <w:bottom w:val="nil"/>
              <w:right w:val="nil"/>
            </w:tcBorders>
            <w:shd w:val="clear" w:color="auto" w:fill="auto"/>
            <w:noWrap/>
            <w:vAlign w:val="bottom"/>
            <w:hideMark/>
          </w:tcPr>
          <w:p w14:paraId="66E0D331" w14:textId="77777777" w:rsidR="00BB0672" w:rsidRPr="00BB0672" w:rsidRDefault="00BB0672" w:rsidP="00BB0672">
            <w:pPr>
              <w:ind w:firstLineChars="100" w:firstLine="200"/>
              <w:rPr>
                <w:rFonts w:cs="Arial"/>
                <w:color w:val="000000"/>
                <w:sz w:val="20"/>
                <w:szCs w:val="20"/>
                <w:lang w:eastAsia="en-GB"/>
              </w:rPr>
            </w:pPr>
            <w:r w:rsidRPr="00BB0672">
              <w:rPr>
                <w:rFonts w:cs="Arial"/>
                <w:color w:val="000000"/>
                <w:sz w:val="20"/>
                <w:szCs w:val="20"/>
                <w:lang w:eastAsia="en-GB"/>
              </w:rPr>
              <w:t>Interest Received</w:t>
            </w:r>
          </w:p>
        </w:tc>
        <w:tc>
          <w:tcPr>
            <w:tcW w:w="996" w:type="dxa"/>
            <w:tcBorders>
              <w:top w:val="nil"/>
              <w:left w:val="nil"/>
              <w:bottom w:val="nil"/>
              <w:right w:val="nil"/>
            </w:tcBorders>
            <w:shd w:val="clear" w:color="auto" w:fill="auto"/>
            <w:noWrap/>
            <w:vAlign w:val="bottom"/>
            <w:hideMark/>
          </w:tcPr>
          <w:p w14:paraId="5A12E96C" w14:textId="77777777" w:rsidR="00BB0672" w:rsidRPr="00BB0672" w:rsidRDefault="00BB0672" w:rsidP="00BB0672">
            <w:pPr>
              <w:ind w:firstLineChars="100" w:firstLine="200"/>
              <w:rPr>
                <w:rFonts w:cs="Arial"/>
                <w:color w:val="000000"/>
                <w:sz w:val="20"/>
                <w:szCs w:val="20"/>
                <w:lang w:eastAsia="en-GB"/>
              </w:rPr>
            </w:pPr>
          </w:p>
        </w:tc>
        <w:tc>
          <w:tcPr>
            <w:tcW w:w="976" w:type="dxa"/>
            <w:tcBorders>
              <w:top w:val="nil"/>
              <w:left w:val="nil"/>
              <w:bottom w:val="nil"/>
              <w:right w:val="nil"/>
            </w:tcBorders>
            <w:shd w:val="clear" w:color="auto" w:fill="auto"/>
            <w:noWrap/>
            <w:vAlign w:val="bottom"/>
            <w:hideMark/>
          </w:tcPr>
          <w:p w14:paraId="2291C048"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217</w:t>
            </w:r>
          </w:p>
        </w:tc>
        <w:tc>
          <w:tcPr>
            <w:tcW w:w="328" w:type="dxa"/>
            <w:tcBorders>
              <w:top w:val="nil"/>
              <w:left w:val="nil"/>
              <w:bottom w:val="nil"/>
              <w:right w:val="single" w:sz="4" w:space="0" w:color="auto"/>
            </w:tcBorders>
            <w:shd w:val="clear" w:color="auto" w:fill="auto"/>
            <w:noWrap/>
            <w:vAlign w:val="bottom"/>
            <w:hideMark/>
          </w:tcPr>
          <w:p w14:paraId="4C8A6126"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73BCD625"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521D9B3E"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nil"/>
              <w:right w:val="nil"/>
            </w:tcBorders>
            <w:shd w:val="clear" w:color="auto" w:fill="auto"/>
            <w:noWrap/>
            <w:vAlign w:val="bottom"/>
            <w:hideMark/>
          </w:tcPr>
          <w:p w14:paraId="54D97FF3"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10</w:t>
            </w:r>
          </w:p>
        </w:tc>
        <w:tc>
          <w:tcPr>
            <w:tcW w:w="236" w:type="dxa"/>
            <w:tcBorders>
              <w:top w:val="nil"/>
              <w:left w:val="nil"/>
              <w:bottom w:val="nil"/>
              <w:right w:val="nil"/>
            </w:tcBorders>
            <w:shd w:val="clear" w:color="auto" w:fill="auto"/>
            <w:noWrap/>
            <w:vAlign w:val="bottom"/>
            <w:hideMark/>
          </w:tcPr>
          <w:p w14:paraId="370E72BB" w14:textId="77777777" w:rsidR="00BB0672" w:rsidRPr="00BB0672" w:rsidRDefault="00BB0672" w:rsidP="00BB0672">
            <w:pPr>
              <w:jc w:val="right"/>
              <w:rPr>
                <w:rFonts w:cs="Arial"/>
                <w:color w:val="000000"/>
                <w:sz w:val="20"/>
                <w:szCs w:val="20"/>
                <w:lang w:eastAsia="en-GB"/>
              </w:rPr>
            </w:pPr>
          </w:p>
        </w:tc>
        <w:tc>
          <w:tcPr>
            <w:tcW w:w="5536" w:type="dxa"/>
            <w:tcBorders>
              <w:top w:val="nil"/>
              <w:left w:val="nil"/>
              <w:bottom w:val="nil"/>
              <w:right w:val="nil"/>
            </w:tcBorders>
            <w:shd w:val="clear" w:color="auto" w:fill="auto"/>
            <w:noWrap/>
            <w:vAlign w:val="bottom"/>
            <w:hideMark/>
          </w:tcPr>
          <w:p w14:paraId="40544786" w14:textId="77777777" w:rsidR="00BB0672" w:rsidRPr="00BB0672" w:rsidRDefault="00BB0672" w:rsidP="00BB0672">
            <w:pPr>
              <w:ind w:firstLineChars="100" w:firstLine="200"/>
              <w:rPr>
                <w:rFonts w:cs="Arial"/>
                <w:color w:val="000000"/>
                <w:sz w:val="20"/>
                <w:szCs w:val="20"/>
                <w:lang w:eastAsia="en-GB"/>
              </w:rPr>
            </w:pPr>
            <w:r w:rsidRPr="00BB0672">
              <w:rPr>
                <w:rFonts w:cs="Arial"/>
                <w:color w:val="000000"/>
                <w:sz w:val="20"/>
                <w:szCs w:val="20"/>
                <w:lang w:eastAsia="en-GB"/>
              </w:rPr>
              <w:t>Other receipts from investing activities</w:t>
            </w:r>
          </w:p>
        </w:tc>
        <w:tc>
          <w:tcPr>
            <w:tcW w:w="996" w:type="dxa"/>
            <w:tcBorders>
              <w:top w:val="nil"/>
              <w:left w:val="nil"/>
              <w:bottom w:val="nil"/>
              <w:right w:val="nil"/>
            </w:tcBorders>
            <w:shd w:val="clear" w:color="auto" w:fill="auto"/>
            <w:noWrap/>
            <w:vAlign w:val="bottom"/>
            <w:hideMark/>
          </w:tcPr>
          <w:p w14:paraId="7C48C67A" w14:textId="77777777" w:rsidR="00BB0672" w:rsidRPr="00BB0672" w:rsidRDefault="00BB0672" w:rsidP="00BB0672">
            <w:pPr>
              <w:ind w:firstLineChars="100" w:firstLine="200"/>
              <w:rPr>
                <w:rFonts w:cs="Arial"/>
                <w:color w:val="000000"/>
                <w:sz w:val="20"/>
                <w:szCs w:val="20"/>
                <w:lang w:eastAsia="en-GB"/>
              </w:rPr>
            </w:pPr>
          </w:p>
        </w:tc>
        <w:tc>
          <w:tcPr>
            <w:tcW w:w="976" w:type="dxa"/>
            <w:tcBorders>
              <w:top w:val="nil"/>
              <w:left w:val="nil"/>
              <w:bottom w:val="nil"/>
              <w:right w:val="nil"/>
            </w:tcBorders>
            <w:shd w:val="clear" w:color="auto" w:fill="auto"/>
            <w:noWrap/>
            <w:vAlign w:val="bottom"/>
            <w:hideMark/>
          </w:tcPr>
          <w:p w14:paraId="0EF33E9E" w14:textId="4683EFF2" w:rsidR="00BB0672" w:rsidRPr="00BB0672" w:rsidRDefault="001B5FDF" w:rsidP="00BB0672">
            <w:pPr>
              <w:jc w:val="right"/>
              <w:rPr>
                <w:rFonts w:cs="Arial"/>
                <w:color w:val="000000"/>
                <w:sz w:val="20"/>
                <w:szCs w:val="20"/>
                <w:lang w:eastAsia="en-GB"/>
              </w:rPr>
            </w:pPr>
            <w:r>
              <w:rPr>
                <w:rFonts w:cs="Arial"/>
                <w:color w:val="000000"/>
                <w:sz w:val="20"/>
                <w:szCs w:val="20"/>
                <w:lang w:eastAsia="en-GB"/>
              </w:rPr>
              <w:t>0</w:t>
            </w:r>
          </w:p>
        </w:tc>
        <w:tc>
          <w:tcPr>
            <w:tcW w:w="328" w:type="dxa"/>
            <w:tcBorders>
              <w:top w:val="nil"/>
              <w:left w:val="nil"/>
              <w:bottom w:val="nil"/>
              <w:right w:val="single" w:sz="4" w:space="0" w:color="auto"/>
            </w:tcBorders>
            <w:shd w:val="clear" w:color="auto" w:fill="auto"/>
            <w:noWrap/>
            <w:vAlign w:val="bottom"/>
            <w:hideMark/>
          </w:tcPr>
          <w:p w14:paraId="24B5F676"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1EE2AD30"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2E703C02"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single" w:sz="4" w:space="0" w:color="auto"/>
              <w:left w:val="nil"/>
              <w:bottom w:val="nil"/>
              <w:right w:val="nil"/>
            </w:tcBorders>
            <w:shd w:val="clear" w:color="auto" w:fill="auto"/>
            <w:noWrap/>
            <w:vAlign w:val="bottom"/>
            <w:hideMark/>
          </w:tcPr>
          <w:p w14:paraId="22BAE83A" w14:textId="77777777"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1,273</w:t>
            </w:r>
          </w:p>
        </w:tc>
        <w:tc>
          <w:tcPr>
            <w:tcW w:w="236" w:type="dxa"/>
            <w:tcBorders>
              <w:top w:val="nil"/>
              <w:left w:val="nil"/>
              <w:bottom w:val="nil"/>
              <w:right w:val="nil"/>
            </w:tcBorders>
            <w:shd w:val="clear" w:color="auto" w:fill="auto"/>
            <w:noWrap/>
            <w:vAlign w:val="bottom"/>
            <w:hideMark/>
          </w:tcPr>
          <w:p w14:paraId="776BC831" w14:textId="77777777" w:rsidR="00BB0672" w:rsidRPr="00BB0672" w:rsidRDefault="00BB0672" w:rsidP="00BB0672">
            <w:pPr>
              <w:jc w:val="right"/>
              <w:rPr>
                <w:rFonts w:cs="Arial"/>
                <w:b/>
                <w:bCs/>
                <w:color w:val="000000"/>
                <w:sz w:val="20"/>
                <w:szCs w:val="20"/>
                <w:lang w:eastAsia="en-GB"/>
              </w:rPr>
            </w:pPr>
          </w:p>
        </w:tc>
        <w:tc>
          <w:tcPr>
            <w:tcW w:w="5536" w:type="dxa"/>
            <w:tcBorders>
              <w:top w:val="nil"/>
              <w:left w:val="nil"/>
              <w:bottom w:val="nil"/>
              <w:right w:val="nil"/>
            </w:tcBorders>
            <w:shd w:val="clear" w:color="auto" w:fill="auto"/>
            <w:noWrap/>
            <w:vAlign w:val="bottom"/>
            <w:hideMark/>
          </w:tcPr>
          <w:p w14:paraId="7CEBF8CE" w14:textId="77777777" w:rsidR="00BB0672" w:rsidRPr="00BB0672" w:rsidRDefault="00BB0672" w:rsidP="00BB0672">
            <w:pPr>
              <w:rPr>
                <w:rFonts w:cs="Arial"/>
                <w:b/>
                <w:bCs/>
                <w:color w:val="000000"/>
                <w:sz w:val="20"/>
                <w:szCs w:val="20"/>
                <w:lang w:eastAsia="en-GB"/>
              </w:rPr>
            </w:pPr>
            <w:r w:rsidRPr="00BB0672">
              <w:rPr>
                <w:rFonts w:cs="Arial"/>
                <w:b/>
                <w:bCs/>
                <w:color w:val="000000"/>
                <w:sz w:val="20"/>
                <w:szCs w:val="20"/>
                <w:lang w:eastAsia="en-GB"/>
              </w:rPr>
              <w:t>Investing Activities</w:t>
            </w:r>
          </w:p>
        </w:tc>
        <w:tc>
          <w:tcPr>
            <w:tcW w:w="996" w:type="dxa"/>
            <w:tcBorders>
              <w:top w:val="nil"/>
              <w:left w:val="nil"/>
              <w:bottom w:val="nil"/>
              <w:right w:val="nil"/>
            </w:tcBorders>
            <w:shd w:val="clear" w:color="auto" w:fill="auto"/>
            <w:noWrap/>
            <w:vAlign w:val="bottom"/>
            <w:hideMark/>
          </w:tcPr>
          <w:p w14:paraId="03B50488" w14:textId="77777777" w:rsidR="00BB0672" w:rsidRPr="00BB0672" w:rsidRDefault="00BB0672" w:rsidP="00BB0672">
            <w:pPr>
              <w:rPr>
                <w:rFonts w:cs="Arial"/>
                <w:b/>
                <w:bCs/>
                <w:color w:val="000000"/>
                <w:sz w:val="20"/>
                <w:szCs w:val="20"/>
                <w:lang w:eastAsia="en-GB"/>
              </w:rPr>
            </w:pPr>
          </w:p>
        </w:tc>
        <w:tc>
          <w:tcPr>
            <w:tcW w:w="976" w:type="dxa"/>
            <w:tcBorders>
              <w:top w:val="single" w:sz="4" w:space="0" w:color="auto"/>
              <w:left w:val="nil"/>
              <w:bottom w:val="nil"/>
              <w:right w:val="nil"/>
            </w:tcBorders>
            <w:shd w:val="clear" w:color="auto" w:fill="auto"/>
            <w:noWrap/>
            <w:vAlign w:val="bottom"/>
            <w:hideMark/>
          </w:tcPr>
          <w:p w14:paraId="527B751A" w14:textId="5AE33E99"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2</w:t>
            </w:r>
            <w:r w:rsidR="001B5FDF">
              <w:rPr>
                <w:rFonts w:cs="Arial"/>
                <w:b/>
                <w:bCs/>
                <w:color w:val="000000"/>
                <w:sz w:val="20"/>
                <w:szCs w:val="20"/>
                <w:lang w:eastAsia="en-GB"/>
              </w:rPr>
              <w:t>4</w:t>
            </w:r>
          </w:p>
        </w:tc>
        <w:tc>
          <w:tcPr>
            <w:tcW w:w="328" w:type="dxa"/>
            <w:tcBorders>
              <w:top w:val="nil"/>
              <w:left w:val="nil"/>
              <w:bottom w:val="nil"/>
              <w:right w:val="single" w:sz="4" w:space="0" w:color="auto"/>
            </w:tcBorders>
            <w:shd w:val="clear" w:color="auto" w:fill="auto"/>
            <w:noWrap/>
            <w:vAlign w:val="bottom"/>
            <w:hideMark/>
          </w:tcPr>
          <w:p w14:paraId="654839EA"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36E254E4"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791AC27B"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nil"/>
              <w:right w:val="nil"/>
            </w:tcBorders>
            <w:shd w:val="clear" w:color="auto" w:fill="auto"/>
            <w:noWrap/>
            <w:vAlign w:val="bottom"/>
            <w:hideMark/>
          </w:tcPr>
          <w:p w14:paraId="12A3E3CB"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84</w:t>
            </w:r>
          </w:p>
        </w:tc>
        <w:tc>
          <w:tcPr>
            <w:tcW w:w="236" w:type="dxa"/>
            <w:tcBorders>
              <w:top w:val="nil"/>
              <w:left w:val="nil"/>
              <w:bottom w:val="nil"/>
              <w:right w:val="nil"/>
            </w:tcBorders>
            <w:shd w:val="clear" w:color="auto" w:fill="auto"/>
            <w:noWrap/>
            <w:vAlign w:val="bottom"/>
            <w:hideMark/>
          </w:tcPr>
          <w:p w14:paraId="3466A702" w14:textId="77777777" w:rsidR="00BB0672" w:rsidRPr="00BB0672" w:rsidRDefault="00BB0672" w:rsidP="00BB0672">
            <w:pPr>
              <w:jc w:val="right"/>
              <w:rPr>
                <w:rFonts w:cs="Arial"/>
                <w:color w:val="000000"/>
                <w:sz w:val="20"/>
                <w:szCs w:val="20"/>
                <w:lang w:eastAsia="en-GB"/>
              </w:rPr>
            </w:pPr>
          </w:p>
        </w:tc>
        <w:tc>
          <w:tcPr>
            <w:tcW w:w="6532" w:type="dxa"/>
            <w:gridSpan w:val="2"/>
            <w:tcBorders>
              <w:top w:val="nil"/>
              <w:left w:val="nil"/>
              <w:bottom w:val="nil"/>
              <w:right w:val="nil"/>
            </w:tcBorders>
            <w:shd w:val="clear" w:color="auto" w:fill="auto"/>
            <w:noWrap/>
            <w:vAlign w:val="bottom"/>
            <w:hideMark/>
          </w:tcPr>
          <w:p w14:paraId="6121BD68" w14:textId="77777777" w:rsidR="00BB0672" w:rsidRPr="00BB0672" w:rsidRDefault="00BB0672" w:rsidP="00BB0672">
            <w:pPr>
              <w:ind w:firstLineChars="100" w:firstLine="200"/>
              <w:rPr>
                <w:rFonts w:cs="Arial"/>
                <w:color w:val="000000"/>
                <w:sz w:val="20"/>
                <w:szCs w:val="20"/>
                <w:lang w:eastAsia="en-GB"/>
              </w:rPr>
            </w:pPr>
            <w:r w:rsidRPr="00BB0672">
              <w:rPr>
                <w:rFonts w:cs="Arial"/>
                <w:color w:val="000000"/>
                <w:sz w:val="20"/>
                <w:szCs w:val="20"/>
                <w:lang w:eastAsia="en-GB"/>
              </w:rPr>
              <w:t>Creditors relating to purchase of Property Plant and Equipment</w:t>
            </w:r>
          </w:p>
        </w:tc>
        <w:tc>
          <w:tcPr>
            <w:tcW w:w="976" w:type="dxa"/>
            <w:tcBorders>
              <w:top w:val="nil"/>
              <w:left w:val="nil"/>
              <w:bottom w:val="nil"/>
              <w:right w:val="nil"/>
            </w:tcBorders>
            <w:shd w:val="clear" w:color="auto" w:fill="auto"/>
            <w:noWrap/>
            <w:vAlign w:val="bottom"/>
            <w:hideMark/>
          </w:tcPr>
          <w:p w14:paraId="666C3C22"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 xml:space="preserve"> (170)</w:t>
            </w:r>
          </w:p>
        </w:tc>
        <w:tc>
          <w:tcPr>
            <w:tcW w:w="328" w:type="dxa"/>
            <w:tcBorders>
              <w:top w:val="nil"/>
              <w:left w:val="nil"/>
              <w:bottom w:val="nil"/>
              <w:right w:val="single" w:sz="4" w:space="0" w:color="auto"/>
            </w:tcBorders>
            <w:shd w:val="clear" w:color="auto" w:fill="auto"/>
            <w:noWrap/>
            <w:vAlign w:val="bottom"/>
            <w:hideMark/>
          </w:tcPr>
          <w:p w14:paraId="614BE022"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56D31DF6"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23DF6ED2"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nil"/>
              <w:left w:val="nil"/>
              <w:bottom w:val="nil"/>
              <w:right w:val="nil"/>
            </w:tcBorders>
            <w:shd w:val="clear" w:color="auto" w:fill="auto"/>
            <w:noWrap/>
            <w:vAlign w:val="bottom"/>
            <w:hideMark/>
          </w:tcPr>
          <w:p w14:paraId="4DAB2669"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0</w:t>
            </w:r>
          </w:p>
        </w:tc>
        <w:tc>
          <w:tcPr>
            <w:tcW w:w="236" w:type="dxa"/>
            <w:tcBorders>
              <w:top w:val="nil"/>
              <w:left w:val="nil"/>
              <w:bottom w:val="nil"/>
              <w:right w:val="nil"/>
            </w:tcBorders>
            <w:shd w:val="clear" w:color="auto" w:fill="auto"/>
            <w:noWrap/>
            <w:vAlign w:val="bottom"/>
            <w:hideMark/>
          </w:tcPr>
          <w:p w14:paraId="39ED65DC" w14:textId="77777777" w:rsidR="00BB0672" w:rsidRPr="00BB0672" w:rsidRDefault="00BB0672" w:rsidP="00BB0672">
            <w:pPr>
              <w:jc w:val="right"/>
              <w:rPr>
                <w:rFonts w:cs="Arial"/>
                <w:color w:val="000000"/>
                <w:sz w:val="20"/>
                <w:szCs w:val="20"/>
                <w:lang w:eastAsia="en-GB"/>
              </w:rPr>
            </w:pPr>
          </w:p>
        </w:tc>
        <w:tc>
          <w:tcPr>
            <w:tcW w:w="5536" w:type="dxa"/>
            <w:tcBorders>
              <w:top w:val="nil"/>
              <w:left w:val="nil"/>
              <w:bottom w:val="nil"/>
              <w:right w:val="nil"/>
            </w:tcBorders>
            <w:shd w:val="clear" w:color="auto" w:fill="auto"/>
            <w:noWrap/>
            <w:vAlign w:val="bottom"/>
            <w:hideMark/>
          </w:tcPr>
          <w:p w14:paraId="636968FC" w14:textId="77777777" w:rsidR="00BB0672" w:rsidRPr="00BB0672" w:rsidRDefault="00BB0672" w:rsidP="00BB0672">
            <w:pPr>
              <w:ind w:firstLineChars="100" w:firstLine="200"/>
              <w:rPr>
                <w:rFonts w:cs="Arial"/>
                <w:color w:val="000000"/>
                <w:sz w:val="20"/>
                <w:szCs w:val="20"/>
                <w:lang w:eastAsia="en-GB"/>
              </w:rPr>
            </w:pPr>
            <w:r w:rsidRPr="00BB0672">
              <w:rPr>
                <w:rFonts w:cs="Arial"/>
                <w:color w:val="000000"/>
                <w:sz w:val="20"/>
                <w:szCs w:val="20"/>
                <w:lang w:eastAsia="en-GB"/>
              </w:rPr>
              <w:t>Change in Borrowing</w:t>
            </w:r>
          </w:p>
        </w:tc>
        <w:tc>
          <w:tcPr>
            <w:tcW w:w="996" w:type="dxa"/>
            <w:tcBorders>
              <w:top w:val="nil"/>
              <w:left w:val="nil"/>
              <w:bottom w:val="nil"/>
              <w:right w:val="nil"/>
            </w:tcBorders>
            <w:shd w:val="clear" w:color="auto" w:fill="auto"/>
            <w:noWrap/>
            <w:vAlign w:val="bottom"/>
            <w:hideMark/>
          </w:tcPr>
          <w:p w14:paraId="5DED7100" w14:textId="77777777" w:rsidR="00BB0672" w:rsidRPr="00BB0672" w:rsidRDefault="00BB0672" w:rsidP="00BB0672">
            <w:pPr>
              <w:ind w:firstLineChars="100" w:firstLine="200"/>
              <w:rPr>
                <w:rFonts w:cs="Arial"/>
                <w:color w:val="000000"/>
                <w:sz w:val="20"/>
                <w:szCs w:val="20"/>
                <w:lang w:eastAsia="en-GB"/>
              </w:rPr>
            </w:pPr>
          </w:p>
        </w:tc>
        <w:tc>
          <w:tcPr>
            <w:tcW w:w="976" w:type="dxa"/>
            <w:tcBorders>
              <w:top w:val="nil"/>
              <w:left w:val="nil"/>
              <w:bottom w:val="nil"/>
              <w:right w:val="nil"/>
            </w:tcBorders>
            <w:shd w:val="clear" w:color="auto" w:fill="auto"/>
            <w:noWrap/>
            <w:vAlign w:val="bottom"/>
            <w:hideMark/>
          </w:tcPr>
          <w:p w14:paraId="7914E497" w14:textId="77777777" w:rsidR="00BB0672" w:rsidRPr="00BB0672" w:rsidRDefault="00BB0672" w:rsidP="00BB0672">
            <w:pPr>
              <w:jc w:val="right"/>
              <w:rPr>
                <w:rFonts w:cs="Arial"/>
                <w:color w:val="000000"/>
                <w:sz w:val="20"/>
                <w:szCs w:val="20"/>
                <w:lang w:eastAsia="en-GB"/>
              </w:rPr>
            </w:pPr>
            <w:r w:rsidRPr="00BB0672">
              <w:rPr>
                <w:rFonts w:cs="Arial"/>
                <w:color w:val="000000"/>
                <w:sz w:val="20"/>
                <w:szCs w:val="20"/>
                <w:lang w:eastAsia="en-GB"/>
              </w:rPr>
              <w:t>0</w:t>
            </w:r>
          </w:p>
        </w:tc>
        <w:tc>
          <w:tcPr>
            <w:tcW w:w="328" w:type="dxa"/>
            <w:tcBorders>
              <w:top w:val="nil"/>
              <w:left w:val="nil"/>
              <w:bottom w:val="nil"/>
              <w:right w:val="single" w:sz="4" w:space="0" w:color="auto"/>
            </w:tcBorders>
            <w:shd w:val="clear" w:color="auto" w:fill="auto"/>
            <w:noWrap/>
            <w:vAlign w:val="bottom"/>
            <w:hideMark/>
          </w:tcPr>
          <w:p w14:paraId="31925BA9"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4E5DE2BE"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7C314FB7"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single" w:sz="4" w:space="0" w:color="auto"/>
              <w:left w:val="nil"/>
              <w:bottom w:val="nil"/>
              <w:right w:val="nil"/>
            </w:tcBorders>
            <w:shd w:val="clear" w:color="auto" w:fill="auto"/>
            <w:noWrap/>
            <w:vAlign w:val="bottom"/>
            <w:hideMark/>
          </w:tcPr>
          <w:p w14:paraId="0ACC0829" w14:textId="77777777"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84</w:t>
            </w:r>
          </w:p>
        </w:tc>
        <w:tc>
          <w:tcPr>
            <w:tcW w:w="236" w:type="dxa"/>
            <w:tcBorders>
              <w:top w:val="nil"/>
              <w:left w:val="nil"/>
              <w:bottom w:val="nil"/>
              <w:right w:val="nil"/>
            </w:tcBorders>
            <w:shd w:val="clear" w:color="auto" w:fill="auto"/>
            <w:noWrap/>
            <w:vAlign w:val="bottom"/>
            <w:hideMark/>
          </w:tcPr>
          <w:p w14:paraId="5061B6EE" w14:textId="77777777" w:rsidR="00BB0672" w:rsidRPr="00BB0672" w:rsidRDefault="00BB0672" w:rsidP="00BB0672">
            <w:pPr>
              <w:jc w:val="right"/>
              <w:rPr>
                <w:rFonts w:cs="Arial"/>
                <w:b/>
                <w:bCs/>
                <w:color w:val="000000"/>
                <w:sz w:val="20"/>
                <w:szCs w:val="20"/>
                <w:lang w:eastAsia="en-GB"/>
              </w:rPr>
            </w:pPr>
          </w:p>
        </w:tc>
        <w:tc>
          <w:tcPr>
            <w:tcW w:w="5536" w:type="dxa"/>
            <w:tcBorders>
              <w:top w:val="nil"/>
              <w:left w:val="nil"/>
              <w:bottom w:val="nil"/>
              <w:right w:val="nil"/>
            </w:tcBorders>
            <w:shd w:val="clear" w:color="auto" w:fill="auto"/>
            <w:noWrap/>
            <w:vAlign w:val="bottom"/>
            <w:hideMark/>
          </w:tcPr>
          <w:p w14:paraId="4FB39E7A" w14:textId="77777777" w:rsidR="00BB0672" w:rsidRPr="00BB0672" w:rsidRDefault="00BB0672" w:rsidP="00BB0672">
            <w:pPr>
              <w:rPr>
                <w:rFonts w:cs="Arial"/>
                <w:b/>
                <w:bCs/>
                <w:color w:val="000000"/>
                <w:sz w:val="20"/>
                <w:szCs w:val="20"/>
                <w:lang w:eastAsia="en-GB"/>
              </w:rPr>
            </w:pPr>
            <w:r w:rsidRPr="00BB0672">
              <w:rPr>
                <w:rFonts w:cs="Arial"/>
                <w:b/>
                <w:bCs/>
                <w:color w:val="000000"/>
                <w:sz w:val="20"/>
                <w:szCs w:val="20"/>
                <w:lang w:eastAsia="en-GB"/>
              </w:rPr>
              <w:t>Financing Activities</w:t>
            </w:r>
          </w:p>
        </w:tc>
        <w:tc>
          <w:tcPr>
            <w:tcW w:w="996" w:type="dxa"/>
            <w:tcBorders>
              <w:top w:val="nil"/>
              <w:left w:val="nil"/>
              <w:bottom w:val="nil"/>
              <w:right w:val="nil"/>
            </w:tcBorders>
            <w:shd w:val="clear" w:color="auto" w:fill="auto"/>
            <w:noWrap/>
            <w:vAlign w:val="bottom"/>
            <w:hideMark/>
          </w:tcPr>
          <w:p w14:paraId="38D39C3E" w14:textId="77777777" w:rsidR="00BB0672" w:rsidRPr="00BB0672" w:rsidRDefault="00BB0672" w:rsidP="00BB0672">
            <w:pPr>
              <w:rPr>
                <w:rFonts w:cs="Arial"/>
                <w:b/>
                <w:bCs/>
                <w:color w:val="000000"/>
                <w:sz w:val="20"/>
                <w:szCs w:val="20"/>
                <w:lang w:eastAsia="en-GB"/>
              </w:rPr>
            </w:pPr>
          </w:p>
        </w:tc>
        <w:tc>
          <w:tcPr>
            <w:tcW w:w="976" w:type="dxa"/>
            <w:tcBorders>
              <w:top w:val="single" w:sz="4" w:space="0" w:color="auto"/>
              <w:left w:val="nil"/>
              <w:bottom w:val="nil"/>
              <w:right w:val="nil"/>
            </w:tcBorders>
            <w:shd w:val="clear" w:color="auto" w:fill="auto"/>
            <w:noWrap/>
            <w:vAlign w:val="bottom"/>
            <w:hideMark/>
          </w:tcPr>
          <w:p w14:paraId="291DBBE9" w14:textId="77777777"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 xml:space="preserve"> (170)</w:t>
            </w:r>
          </w:p>
        </w:tc>
        <w:tc>
          <w:tcPr>
            <w:tcW w:w="328" w:type="dxa"/>
            <w:tcBorders>
              <w:top w:val="nil"/>
              <w:left w:val="nil"/>
              <w:bottom w:val="nil"/>
              <w:right w:val="single" w:sz="4" w:space="0" w:color="auto"/>
            </w:tcBorders>
            <w:shd w:val="clear" w:color="auto" w:fill="auto"/>
            <w:noWrap/>
            <w:vAlign w:val="bottom"/>
            <w:hideMark/>
          </w:tcPr>
          <w:p w14:paraId="74BE94C3"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1B426AA0"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02D06E11"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single" w:sz="4" w:space="0" w:color="auto"/>
              <w:left w:val="nil"/>
              <w:bottom w:val="nil"/>
              <w:right w:val="nil"/>
            </w:tcBorders>
            <w:shd w:val="clear" w:color="auto" w:fill="auto"/>
            <w:noWrap/>
            <w:vAlign w:val="bottom"/>
            <w:hideMark/>
          </w:tcPr>
          <w:p w14:paraId="111B29E4" w14:textId="77777777"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78</w:t>
            </w:r>
          </w:p>
        </w:tc>
        <w:tc>
          <w:tcPr>
            <w:tcW w:w="5772" w:type="dxa"/>
            <w:gridSpan w:val="2"/>
            <w:tcBorders>
              <w:top w:val="nil"/>
              <w:left w:val="nil"/>
              <w:bottom w:val="nil"/>
              <w:right w:val="nil"/>
            </w:tcBorders>
            <w:shd w:val="clear" w:color="auto" w:fill="auto"/>
            <w:noWrap/>
            <w:vAlign w:val="bottom"/>
            <w:hideMark/>
          </w:tcPr>
          <w:p w14:paraId="5A22CDA5" w14:textId="77777777" w:rsidR="00BB0672" w:rsidRPr="00BB0672" w:rsidRDefault="00BB0672" w:rsidP="00BB0672">
            <w:pPr>
              <w:rPr>
                <w:rFonts w:cs="Arial"/>
                <w:b/>
                <w:bCs/>
                <w:color w:val="000000"/>
                <w:sz w:val="20"/>
                <w:szCs w:val="20"/>
                <w:lang w:eastAsia="en-GB"/>
              </w:rPr>
            </w:pPr>
            <w:r w:rsidRPr="00BB0672">
              <w:rPr>
                <w:rFonts w:cs="Arial"/>
                <w:b/>
                <w:bCs/>
                <w:color w:val="000000"/>
                <w:sz w:val="20"/>
                <w:szCs w:val="20"/>
                <w:lang w:eastAsia="en-GB"/>
              </w:rPr>
              <w:t>Net increase/(decrease) in cash and cash equivalents</w:t>
            </w:r>
          </w:p>
        </w:tc>
        <w:tc>
          <w:tcPr>
            <w:tcW w:w="996" w:type="dxa"/>
            <w:tcBorders>
              <w:top w:val="nil"/>
              <w:left w:val="nil"/>
              <w:bottom w:val="nil"/>
              <w:right w:val="nil"/>
            </w:tcBorders>
            <w:shd w:val="clear" w:color="auto" w:fill="auto"/>
            <w:noWrap/>
            <w:vAlign w:val="bottom"/>
            <w:hideMark/>
          </w:tcPr>
          <w:p w14:paraId="04381E2B" w14:textId="77777777" w:rsidR="00BB0672" w:rsidRPr="00BB0672" w:rsidRDefault="00BB0672" w:rsidP="00BB0672">
            <w:pPr>
              <w:rPr>
                <w:rFonts w:cs="Arial"/>
                <w:b/>
                <w:bCs/>
                <w:color w:val="000000"/>
                <w:sz w:val="20"/>
                <w:szCs w:val="20"/>
                <w:lang w:eastAsia="en-GB"/>
              </w:rPr>
            </w:pPr>
          </w:p>
        </w:tc>
        <w:tc>
          <w:tcPr>
            <w:tcW w:w="976" w:type="dxa"/>
            <w:tcBorders>
              <w:top w:val="single" w:sz="4" w:space="0" w:color="auto"/>
              <w:left w:val="nil"/>
              <w:bottom w:val="nil"/>
              <w:right w:val="nil"/>
            </w:tcBorders>
            <w:shd w:val="clear" w:color="auto" w:fill="auto"/>
            <w:noWrap/>
            <w:vAlign w:val="bottom"/>
            <w:hideMark/>
          </w:tcPr>
          <w:p w14:paraId="77EA0852" w14:textId="77777777"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 xml:space="preserve"> (113)</w:t>
            </w:r>
          </w:p>
        </w:tc>
        <w:tc>
          <w:tcPr>
            <w:tcW w:w="328" w:type="dxa"/>
            <w:tcBorders>
              <w:top w:val="nil"/>
              <w:left w:val="nil"/>
              <w:bottom w:val="nil"/>
              <w:right w:val="single" w:sz="4" w:space="0" w:color="auto"/>
            </w:tcBorders>
            <w:shd w:val="clear" w:color="auto" w:fill="auto"/>
            <w:noWrap/>
            <w:vAlign w:val="bottom"/>
            <w:hideMark/>
          </w:tcPr>
          <w:p w14:paraId="684E3489"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067E34B7" w14:textId="77777777" w:rsidTr="00BB0672">
        <w:trPr>
          <w:trHeight w:val="290"/>
        </w:trPr>
        <w:tc>
          <w:tcPr>
            <w:tcW w:w="228" w:type="dxa"/>
            <w:tcBorders>
              <w:top w:val="nil"/>
              <w:left w:val="single" w:sz="4" w:space="0" w:color="auto"/>
              <w:bottom w:val="nil"/>
              <w:right w:val="nil"/>
            </w:tcBorders>
            <w:shd w:val="clear" w:color="auto" w:fill="auto"/>
            <w:noWrap/>
            <w:vAlign w:val="bottom"/>
            <w:hideMark/>
          </w:tcPr>
          <w:p w14:paraId="5E014375"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single" w:sz="4" w:space="0" w:color="auto"/>
              <w:left w:val="nil"/>
              <w:bottom w:val="nil"/>
              <w:right w:val="nil"/>
            </w:tcBorders>
            <w:shd w:val="clear" w:color="auto" w:fill="auto"/>
            <w:noWrap/>
            <w:vAlign w:val="bottom"/>
            <w:hideMark/>
          </w:tcPr>
          <w:p w14:paraId="7185B658" w14:textId="77777777"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4,512</w:t>
            </w:r>
          </w:p>
        </w:tc>
        <w:tc>
          <w:tcPr>
            <w:tcW w:w="6768" w:type="dxa"/>
            <w:gridSpan w:val="3"/>
            <w:tcBorders>
              <w:top w:val="nil"/>
              <w:left w:val="nil"/>
              <w:bottom w:val="nil"/>
              <w:right w:val="nil"/>
            </w:tcBorders>
            <w:shd w:val="clear" w:color="auto" w:fill="auto"/>
            <w:noWrap/>
            <w:vAlign w:val="bottom"/>
            <w:hideMark/>
          </w:tcPr>
          <w:p w14:paraId="31B13BD1" w14:textId="77777777" w:rsidR="00BB0672" w:rsidRPr="00BB0672" w:rsidRDefault="00BB0672" w:rsidP="00BB0672">
            <w:pPr>
              <w:rPr>
                <w:rFonts w:cs="Arial"/>
                <w:b/>
                <w:bCs/>
                <w:color w:val="000000"/>
                <w:sz w:val="20"/>
                <w:szCs w:val="20"/>
                <w:lang w:eastAsia="en-GB"/>
              </w:rPr>
            </w:pPr>
            <w:r w:rsidRPr="00BB0672">
              <w:rPr>
                <w:rFonts w:cs="Arial"/>
                <w:b/>
                <w:bCs/>
                <w:color w:val="000000"/>
                <w:sz w:val="20"/>
                <w:szCs w:val="20"/>
                <w:lang w:eastAsia="en-GB"/>
              </w:rPr>
              <w:t>Cash and Cash equivalents at the beginning of the reporting period</w:t>
            </w:r>
          </w:p>
        </w:tc>
        <w:tc>
          <w:tcPr>
            <w:tcW w:w="976" w:type="dxa"/>
            <w:tcBorders>
              <w:top w:val="single" w:sz="4" w:space="0" w:color="auto"/>
              <w:left w:val="nil"/>
              <w:bottom w:val="nil"/>
              <w:right w:val="nil"/>
            </w:tcBorders>
            <w:shd w:val="clear" w:color="auto" w:fill="auto"/>
            <w:noWrap/>
            <w:vAlign w:val="bottom"/>
            <w:hideMark/>
          </w:tcPr>
          <w:p w14:paraId="77507F7D" w14:textId="77777777"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4,590</w:t>
            </w:r>
          </w:p>
        </w:tc>
        <w:tc>
          <w:tcPr>
            <w:tcW w:w="328" w:type="dxa"/>
            <w:tcBorders>
              <w:top w:val="nil"/>
              <w:left w:val="nil"/>
              <w:bottom w:val="nil"/>
              <w:right w:val="single" w:sz="4" w:space="0" w:color="auto"/>
            </w:tcBorders>
            <w:shd w:val="clear" w:color="auto" w:fill="auto"/>
            <w:noWrap/>
            <w:vAlign w:val="bottom"/>
            <w:hideMark/>
          </w:tcPr>
          <w:p w14:paraId="6637D1F3"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r w:rsidR="00BB0672" w:rsidRPr="00BB0672" w14:paraId="59FAB3F6" w14:textId="77777777" w:rsidTr="00BB0672">
        <w:trPr>
          <w:trHeight w:val="290"/>
        </w:trPr>
        <w:tc>
          <w:tcPr>
            <w:tcW w:w="228" w:type="dxa"/>
            <w:tcBorders>
              <w:top w:val="nil"/>
              <w:left w:val="single" w:sz="4" w:space="0" w:color="auto"/>
              <w:bottom w:val="single" w:sz="4" w:space="0" w:color="auto"/>
              <w:right w:val="nil"/>
            </w:tcBorders>
            <w:shd w:val="clear" w:color="auto" w:fill="auto"/>
            <w:noWrap/>
            <w:vAlign w:val="bottom"/>
            <w:hideMark/>
          </w:tcPr>
          <w:p w14:paraId="32B9175D"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c>
          <w:tcPr>
            <w:tcW w:w="1036" w:type="dxa"/>
            <w:tcBorders>
              <w:top w:val="single" w:sz="4" w:space="0" w:color="auto"/>
              <w:left w:val="nil"/>
              <w:bottom w:val="single" w:sz="4" w:space="0" w:color="auto"/>
              <w:right w:val="nil"/>
            </w:tcBorders>
            <w:shd w:val="clear" w:color="auto" w:fill="auto"/>
            <w:noWrap/>
            <w:vAlign w:val="bottom"/>
            <w:hideMark/>
          </w:tcPr>
          <w:p w14:paraId="01C21E2F" w14:textId="77777777"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4,590</w:t>
            </w:r>
          </w:p>
        </w:tc>
        <w:tc>
          <w:tcPr>
            <w:tcW w:w="6768" w:type="dxa"/>
            <w:gridSpan w:val="3"/>
            <w:tcBorders>
              <w:top w:val="nil"/>
              <w:left w:val="nil"/>
              <w:bottom w:val="single" w:sz="4" w:space="0" w:color="auto"/>
              <w:right w:val="nil"/>
            </w:tcBorders>
            <w:shd w:val="clear" w:color="auto" w:fill="auto"/>
            <w:noWrap/>
            <w:vAlign w:val="bottom"/>
            <w:hideMark/>
          </w:tcPr>
          <w:p w14:paraId="0F0CAAEC" w14:textId="77777777" w:rsidR="00BB0672" w:rsidRPr="00BB0672" w:rsidRDefault="00BB0672" w:rsidP="00BB0672">
            <w:pPr>
              <w:rPr>
                <w:rFonts w:cs="Arial"/>
                <w:b/>
                <w:bCs/>
                <w:color w:val="000000"/>
                <w:sz w:val="20"/>
                <w:szCs w:val="20"/>
                <w:lang w:eastAsia="en-GB"/>
              </w:rPr>
            </w:pPr>
            <w:r w:rsidRPr="00BB0672">
              <w:rPr>
                <w:rFonts w:cs="Arial"/>
                <w:b/>
                <w:bCs/>
                <w:color w:val="000000"/>
                <w:sz w:val="20"/>
                <w:szCs w:val="20"/>
                <w:lang w:eastAsia="en-GB"/>
              </w:rPr>
              <w:t>Cash and Cash equivalents at the end of the reporting period</w:t>
            </w:r>
          </w:p>
        </w:tc>
        <w:tc>
          <w:tcPr>
            <w:tcW w:w="976" w:type="dxa"/>
            <w:tcBorders>
              <w:top w:val="single" w:sz="4" w:space="0" w:color="auto"/>
              <w:left w:val="nil"/>
              <w:bottom w:val="single" w:sz="4" w:space="0" w:color="auto"/>
              <w:right w:val="nil"/>
            </w:tcBorders>
            <w:shd w:val="clear" w:color="auto" w:fill="auto"/>
            <w:noWrap/>
            <w:vAlign w:val="bottom"/>
            <w:hideMark/>
          </w:tcPr>
          <w:p w14:paraId="7405DBE7" w14:textId="77777777" w:rsidR="00BB0672" w:rsidRPr="00BB0672" w:rsidRDefault="00BB0672" w:rsidP="00BB0672">
            <w:pPr>
              <w:jc w:val="right"/>
              <w:rPr>
                <w:rFonts w:cs="Arial"/>
                <w:b/>
                <w:bCs/>
                <w:color w:val="000000"/>
                <w:sz w:val="20"/>
                <w:szCs w:val="20"/>
                <w:lang w:eastAsia="en-GB"/>
              </w:rPr>
            </w:pPr>
            <w:r w:rsidRPr="00BB0672">
              <w:rPr>
                <w:rFonts w:cs="Arial"/>
                <w:b/>
                <w:bCs/>
                <w:color w:val="000000"/>
                <w:sz w:val="20"/>
                <w:szCs w:val="20"/>
                <w:lang w:eastAsia="en-GB"/>
              </w:rPr>
              <w:t>4,477</w:t>
            </w:r>
          </w:p>
        </w:tc>
        <w:tc>
          <w:tcPr>
            <w:tcW w:w="328" w:type="dxa"/>
            <w:tcBorders>
              <w:top w:val="nil"/>
              <w:left w:val="nil"/>
              <w:bottom w:val="single" w:sz="4" w:space="0" w:color="auto"/>
              <w:right w:val="single" w:sz="4" w:space="0" w:color="auto"/>
            </w:tcBorders>
            <w:shd w:val="clear" w:color="auto" w:fill="auto"/>
            <w:noWrap/>
            <w:vAlign w:val="bottom"/>
            <w:hideMark/>
          </w:tcPr>
          <w:p w14:paraId="1FD2184B" w14:textId="77777777" w:rsidR="00BB0672" w:rsidRPr="00BB0672" w:rsidRDefault="00BB0672" w:rsidP="00BB0672">
            <w:pPr>
              <w:rPr>
                <w:rFonts w:cs="Arial"/>
                <w:color w:val="000000"/>
                <w:sz w:val="20"/>
                <w:szCs w:val="20"/>
                <w:lang w:eastAsia="en-GB"/>
              </w:rPr>
            </w:pPr>
            <w:r w:rsidRPr="00BB0672">
              <w:rPr>
                <w:rFonts w:cs="Arial"/>
                <w:color w:val="000000"/>
                <w:sz w:val="20"/>
                <w:szCs w:val="20"/>
                <w:lang w:eastAsia="en-GB"/>
              </w:rPr>
              <w:t> </w:t>
            </w:r>
          </w:p>
        </w:tc>
      </w:tr>
    </w:tbl>
    <w:p w14:paraId="22D67C41" w14:textId="77777777" w:rsidR="00BB0672" w:rsidRPr="00BB0672" w:rsidRDefault="00BB0672" w:rsidP="00BB0672"/>
    <w:p w14:paraId="485A45AD" w14:textId="18DFD98C" w:rsidR="00D44BEF" w:rsidRPr="00C17CCF" w:rsidRDefault="00D44BEF" w:rsidP="00F408E5">
      <w:pPr>
        <w:pStyle w:val="HEADING"/>
        <w:jc w:val="center"/>
      </w:pPr>
    </w:p>
    <w:p w14:paraId="72DFD258" w14:textId="77777777" w:rsidR="00737683" w:rsidRPr="00C17CCF" w:rsidRDefault="00737683" w:rsidP="00737683">
      <w:pPr>
        <w:ind w:left="360"/>
        <w:rPr>
          <w:rFonts w:cs="Arial"/>
        </w:rPr>
      </w:pPr>
      <w:r w:rsidRPr="00C17CCF">
        <w:rPr>
          <w:rFonts w:cs="Arial"/>
        </w:rPr>
        <w:t>The Cash Flow statement shows the changes in cash and cash equivalents during the reporting period. The statement shows how the Authority generates and uses cash and cash equivalents by classifying cash flows as; operating, investing and financing activities. The amount of net cash flows arising from operating activities is a key indicator of the extent to which the operations of the Authority are funded by way of taxation and grant income or from the recipients of services provided by the Authority. Investing activities represent the extent to which cash outflows have been made for resources which are intended to contribute to the Authority’s future service delivery. Cash flows arising from financing activities are useful in predicting claims on future cash flows by providers of capital, for example borrowing, to the Authority.</w:t>
      </w:r>
    </w:p>
    <w:p w14:paraId="485A45B0" w14:textId="77777777" w:rsidR="00B020A7" w:rsidRPr="004D5CA8" w:rsidRDefault="00B020A7" w:rsidP="00F408E5">
      <w:pPr>
        <w:pStyle w:val="HEADING"/>
        <w:jc w:val="center"/>
        <w:rPr>
          <w:highlight w:val="yellow"/>
        </w:rPr>
      </w:pPr>
    </w:p>
    <w:p w14:paraId="485A45B1" w14:textId="77777777" w:rsidR="00B020A7" w:rsidRDefault="00B020A7" w:rsidP="00F408E5">
      <w:pPr>
        <w:pStyle w:val="HEADING"/>
        <w:jc w:val="center"/>
        <w:rPr>
          <w:highlight w:val="yellow"/>
        </w:rPr>
      </w:pPr>
    </w:p>
    <w:p w14:paraId="2C24D161" w14:textId="77777777" w:rsidR="00BB0672" w:rsidRDefault="00BB0672" w:rsidP="00F408E5">
      <w:pPr>
        <w:pStyle w:val="HEADING"/>
        <w:jc w:val="center"/>
        <w:rPr>
          <w:highlight w:val="yellow"/>
        </w:rPr>
      </w:pPr>
    </w:p>
    <w:p w14:paraId="4AA7C3E9" w14:textId="77777777" w:rsidR="00BB0672" w:rsidRPr="004D5CA8" w:rsidRDefault="00BB0672" w:rsidP="00F408E5">
      <w:pPr>
        <w:pStyle w:val="HEADING"/>
        <w:jc w:val="center"/>
        <w:rPr>
          <w:highlight w:val="yellow"/>
        </w:rPr>
      </w:pPr>
    </w:p>
    <w:p w14:paraId="485A45B6" w14:textId="7EC2ADDB" w:rsidR="009367F6" w:rsidRDefault="009C5A0E" w:rsidP="0070459C">
      <w:pPr>
        <w:pStyle w:val="Heading1"/>
        <w:jc w:val="left"/>
      </w:pPr>
      <w:bookmarkStart w:id="155" w:name="_Toc167965792"/>
      <w:r>
        <w:lastRenderedPageBreak/>
        <w:t>Notes to the Core Financial Statements</w:t>
      </w:r>
      <w:bookmarkEnd w:id="155"/>
    </w:p>
    <w:p w14:paraId="1D816E71" w14:textId="77777777" w:rsidR="008339C5" w:rsidRDefault="008339C5" w:rsidP="0070459C"/>
    <w:p w14:paraId="51FA8ECF" w14:textId="135B205B" w:rsidR="008339C5" w:rsidRPr="00BB0672" w:rsidRDefault="008339C5" w:rsidP="0070459C">
      <w:pPr>
        <w:pStyle w:val="Heading2"/>
        <w:numPr>
          <w:ilvl w:val="0"/>
          <w:numId w:val="47"/>
        </w:numPr>
        <w:ind w:left="0" w:firstLine="0"/>
        <w:rPr>
          <w:rFonts w:ascii="Segoe UI" w:hAnsi="Segoe UI" w:cs="Segoe UI"/>
          <w:sz w:val="18"/>
          <w:szCs w:val="18"/>
          <w:lang w:eastAsia="en-GB"/>
        </w:rPr>
      </w:pPr>
      <w:bookmarkStart w:id="156" w:name="_Toc167965793"/>
      <w:r w:rsidRPr="00BB0672">
        <w:rPr>
          <w:lang w:eastAsia="en-GB"/>
        </w:rPr>
        <w:t>Statement of Significant Accounting Policies</w:t>
      </w:r>
      <w:bookmarkEnd w:id="156"/>
    </w:p>
    <w:p w14:paraId="144573EB" w14:textId="77777777" w:rsidR="008339C5" w:rsidRPr="009313CF" w:rsidRDefault="008339C5" w:rsidP="0070459C">
      <w:pPr>
        <w:textAlignment w:val="baseline"/>
        <w:rPr>
          <w:rFonts w:ascii="Segoe UI" w:hAnsi="Segoe UI" w:cs="Segoe UI"/>
          <w:sz w:val="18"/>
          <w:szCs w:val="18"/>
          <w:lang w:eastAsia="en-GB"/>
        </w:rPr>
      </w:pPr>
      <w:r w:rsidRPr="009313CF">
        <w:rPr>
          <w:rFonts w:cs="Arial"/>
          <w:sz w:val="28"/>
          <w:szCs w:val="28"/>
          <w:lang w:eastAsia="en-GB"/>
        </w:rPr>
        <w:t> </w:t>
      </w:r>
    </w:p>
    <w:p w14:paraId="56AD8EEE"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Introduction and General Principles</w:t>
      </w:r>
      <w:r w:rsidRPr="002B1644">
        <w:rPr>
          <w:rFonts w:cs="Arial"/>
          <w:lang w:eastAsia="en-GB"/>
        </w:rPr>
        <w:t> </w:t>
      </w:r>
    </w:p>
    <w:p w14:paraId="5B511A39" w14:textId="77777777" w:rsidR="00252A9E" w:rsidRPr="002B1644" w:rsidRDefault="00252A9E" w:rsidP="00252A9E">
      <w:pPr>
        <w:ind w:left="720"/>
        <w:textAlignment w:val="baseline"/>
        <w:rPr>
          <w:rFonts w:ascii="Segoe UI" w:hAnsi="Segoe UI" w:cs="Segoe UI"/>
          <w:lang w:eastAsia="en-GB"/>
        </w:rPr>
      </w:pPr>
      <w:r w:rsidRPr="002B1644">
        <w:rPr>
          <w:rFonts w:cs="Arial"/>
          <w:lang w:eastAsia="en-GB"/>
        </w:rPr>
        <w:t> </w:t>
      </w:r>
    </w:p>
    <w:p w14:paraId="5167EDC6" w14:textId="77777777" w:rsidR="00252A9E" w:rsidRPr="002B1644" w:rsidRDefault="00252A9E" w:rsidP="00252A9E">
      <w:pPr>
        <w:textAlignment w:val="baseline"/>
        <w:rPr>
          <w:rFonts w:ascii="Segoe UI" w:hAnsi="Segoe UI" w:cs="Segoe UI"/>
          <w:lang w:eastAsia="en-GB"/>
        </w:rPr>
      </w:pPr>
      <w:r w:rsidRPr="002B1644">
        <w:rPr>
          <w:rFonts w:cs="Arial"/>
          <w:lang w:eastAsia="en-GB"/>
        </w:rPr>
        <w:t>The Statement of Accounts summarises the Authority’s transactions for the 202</w:t>
      </w:r>
      <w:r>
        <w:rPr>
          <w:rFonts w:cs="Arial"/>
          <w:lang w:eastAsia="en-GB"/>
        </w:rPr>
        <w:t>3</w:t>
      </w:r>
      <w:r w:rsidRPr="002B1644">
        <w:rPr>
          <w:rFonts w:cs="Arial"/>
          <w:lang w:eastAsia="en-GB"/>
        </w:rPr>
        <w:t>/2</w:t>
      </w:r>
      <w:r>
        <w:rPr>
          <w:rFonts w:cs="Arial"/>
          <w:lang w:eastAsia="en-GB"/>
        </w:rPr>
        <w:t>4</w:t>
      </w:r>
      <w:r w:rsidRPr="002B1644">
        <w:rPr>
          <w:rFonts w:cs="Arial"/>
          <w:lang w:eastAsia="en-GB"/>
        </w:rPr>
        <w:t xml:space="preserve"> financial year and its position at the year-end of 31 March 202</w:t>
      </w:r>
      <w:r>
        <w:rPr>
          <w:rFonts w:cs="Arial"/>
          <w:lang w:eastAsia="en-GB"/>
        </w:rPr>
        <w:t>4</w:t>
      </w:r>
      <w:r w:rsidRPr="002B1644">
        <w:rPr>
          <w:rFonts w:cs="Arial"/>
          <w:lang w:eastAsia="en-GB"/>
        </w:rPr>
        <w:t xml:space="preserve">. The Authority is required to prepare an annual Statement of Accounts by the Accounts and Audit (England) Regulations 2015, which those regulations require to be prepared in accordance with proper accounting practices. These practices primarily comprise the </w:t>
      </w:r>
      <w:r w:rsidRPr="002B1644">
        <w:rPr>
          <w:rFonts w:cs="Arial"/>
          <w:i/>
          <w:iCs/>
          <w:lang w:eastAsia="en-GB"/>
        </w:rPr>
        <w:t>Code of Practice on Local Authority Accounting in the United Kingdom 202</w:t>
      </w:r>
      <w:r>
        <w:rPr>
          <w:rFonts w:cs="Arial"/>
          <w:i/>
          <w:iCs/>
          <w:lang w:eastAsia="en-GB"/>
        </w:rPr>
        <w:t>3</w:t>
      </w:r>
      <w:r w:rsidRPr="002B1644">
        <w:rPr>
          <w:rFonts w:cs="Arial"/>
          <w:i/>
          <w:iCs/>
          <w:lang w:eastAsia="en-GB"/>
        </w:rPr>
        <w:t>/2</w:t>
      </w:r>
      <w:r>
        <w:rPr>
          <w:rFonts w:cs="Arial"/>
          <w:i/>
          <w:iCs/>
          <w:lang w:eastAsia="en-GB"/>
        </w:rPr>
        <w:t>4</w:t>
      </w:r>
      <w:r w:rsidRPr="002B1644">
        <w:rPr>
          <w:rFonts w:cs="Arial"/>
          <w:i/>
          <w:iCs/>
          <w:lang w:eastAsia="en-GB"/>
        </w:rPr>
        <w:t xml:space="preserve"> and the Service Reporting Code of Practice 202</w:t>
      </w:r>
      <w:r>
        <w:rPr>
          <w:rFonts w:cs="Arial"/>
          <w:i/>
          <w:iCs/>
          <w:lang w:eastAsia="en-GB"/>
        </w:rPr>
        <w:t>3</w:t>
      </w:r>
      <w:r w:rsidRPr="002B1644">
        <w:rPr>
          <w:rFonts w:cs="Arial"/>
          <w:i/>
          <w:iCs/>
          <w:lang w:eastAsia="en-GB"/>
        </w:rPr>
        <w:t>/2</w:t>
      </w:r>
      <w:r>
        <w:rPr>
          <w:rFonts w:cs="Arial"/>
          <w:i/>
          <w:iCs/>
          <w:lang w:eastAsia="en-GB"/>
        </w:rPr>
        <w:t>4</w:t>
      </w:r>
      <w:r w:rsidRPr="002B1644">
        <w:rPr>
          <w:rFonts w:cs="Arial"/>
          <w:i/>
          <w:iCs/>
          <w:lang w:eastAsia="en-GB"/>
        </w:rPr>
        <w:t>, supported by International Financial Reporting Standards (IFRS)</w:t>
      </w:r>
      <w:r w:rsidRPr="002B1644">
        <w:rPr>
          <w:rFonts w:cs="Arial"/>
          <w:lang w:eastAsia="en-GB"/>
        </w:rPr>
        <w:t>.  </w:t>
      </w:r>
    </w:p>
    <w:p w14:paraId="1B19A271"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417996E7"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Accruals of Income and Expenditure</w:t>
      </w:r>
      <w:r w:rsidRPr="002B1644">
        <w:rPr>
          <w:rFonts w:cs="Arial"/>
          <w:lang w:eastAsia="en-GB"/>
        </w:rPr>
        <w:t> </w:t>
      </w:r>
    </w:p>
    <w:p w14:paraId="709EEB31"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1BB19763" w14:textId="77777777" w:rsidR="00252A9E" w:rsidRPr="002B1644" w:rsidRDefault="00252A9E" w:rsidP="00252A9E">
      <w:pPr>
        <w:textAlignment w:val="baseline"/>
        <w:rPr>
          <w:rFonts w:ascii="Segoe UI" w:hAnsi="Segoe UI" w:cs="Segoe UI"/>
          <w:lang w:eastAsia="en-GB"/>
        </w:rPr>
      </w:pPr>
      <w:r w:rsidRPr="002B1644">
        <w:rPr>
          <w:rFonts w:cs="Arial"/>
          <w:lang w:eastAsia="en-GB"/>
        </w:rPr>
        <w:t>Income and expenditure is accounted for in the year in which resources are consumed or when entitlement arises. The principles applied are as follows:  </w:t>
      </w:r>
    </w:p>
    <w:p w14:paraId="070969B0" w14:textId="77777777" w:rsidR="00252A9E" w:rsidRPr="002B1644" w:rsidRDefault="00252A9E" w:rsidP="00252A9E">
      <w:pPr>
        <w:ind w:left="555" w:hanging="555"/>
        <w:textAlignment w:val="baseline"/>
        <w:rPr>
          <w:rFonts w:ascii="Segoe UI" w:hAnsi="Segoe UI" w:cs="Segoe UI"/>
          <w:lang w:eastAsia="en-GB"/>
        </w:rPr>
      </w:pPr>
      <w:r w:rsidRPr="002B1644">
        <w:rPr>
          <w:rFonts w:cs="Arial"/>
          <w:lang w:eastAsia="en-GB"/>
        </w:rPr>
        <w:t> </w:t>
      </w:r>
    </w:p>
    <w:p w14:paraId="0F284BAC" w14:textId="77777777" w:rsidR="00252A9E" w:rsidRPr="002B1644" w:rsidRDefault="00252A9E" w:rsidP="00252A9E">
      <w:pPr>
        <w:numPr>
          <w:ilvl w:val="0"/>
          <w:numId w:val="30"/>
        </w:numPr>
        <w:tabs>
          <w:tab w:val="clear" w:pos="720"/>
          <w:tab w:val="num" w:pos="567"/>
        </w:tabs>
        <w:ind w:left="567" w:hanging="567"/>
        <w:textAlignment w:val="baseline"/>
        <w:rPr>
          <w:rFonts w:cs="Arial"/>
          <w:u w:val="single"/>
          <w:lang w:eastAsia="en-GB"/>
        </w:rPr>
      </w:pPr>
      <w:r w:rsidRPr="002B1644">
        <w:rPr>
          <w:rFonts w:cs="Arial"/>
          <w:lang w:eastAsia="en-GB"/>
        </w:rPr>
        <w:t>Revenue from the sale of goods is recognised when the Authority transfers the significant risks and rewards of ownership to the purchaser and it is probable that economic benefits or service potential associated with the transaction will flow to the Authority.</w:t>
      </w:r>
    </w:p>
    <w:p w14:paraId="17EBCAF2" w14:textId="77777777" w:rsidR="00252A9E" w:rsidRPr="002B1644" w:rsidRDefault="00252A9E" w:rsidP="00252A9E">
      <w:pPr>
        <w:numPr>
          <w:ilvl w:val="0"/>
          <w:numId w:val="30"/>
        </w:numPr>
        <w:tabs>
          <w:tab w:val="clear" w:pos="720"/>
          <w:tab w:val="num" w:pos="567"/>
        </w:tabs>
        <w:ind w:left="567" w:hanging="567"/>
        <w:textAlignment w:val="baseline"/>
        <w:rPr>
          <w:rFonts w:cs="Arial"/>
          <w:u w:val="single"/>
          <w:lang w:eastAsia="en-GB"/>
        </w:rPr>
      </w:pPr>
      <w:r w:rsidRPr="002B1644">
        <w:rPr>
          <w:rFonts w:cs="Arial"/>
          <w:lang w:eastAsia="en-GB"/>
        </w:rPr>
        <w:t>Revenue from the provision of services is recognised when the Authority can measure reliably the percentage of completion of the transaction and it is probable that economic benefits or service potential associated with the transaction will flow to the Authority.</w:t>
      </w:r>
      <w:r w:rsidRPr="002B1644">
        <w:rPr>
          <w:rFonts w:cs="Arial"/>
          <w:u w:val="single"/>
          <w:lang w:eastAsia="en-GB"/>
        </w:rPr>
        <w:t> </w:t>
      </w:r>
    </w:p>
    <w:p w14:paraId="4BD56800" w14:textId="77777777" w:rsidR="00252A9E" w:rsidRPr="002B1644" w:rsidRDefault="00252A9E" w:rsidP="00252A9E">
      <w:pPr>
        <w:numPr>
          <w:ilvl w:val="0"/>
          <w:numId w:val="31"/>
        </w:numPr>
        <w:tabs>
          <w:tab w:val="clear" w:pos="720"/>
          <w:tab w:val="num" w:pos="567"/>
        </w:tabs>
        <w:ind w:left="567" w:hanging="567"/>
        <w:textAlignment w:val="baseline"/>
        <w:rPr>
          <w:rFonts w:cs="Arial"/>
          <w:u w:val="single"/>
          <w:lang w:eastAsia="en-GB"/>
        </w:rPr>
      </w:pPr>
      <w:r w:rsidRPr="002B1644">
        <w:rPr>
          <w:rFonts w:cs="Arial"/>
          <w:lang w:eastAsia="en-GB"/>
        </w:rPr>
        <w:t>Supplies are recorded as expenditure when they are consumed – where there is a gap between the date supplies are received and their consumption; they are carried as inventories on the Balance Sheet.</w:t>
      </w:r>
    </w:p>
    <w:p w14:paraId="5503A9C8" w14:textId="77777777" w:rsidR="00252A9E" w:rsidRPr="002B1644" w:rsidRDefault="00252A9E" w:rsidP="00252A9E">
      <w:pPr>
        <w:numPr>
          <w:ilvl w:val="0"/>
          <w:numId w:val="31"/>
        </w:numPr>
        <w:tabs>
          <w:tab w:val="clear" w:pos="720"/>
          <w:tab w:val="num" w:pos="567"/>
        </w:tabs>
        <w:ind w:left="567" w:hanging="567"/>
        <w:textAlignment w:val="baseline"/>
        <w:rPr>
          <w:rFonts w:cs="Arial"/>
          <w:u w:val="single"/>
          <w:lang w:eastAsia="en-GB"/>
        </w:rPr>
      </w:pPr>
      <w:r w:rsidRPr="002B1644">
        <w:rPr>
          <w:rFonts w:cs="Arial"/>
          <w:lang w:eastAsia="en-GB"/>
        </w:rPr>
        <w:t>Expenses in relation to services received (including services provided by employees) are recorded as expenditure when the services are received rather than when payments are made.</w:t>
      </w:r>
    </w:p>
    <w:p w14:paraId="08953913" w14:textId="77777777" w:rsidR="00252A9E" w:rsidRPr="002B1644" w:rsidRDefault="00252A9E" w:rsidP="00252A9E">
      <w:pPr>
        <w:numPr>
          <w:ilvl w:val="0"/>
          <w:numId w:val="31"/>
        </w:numPr>
        <w:tabs>
          <w:tab w:val="clear" w:pos="720"/>
          <w:tab w:val="num" w:pos="567"/>
        </w:tabs>
        <w:ind w:left="567" w:hanging="567"/>
        <w:textAlignment w:val="baseline"/>
        <w:rPr>
          <w:rFonts w:cs="Arial"/>
          <w:u w:val="single"/>
          <w:lang w:eastAsia="en-GB"/>
        </w:rPr>
      </w:pPr>
      <w:r w:rsidRPr="002B1644">
        <w:rPr>
          <w:rFonts w:cs="Arial"/>
          <w:lang w:eastAsia="en-GB"/>
        </w:rPr>
        <w:t>Interest receivable on investments and payable on borrowings is accounted for respectively as income and expenditure on the basis of the effective interest rate for the relevant financial instrument rather than the cash flows fixed or determined by the contract.</w:t>
      </w:r>
    </w:p>
    <w:p w14:paraId="5FBB3217" w14:textId="77777777" w:rsidR="00252A9E" w:rsidRPr="002B1644" w:rsidRDefault="00252A9E" w:rsidP="00252A9E">
      <w:pPr>
        <w:numPr>
          <w:ilvl w:val="0"/>
          <w:numId w:val="31"/>
        </w:numPr>
        <w:tabs>
          <w:tab w:val="clear" w:pos="720"/>
          <w:tab w:val="num" w:pos="567"/>
        </w:tabs>
        <w:ind w:left="567" w:hanging="567"/>
        <w:textAlignment w:val="baseline"/>
        <w:rPr>
          <w:rFonts w:cs="Arial"/>
          <w:u w:val="single"/>
          <w:lang w:eastAsia="en-GB"/>
        </w:rPr>
      </w:pPr>
      <w:r w:rsidRPr="002B1644">
        <w:rPr>
          <w:rFonts w:cs="Arial"/>
          <w:lang w:eastAsia="en-GB"/>
        </w:rPr>
        <w:t>Where revenue and expenditure have been recognised, but cash has not been received or paid, a debtor or creditor for the relevant amount is recorded in the Balance Sheet. Where debts may not be settled, the balance of debtors is written down and a charge made to revenue for the income that might not be collected.</w:t>
      </w:r>
    </w:p>
    <w:p w14:paraId="2B7D924B" w14:textId="77777777" w:rsidR="00252A9E" w:rsidRPr="002B1644" w:rsidRDefault="00252A9E" w:rsidP="00252A9E">
      <w:pPr>
        <w:numPr>
          <w:ilvl w:val="0"/>
          <w:numId w:val="31"/>
        </w:numPr>
        <w:tabs>
          <w:tab w:val="clear" w:pos="720"/>
          <w:tab w:val="num" w:pos="567"/>
        </w:tabs>
        <w:ind w:left="567" w:hanging="567"/>
        <w:textAlignment w:val="baseline"/>
        <w:rPr>
          <w:rFonts w:cs="Arial"/>
          <w:u w:val="single"/>
          <w:lang w:eastAsia="en-GB"/>
        </w:rPr>
      </w:pPr>
      <w:r w:rsidRPr="002B1644">
        <w:rPr>
          <w:rFonts w:cs="Arial"/>
          <w:lang w:eastAsia="en-GB"/>
        </w:rPr>
        <w:t>Where the Authority is acting as an agent for another party income and expenditure are recognised only to the extent that commission is receivable by the Authority for the agency services provided or the Authority incurs expenses directly on its own behalf in providing the services.</w:t>
      </w:r>
    </w:p>
    <w:p w14:paraId="0B621D58" w14:textId="77777777" w:rsidR="00252A9E" w:rsidRPr="002B1644" w:rsidRDefault="00252A9E" w:rsidP="00252A9E">
      <w:pPr>
        <w:numPr>
          <w:ilvl w:val="0"/>
          <w:numId w:val="32"/>
        </w:numPr>
        <w:tabs>
          <w:tab w:val="clear" w:pos="720"/>
          <w:tab w:val="num" w:pos="567"/>
        </w:tabs>
        <w:ind w:left="567" w:hanging="567"/>
        <w:textAlignment w:val="baseline"/>
        <w:rPr>
          <w:rFonts w:cs="Arial"/>
          <w:u w:val="single"/>
          <w:lang w:eastAsia="en-GB"/>
        </w:rPr>
      </w:pPr>
      <w:r w:rsidRPr="002B1644">
        <w:rPr>
          <w:rFonts w:cs="Arial"/>
          <w:lang w:eastAsia="en-GB"/>
        </w:rPr>
        <w:t>Government Grants are recorded as Income when they are received provided there is reasonable assurance that the conditions of receipt are complied with or at a later date should the conditions be met at that later date. Grants and contributions used to finance the acquisition of a non-current asset are initially credited to Capital Receipts in Advance and then recognised in the Comprehensive Income and Expenditure Statement when any conditions are met. These grants are reversed out of the General Reserve to the Capital Grants Unapplied Account until the capital expenditure is incurred, in which case they are transferred to the Capital Adjustment Account through the Movement in Reserves Statement. Where grants are received but conditions are not met, these are accrued forward to the following financial year.</w:t>
      </w:r>
    </w:p>
    <w:p w14:paraId="4E0C6121" w14:textId="77777777" w:rsidR="00252A9E" w:rsidRPr="002B1644" w:rsidRDefault="00252A9E" w:rsidP="00252A9E">
      <w:pPr>
        <w:numPr>
          <w:ilvl w:val="0"/>
          <w:numId w:val="32"/>
        </w:numPr>
        <w:tabs>
          <w:tab w:val="clear" w:pos="720"/>
          <w:tab w:val="num" w:pos="567"/>
        </w:tabs>
        <w:ind w:left="567" w:hanging="567"/>
        <w:textAlignment w:val="baseline"/>
        <w:rPr>
          <w:rFonts w:cs="Arial"/>
          <w:u w:val="single"/>
          <w:lang w:eastAsia="en-GB"/>
        </w:rPr>
      </w:pPr>
      <w:r w:rsidRPr="002B1644">
        <w:rPr>
          <w:rFonts w:cs="Arial"/>
          <w:lang w:eastAsia="en-GB"/>
        </w:rPr>
        <w:lastRenderedPageBreak/>
        <w:t>In relation to the Local Government Pension scheme the liability that the Authority has for meeting the future cost of retirement benefits arising from service provided by employees up to the Balance Sheet date net of the contributions paid into the fund and the investment income generated.  </w:t>
      </w:r>
    </w:p>
    <w:p w14:paraId="4BF7169D" w14:textId="77777777" w:rsidR="00252A9E" w:rsidRPr="002B1644" w:rsidRDefault="00252A9E" w:rsidP="00252A9E">
      <w:pPr>
        <w:numPr>
          <w:ilvl w:val="0"/>
          <w:numId w:val="32"/>
        </w:numPr>
        <w:tabs>
          <w:tab w:val="clear" w:pos="720"/>
          <w:tab w:val="num" w:pos="567"/>
        </w:tabs>
        <w:ind w:left="567" w:hanging="567"/>
        <w:textAlignment w:val="baseline"/>
        <w:rPr>
          <w:rFonts w:cs="Arial"/>
          <w:u w:val="single"/>
          <w:lang w:eastAsia="en-GB"/>
        </w:rPr>
      </w:pPr>
      <w:r w:rsidRPr="002B1644">
        <w:rPr>
          <w:rFonts w:cs="Arial"/>
          <w:lang w:eastAsia="en-GB"/>
        </w:rPr>
        <w:t>Changes in fair values of Investment Properties are recognised in the Financing and Investment Income and Expenditure line in the Comprehensive Income and Expenditure Statement   </w:t>
      </w:r>
    </w:p>
    <w:p w14:paraId="612B66E4" w14:textId="77777777" w:rsidR="00252A9E" w:rsidRPr="002B1644" w:rsidRDefault="00252A9E" w:rsidP="00252A9E">
      <w:pPr>
        <w:numPr>
          <w:ilvl w:val="0"/>
          <w:numId w:val="32"/>
        </w:numPr>
        <w:tabs>
          <w:tab w:val="clear" w:pos="720"/>
          <w:tab w:val="num" w:pos="567"/>
        </w:tabs>
        <w:ind w:left="567" w:hanging="567"/>
        <w:textAlignment w:val="baseline"/>
        <w:rPr>
          <w:rFonts w:cs="Arial"/>
          <w:u w:val="single"/>
          <w:lang w:eastAsia="en-GB"/>
        </w:rPr>
      </w:pPr>
      <w:r w:rsidRPr="002B1644">
        <w:rPr>
          <w:rFonts w:cs="Arial"/>
          <w:lang w:eastAsia="en-GB"/>
        </w:rPr>
        <w:t>The Statutory basis of accounting for the Authority differs from that reported in the Comprehensive Income &amp; Expenditure Account as required under IFRS. Details are provided in the following table:</w:t>
      </w:r>
    </w:p>
    <w:p w14:paraId="59171B35"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667BAD0C" w14:textId="77777777" w:rsidR="00252A9E" w:rsidRPr="002B1644" w:rsidRDefault="00252A9E" w:rsidP="00252A9E">
      <w:pPr>
        <w:textAlignment w:val="baseline"/>
        <w:rPr>
          <w:rFonts w:ascii="Segoe UI" w:hAnsi="Segoe UI" w:cs="Segoe UI"/>
          <w:lang w:eastAsia="en-GB"/>
        </w:rPr>
      </w:pPr>
      <w:r w:rsidRPr="002B1644">
        <w:rPr>
          <w:rFonts w:cs="Arial"/>
          <w:lang w:eastAsia="en-GB"/>
        </w:rPr>
        <w:t>The differences between the Statutory Basis of Accounting and the IFRS Accounting base are as follows:  </w:t>
      </w:r>
    </w:p>
    <w:p w14:paraId="31AA9BAC"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0"/>
        <w:gridCol w:w="2238"/>
        <w:gridCol w:w="2298"/>
        <w:gridCol w:w="3089"/>
      </w:tblGrid>
      <w:tr w:rsidR="00252A9E" w:rsidRPr="002B1644" w14:paraId="5B58E58E" w14:textId="77777777" w:rsidTr="00F95C71">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auto"/>
            <w:hideMark/>
          </w:tcPr>
          <w:p w14:paraId="7922E80D" w14:textId="77777777" w:rsidR="00252A9E" w:rsidRPr="002B1644" w:rsidRDefault="00252A9E" w:rsidP="00F95C71">
            <w:pPr>
              <w:textAlignment w:val="baseline"/>
              <w:rPr>
                <w:rFonts w:ascii="Times New Roman" w:hAnsi="Times New Roman"/>
                <w:sz w:val="20"/>
                <w:lang w:eastAsia="en-GB"/>
              </w:rPr>
            </w:pPr>
            <w:r w:rsidRPr="002B1644">
              <w:rPr>
                <w:rFonts w:cs="Arial"/>
                <w:b/>
                <w:bCs/>
                <w:sz w:val="20"/>
                <w:lang w:eastAsia="en-GB"/>
              </w:rPr>
              <w:t>Income or Expense</w:t>
            </w:r>
            <w:r w:rsidRPr="002B1644">
              <w:rPr>
                <w:rFonts w:cs="Arial"/>
                <w:sz w:val="20"/>
                <w:lang w:eastAsia="en-GB"/>
              </w:rPr>
              <w:t> </w:t>
            </w:r>
          </w:p>
        </w:tc>
        <w:tc>
          <w:tcPr>
            <w:tcW w:w="2238" w:type="dxa"/>
            <w:tcBorders>
              <w:top w:val="single" w:sz="6" w:space="0" w:color="auto"/>
              <w:left w:val="single" w:sz="6" w:space="0" w:color="auto"/>
              <w:bottom w:val="single" w:sz="6" w:space="0" w:color="auto"/>
              <w:right w:val="single" w:sz="6" w:space="0" w:color="auto"/>
            </w:tcBorders>
            <w:shd w:val="clear" w:color="auto" w:fill="auto"/>
            <w:hideMark/>
          </w:tcPr>
          <w:p w14:paraId="4B2D415E" w14:textId="77777777" w:rsidR="00252A9E" w:rsidRPr="002B1644" w:rsidRDefault="00252A9E" w:rsidP="00F95C71">
            <w:pPr>
              <w:textAlignment w:val="baseline"/>
              <w:rPr>
                <w:rFonts w:ascii="Times New Roman" w:hAnsi="Times New Roman"/>
                <w:sz w:val="20"/>
                <w:lang w:eastAsia="en-GB"/>
              </w:rPr>
            </w:pPr>
            <w:r w:rsidRPr="002B1644">
              <w:rPr>
                <w:rFonts w:cs="Arial"/>
                <w:b/>
                <w:bCs/>
                <w:sz w:val="20"/>
                <w:lang w:eastAsia="en-GB"/>
              </w:rPr>
              <w:t>Basis of Statutory Charge to General Fund</w:t>
            </w:r>
            <w:r w:rsidRPr="002B1644">
              <w:rPr>
                <w:rFonts w:cs="Arial"/>
                <w:sz w:val="20"/>
                <w:lang w:eastAsia="en-GB"/>
              </w:rPr>
              <w:t>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22319CB9" w14:textId="77777777" w:rsidR="00252A9E" w:rsidRPr="002B1644" w:rsidRDefault="00252A9E" w:rsidP="00F95C71">
            <w:pPr>
              <w:textAlignment w:val="baseline"/>
              <w:rPr>
                <w:rFonts w:ascii="Times New Roman" w:hAnsi="Times New Roman"/>
                <w:sz w:val="20"/>
                <w:lang w:eastAsia="en-GB"/>
              </w:rPr>
            </w:pPr>
            <w:r w:rsidRPr="002B1644">
              <w:rPr>
                <w:rFonts w:cs="Arial"/>
                <w:b/>
                <w:bCs/>
                <w:sz w:val="20"/>
                <w:lang w:eastAsia="en-GB"/>
              </w:rPr>
              <w:t>Basis of Accounting Charge or Credit</w:t>
            </w:r>
            <w:r w:rsidRPr="002B1644">
              <w:rPr>
                <w:rFonts w:cs="Arial"/>
                <w:sz w:val="20"/>
                <w:lang w:eastAsia="en-G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64563C6C" w14:textId="77777777" w:rsidR="00252A9E" w:rsidRPr="002B1644" w:rsidRDefault="00252A9E" w:rsidP="00F95C71">
            <w:pPr>
              <w:textAlignment w:val="baseline"/>
              <w:rPr>
                <w:rFonts w:ascii="Times New Roman" w:hAnsi="Times New Roman"/>
                <w:sz w:val="20"/>
                <w:lang w:eastAsia="en-GB"/>
              </w:rPr>
            </w:pPr>
            <w:r w:rsidRPr="002B1644">
              <w:rPr>
                <w:rFonts w:cs="Arial"/>
                <w:b/>
                <w:bCs/>
                <w:sz w:val="20"/>
                <w:lang w:eastAsia="en-GB"/>
              </w:rPr>
              <w:t>Other Funds utilised to represent enhancement from Statutory Outturn to Accounting Outturn</w:t>
            </w:r>
            <w:r w:rsidRPr="002B1644">
              <w:rPr>
                <w:rFonts w:cs="Arial"/>
                <w:sz w:val="20"/>
                <w:lang w:eastAsia="en-GB"/>
              </w:rPr>
              <w:t> </w:t>
            </w:r>
          </w:p>
        </w:tc>
      </w:tr>
      <w:tr w:rsidR="00252A9E" w:rsidRPr="002B1644" w14:paraId="772514E6" w14:textId="77777777" w:rsidTr="00F95C71">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auto"/>
            <w:hideMark/>
          </w:tcPr>
          <w:p w14:paraId="7C6B6F1E"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Consumption or usage of Long-Term Assets </w:t>
            </w:r>
          </w:p>
        </w:tc>
        <w:tc>
          <w:tcPr>
            <w:tcW w:w="2238" w:type="dxa"/>
            <w:tcBorders>
              <w:top w:val="single" w:sz="6" w:space="0" w:color="auto"/>
              <w:left w:val="single" w:sz="6" w:space="0" w:color="auto"/>
              <w:bottom w:val="single" w:sz="6" w:space="0" w:color="auto"/>
              <w:right w:val="single" w:sz="6" w:space="0" w:color="auto"/>
            </w:tcBorders>
            <w:shd w:val="clear" w:color="auto" w:fill="auto"/>
            <w:hideMark/>
          </w:tcPr>
          <w:p w14:paraId="4092DFBD"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Contribution to the reduction in borrowing requirement in excess of minimum required.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5D9E29A7"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Full accrual principle determined by Depreciation, Amortisation &amp; Impairment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17B0DD43"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Capital Adjustment Account with small portion to Revaluation Reserve in relation to Current Cost Element of Depreciation </w:t>
            </w:r>
          </w:p>
        </w:tc>
      </w:tr>
      <w:tr w:rsidR="00252A9E" w:rsidRPr="002B1644" w14:paraId="40648362" w14:textId="77777777" w:rsidTr="00F95C71">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auto"/>
            <w:hideMark/>
          </w:tcPr>
          <w:p w14:paraId="649FB948"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Grant receipts relating to Long Term Assets </w:t>
            </w:r>
          </w:p>
        </w:tc>
        <w:tc>
          <w:tcPr>
            <w:tcW w:w="2238" w:type="dxa"/>
            <w:tcBorders>
              <w:top w:val="single" w:sz="6" w:space="0" w:color="auto"/>
              <w:left w:val="single" w:sz="6" w:space="0" w:color="auto"/>
              <w:bottom w:val="single" w:sz="6" w:space="0" w:color="auto"/>
              <w:right w:val="single" w:sz="6" w:space="0" w:color="auto"/>
            </w:tcBorders>
            <w:shd w:val="clear" w:color="auto" w:fill="auto"/>
            <w:hideMark/>
          </w:tcPr>
          <w:p w14:paraId="5E93F791"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None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6D8D4B8B"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All Grants received in year providing no conditions are attached and/or conditional grants from prior years that were applied in year.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6097F37A"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Unapplied Capital Grants Reserve </w:t>
            </w:r>
          </w:p>
        </w:tc>
      </w:tr>
      <w:tr w:rsidR="00252A9E" w:rsidRPr="002B1644" w14:paraId="047F4F1C" w14:textId="77777777" w:rsidTr="00F95C71">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auto"/>
            <w:hideMark/>
          </w:tcPr>
          <w:p w14:paraId="6B112E4D"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Disposal Receipts or entitlements relating to Long Term Assets </w:t>
            </w:r>
          </w:p>
        </w:tc>
        <w:tc>
          <w:tcPr>
            <w:tcW w:w="2238" w:type="dxa"/>
            <w:tcBorders>
              <w:top w:val="single" w:sz="6" w:space="0" w:color="auto"/>
              <w:left w:val="single" w:sz="6" w:space="0" w:color="auto"/>
              <w:bottom w:val="single" w:sz="6" w:space="0" w:color="auto"/>
              <w:right w:val="single" w:sz="6" w:space="0" w:color="auto"/>
            </w:tcBorders>
            <w:shd w:val="clear" w:color="auto" w:fill="auto"/>
            <w:hideMark/>
          </w:tcPr>
          <w:p w14:paraId="0D2A28CD"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None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256BF872"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Net Profit or Loss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3A26FB31"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Capital Receipts Reserve (deferred if cash not received) minus Capital Adjustment Account (or Revaluation Reserve) in relation to holding value of asset at time of sale.   </w:t>
            </w:r>
          </w:p>
        </w:tc>
      </w:tr>
      <w:tr w:rsidR="00252A9E" w:rsidRPr="002B1644" w14:paraId="383FB4BA" w14:textId="77777777" w:rsidTr="00F95C71">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auto"/>
            <w:hideMark/>
          </w:tcPr>
          <w:p w14:paraId="230AA384"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Financing of new Capital Investment </w:t>
            </w:r>
          </w:p>
        </w:tc>
        <w:tc>
          <w:tcPr>
            <w:tcW w:w="2238" w:type="dxa"/>
            <w:tcBorders>
              <w:top w:val="single" w:sz="6" w:space="0" w:color="auto"/>
              <w:left w:val="single" w:sz="6" w:space="0" w:color="auto"/>
              <w:bottom w:val="single" w:sz="6" w:space="0" w:color="auto"/>
              <w:right w:val="single" w:sz="6" w:space="0" w:color="auto"/>
            </w:tcBorders>
            <w:shd w:val="clear" w:color="auto" w:fill="auto"/>
            <w:hideMark/>
          </w:tcPr>
          <w:p w14:paraId="6A2FB739"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Contributions made where otherwise not funded by Capital Receipts or designated Capital Grants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4394EF5B"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None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43AF543E"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Capital Adjustment Account </w:t>
            </w:r>
          </w:p>
        </w:tc>
      </w:tr>
      <w:tr w:rsidR="00252A9E" w:rsidRPr="002B1644" w14:paraId="429B1DFC" w14:textId="77777777" w:rsidTr="00F95C71">
        <w:trPr>
          <w:trHeight w:val="1125"/>
        </w:trPr>
        <w:tc>
          <w:tcPr>
            <w:tcW w:w="2560" w:type="dxa"/>
            <w:tcBorders>
              <w:top w:val="single" w:sz="6" w:space="0" w:color="auto"/>
              <w:left w:val="single" w:sz="6" w:space="0" w:color="auto"/>
              <w:bottom w:val="single" w:sz="6" w:space="0" w:color="auto"/>
              <w:right w:val="single" w:sz="6" w:space="0" w:color="auto"/>
            </w:tcBorders>
            <w:shd w:val="clear" w:color="auto" w:fill="auto"/>
            <w:hideMark/>
          </w:tcPr>
          <w:p w14:paraId="7F05141D"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Upward Valuation of Assets </w:t>
            </w:r>
          </w:p>
        </w:tc>
        <w:tc>
          <w:tcPr>
            <w:tcW w:w="2238" w:type="dxa"/>
            <w:tcBorders>
              <w:top w:val="single" w:sz="6" w:space="0" w:color="auto"/>
              <w:left w:val="single" w:sz="6" w:space="0" w:color="auto"/>
              <w:bottom w:val="single" w:sz="6" w:space="0" w:color="auto"/>
              <w:right w:val="single" w:sz="6" w:space="0" w:color="auto"/>
            </w:tcBorders>
            <w:shd w:val="clear" w:color="auto" w:fill="auto"/>
            <w:hideMark/>
          </w:tcPr>
          <w:p w14:paraId="00E1A6DB"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None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6BCADF05"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Credited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60DABD40"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Revaluation Reserve or, for Investment Properties (or where reinstating past Impairment), Capital Adjustment Account  </w:t>
            </w:r>
          </w:p>
        </w:tc>
      </w:tr>
      <w:tr w:rsidR="00252A9E" w:rsidRPr="002B1644" w14:paraId="3583976F" w14:textId="77777777" w:rsidTr="00F95C71">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auto"/>
            <w:hideMark/>
          </w:tcPr>
          <w:p w14:paraId="53DA2F4D"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Pension Scheme Costs </w:t>
            </w:r>
          </w:p>
        </w:tc>
        <w:tc>
          <w:tcPr>
            <w:tcW w:w="2238" w:type="dxa"/>
            <w:tcBorders>
              <w:top w:val="single" w:sz="6" w:space="0" w:color="auto"/>
              <w:left w:val="single" w:sz="6" w:space="0" w:color="auto"/>
              <w:bottom w:val="single" w:sz="6" w:space="0" w:color="auto"/>
              <w:right w:val="single" w:sz="6" w:space="0" w:color="auto"/>
            </w:tcBorders>
            <w:shd w:val="clear" w:color="auto" w:fill="auto"/>
            <w:hideMark/>
          </w:tcPr>
          <w:p w14:paraId="7455863E"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Direct amounts paid in relation to the scheme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100C0099"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Full accrual principles including actuarial valuation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377F9BAA"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Pension Reserve </w:t>
            </w:r>
          </w:p>
        </w:tc>
      </w:tr>
      <w:tr w:rsidR="00252A9E" w:rsidRPr="002B1644" w14:paraId="4D1AE7BD" w14:textId="77777777" w:rsidTr="00F95C71">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auto"/>
            <w:hideMark/>
          </w:tcPr>
          <w:p w14:paraId="14554C87"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Staff Costs </w:t>
            </w:r>
          </w:p>
        </w:tc>
        <w:tc>
          <w:tcPr>
            <w:tcW w:w="2238" w:type="dxa"/>
            <w:tcBorders>
              <w:top w:val="single" w:sz="6" w:space="0" w:color="auto"/>
              <w:left w:val="single" w:sz="6" w:space="0" w:color="auto"/>
              <w:bottom w:val="single" w:sz="6" w:space="0" w:color="auto"/>
              <w:right w:val="single" w:sz="6" w:space="0" w:color="auto"/>
            </w:tcBorders>
            <w:shd w:val="clear" w:color="auto" w:fill="auto"/>
            <w:hideMark/>
          </w:tcPr>
          <w:p w14:paraId="27658A4C"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Direct amounts paid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7D77425F"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Accrual made for leave entitlement deferred forwards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633A42A0"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Accumulated Absences Adjustment Account </w:t>
            </w:r>
          </w:p>
        </w:tc>
      </w:tr>
      <w:tr w:rsidR="00252A9E" w:rsidRPr="002B1644" w14:paraId="6CB9EE7C" w14:textId="77777777" w:rsidTr="00F95C71">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auto"/>
            <w:hideMark/>
          </w:tcPr>
          <w:p w14:paraId="1C3921EB"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‘Revenue Expenditure Financed by Capital Under Statute’ (capex in respect of an asset owned by a third party)   </w:t>
            </w:r>
          </w:p>
        </w:tc>
        <w:tc>
          <w:tcPr>
            <w:tcW w:w="2238" w:type="dxa"/>
            <w:tcBorders>
              <w:top w:val="single" w:sz="6" w:space="0" w:color="auto"/>
              <w:left w:val="single" w:sz="6" w:space="0" w:color="auto"/>
              <w:bottom w:val="single" w:sz="6" w:space="0" w:color="auto"/>
              <w:right w:val="single" w:sz="6" w:space="0" w:color="auto"/>
            </w:tcBorders>
            <w:shd w:val="clear" w:color="auto" w:fill="auto"/>
            <w:hideMark/>
          </w:tcPr>
          <w:p w14:paraId="56D6E932"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None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0DBCFF2E"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Full accrual principles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26963D49"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Capital Adjustment Account </w:t>
            </w:r>
          </w:p>
        </w:tc>
      </w:tr>
      <w:tr w:rsidR="00252A9E" w:rsidRPr="002B1644" w14:paraId="7A172475" w14:textId="77777777" w:rsidTr="00F95C71">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auto"/>
            <w:hideMark/>
          </w:tcPr>
          <w:p w14:paraId="33FF0A80"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Minimum Statutory Provision for Capital Debt Repayment </w:t>
            </w:r>
          </w:p>
        </w:tc>
        <w:tc>
          <w:tcPr>
            <w:tcW w:w="2238" w:type="dxa"/>
            <w:tcBorders>
              <w:top w:val="single" w:sz="6" w:space="0" w:color="auto"/>
              <w:left w:val="single" w:sz="6" w:space="0" w:color="auto"/>
              <w:bottom w:val="single" w:sz="6" w:space="0" w:color="auto"/>
              <w:right w:val="single" w:sz="6" w:space="0" w:color="auto"/>
            </w:tcBorders>
            <w:shd w:val="clear" w:color="auto" w:fill="auto"/>
            <w:hideMark/>
          </w:tcPr>
          <w:p w14:paraId="5A42A94A"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Charge as required under statute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4A655F16"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None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2DFDBBB7" w14:textId="77777777" w:rsidR="00252A9E" w:rsidRPr="002B1644" w:rsidRDefault="00252A9E" w:rsidP="00F95C71">
            <w:pPr>
              <w:textAlignment w:val="baseline"/>
              <w:rPr>
                <w:rFonts w:ascii="Times New Roman" w:hAnsi="Times New Roman"/>
                <w:sz w:val="20"/>
                <w:lang w:eastAsia="en-GB"/>
              </w:rPr>
            </w:pPr>
            <w:r w:rsidRPr="002B1644">
              <w:rPr>
                <w:rFonts w:cs="Arial"/>
                <w:sz w:val="20"/>
                <w:lang w:eastAsia="en-GB"/>
              </w:rPr>
              <w:t>Capital Adjustment Account </w:t>
            </w:r>
          </w:p>
        </w:tc>
      </w:tr>
    </w:tbl>
    <w:p w14:paraId="64DE998F" w14:textId="77777777" w:rsidR="00252A9E" w:rsidRPr="002B1644" w:rsidRDefault="00252A9E" w:rsidP="00252A9E">
      <w:pPr>
        <w:textAlignment w:val="baseline"/>
        <w:rPr>
          <w:rFonts w:cs="Arial"/>
          <w:b/>
          <w:bCs/>
          <w:lang w:eastAsia="en-GB"/>
        </w:rPr>
      </w:pPr>
    </w:p>
    <w:p w14:paraId="4AB5E2EF"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lastRenderedPageBreak/>
        <w:t>Cash and Cash Equivalents</w:t>
      </w:r>
      <w:r w:rsidRPr="002B1644">
        <w:rPr>
          <w:rFonts w:cs="Arial"/>
          <w:lang w:eastAsia="en-GB"/>
        </w:rPr>
        <w:t> </w:t>
      </w:r>
    </w:p>
    <w:p w14:paraId="3ECFB873" w14:textId="77777777" w:rsidR="00252A9E" w:rsidRPr="002B1644" w:rsidRDefault="00252A9E" w:rsidP="00252A9E">
      <w:pPr>
        <w:ind w:left="720"/>
        <w:textAlignment w:val="baseline"/>
        <w:rPr>
          <w:rFonts w:ascii="Segoe UI" w:hAnsi="Segoe UI" w:cs="Segoe UI"/>
          <w:lang w:eastAsia="en-GB"/>
        </w:rPr>
      </w:pPr>
      <w:r w:rsidRPr="002B1644">
        <w:rPr>
          <w:rFonts w:cs="Arial"/>
          <w:lang w:eastAsia="en-GB"/>
        </w:rPr>
        <w:t> </w:t>
      </w:r>
    </w:p>
    <w:p w14:paraId="41E3F483"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Cash is defined as cash in hand, deposits held with financial institutions repayable without penalty on notice of not more than 24 hours and bank overdrafts. Cash equivalents are short-term, highly liquid investments, with original maturities of three months or less, that are readily convertible to known amounts of cash and which are subject to an insignificant risk of changes in value. In the Cash Flow Statement, cash and cash equivalents are shown net of bank overdrafts that are repayable on demand and form an integral part of the Authority’s cash management. </w:t>
      </w:r>
    </w:p>
    <w:p w14:paraId="61280C2C" w14:textId="77777777" w:rsidR="00252A9E" w:rsidRDefault="00252A9E" w:rsidP="00252A9E">
      <w:pPr>
        <w:ind w:right="-15"/>
        <w:textAlignment w:val="baseline"/>
        <w:rPr>
          <w:rFonts w:cs="Arial"/>
          <w:b/>
          <w:bCs/>
          <w:lang w:eastAsia="en-GB"/>
        </w:rPr>
      </w:pPr>
      <w:r w:rsidRPr="002B1644">
        <w:rPr>
          <w:rFonts w:cs="Arial"/>
          <w:lang w:eastAsia="en-GB"/>
        </w:rPr>
        <w:t> </w:t>
      </w:r>
    </w:p>
    <w:p w14:paraId="5867D1DE" w14:textId="77777777" w:rsidR="00252A9E" w:rsidRPr="002B1644" w:rsidRDefault="00252A9E" w:rsidP="00252A9E">
      <w:pPr>
        <w:ind w:right="-15"/>
        <w:textAlignment w:val="baseline"/>
        <w:rPr>
          <w:rFonts w:ascii="Segoe UI" w:hAnsi="Segoe UI" w:cs="Segoe UI"/>
          <w:lang w:eastAsia="en-GB"/>
        </w:rPr>
      </w:pPr>
      <w:r w:rsidRPr="002B1644">
        <w:rPr>
          <w:rFonts w:cs="Arial"/>
          <w:b/>
          <w:bCs/>
          <w:lang w:eastAsia="en-GB"/>
        </w:rPr>
        <w:t>Reserves</w:t>
      </w:r>
      <w:r w:rsidRPr="002B1644">
        <w:rPr>
          <w:rFonts w:cs="Arial"/>
          <w:lang w:eastAsia="en-GB"/>
        </w:rPr>
        <w:t> </w:t>
      </w:r>
    </w:p>
    <w:p w14:paraId="21EB2258"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549144A3" w14:textId="77777777" w:rsidR="00252A9E" w:rsidRPr="002B1644" w:rsidRDefault="00252A9E" w:rsidP="00252A9E">
      <w:pPr>
        <w:textAlignment w:val="baseline"/>
        <w:rPr>
          <w:rFonts w:ascii="Segoe UI" w:hAnsi="Segoe UI" w:cs="Segoe UI"/>
          <w:lang w:eastAsia="en-GB"/>
        </w:rPr>
      </w:pPr>
      <w:r w:rsidRPr="002B1644">
        <w:rPr>
          <w:rFonts w:cs="Arial"/>
          <w:lang w:eastAsia="en-GB"/>
        </w:rPr>
        <w:t>The Authority’s Reserves represent the accumulation of surpluses (and deficits) upon the Comprehensive Income &amp; Expenditure account overall years up to and including the Balance Sheet date. These also equal the Total Value of the Authority’s assets less its’ liabilities.  </w:t>
      </w:r>
    </w:p>
    <w:p w14:paraId="640303AB"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62B0AAE2" w14:textId="77777777" w:rsidR="00252A9E" w:rsidRPr="002B1644" w:rsidRDefault="00252A9E" w:rsidP="00252A9E">
      <w:pPr>
        <w:textAlignment w:val="baseline"/>
        <w:rPr>
          <w:rFonts w:ascii="Segoe UI" w:hAnsi="Segoe UI" w:cs="Segoe UI"/>
          <w:lang w:eastAsia="en-GB"/>
        </w:rPr>
      </w:pPr>
      <w:r w:rsidRPr="002B1644">
        <w:rPr>
          <w:rFonts w:cs="Arial"/>
          <w:lang w:eastAsia="en-GB"/>
        </w:rPr>
        <w:t>Reserves are classified into Useable (when currently available for application) and Un-useable (when there is no current liquidity). </w:t>
      </w:r>
    </w:p>
    <w:p w14:paraId="2E98924B"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2E311A31" w14:textId="77777777" w:rsidR="00252A9E" w:rsidRPr="002B1644" w:rsidRDefault="00252A9E" w:rsidP="00252A9E">
      <w:pPr>
        <w:textAlignment w:val="baseline"/>
        <w:rPr>
          <w:rFonts w:ascii="Segoe UI" w:hAnsi="Segoe UI" w:cs="Segoe UI"/>
          <w:lang w:eastAsia="en-GB"/>
        </w:rPr>
      </w:pPr>
      <w:r w:rsidRPr="002B1644">
        <w:rPr>
          <w:rFonts w:cs="Arial"/>
          <w:lang w:eastAsia="en-GB"/>
        </w:rPr>
        <w:t>The Notes to the Accounts upon the Reserves explain fully the purpose of each Reserve and the uses to which they are applied. </w:t>
      </w:r>
    </w:p>
    <w:p w14:paraId="2CC6A690" w14:textId="77777777" w:rsidR="00252A9E" w:rsidRDefault="00252A9E" w:rsidP="00252A9E">
      <w:pPr>
        <w:ind w:right="-15"/>
        <w:textAlignment w:val="baseline"/>
        <w:rPr>
          <w:rFonts w:cs="Arial"/>
          <w:b/>
          <w:bCs/>
          <w:lang w:eastAsia="en-GB"/>
        </w:rPr>
      </w:pPr>
      <w:r w:rsidRPr="002B1644">
        <w:rPr>
          <w:rFonts w:cs="Arial"/>
          <w:lang w:eastAsia="en-GB"/>
        </w:rPr>
        <w:t> </w:t>
      </w:r>
    </w:p>
    <w:p w14:paraId="5BF0B734" w14:textId="77777777" w:rsidR="00252A9E" w:rsidRPr="002B1644" w:rsidRDefault="00252A9E" w:rsidP="00252A9E">
      <w:pPr>
        <w:ind w:right="-15"/>
        <w:textAlignment w:val="baseline"/>
        <w:rPr>
          <w:rFonts w:ascii="Segoe UI" w:hAnsi="Segoe UI" w:cs="Segoe UI"/>
          <w:lang w:eastAsia="en-GB"/>
        </w:rPr>
      </w:pPr>
      <w:r w:rsidRPr="002B1644">
        <w:rPr>
          <w:rFonts w:cs="Arial"/>
          <w:b/>
          <w:bCs/>
          <w:lang w:eastAsia="en-GB"/>
        </w:rPr>
        <w:t>Exceptional Items</w:t>
      </w:r>
      <w:r w:rsidRPr="002B1644">
        <w:rPr>
          <w:rFonts w:cs="Arial"/>
          <w:lang w:eastAsia="en-GB"/>
        </w:rPr>
        <w:t> </w:t>
      </w:r>
    </w:p>
    <w:p w14:paraId="3CB13E60"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 </w:t>
      </w:r>
    </w:p>
    <w:p w14:paraId="76B2C5B5"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Where items of income and expenditure are material, their natures and amounts are disclosed separately, either on the face of the Comprehensive Income and Expenditure Statement or in notes to the accounts, depending on how significant the items are to an understanding of the Authority’s financial performance. </w:t>
      </w:r>
    </w:p>
    <w:p w14:paraId="4357B2FB" w14:textId="77777777" w:rsidR="00252A9E" w:rsidRDefault="00252A9E" w:rsidP="00252A9E">
      <w:pPr>
        <w:textAlignment w:val="baseline"/>
        <w:rPr>
          <w:rFonts w:cs="Arial"/>
          <w:b/>
          <w:bCs/>
          <w:lang w:eastAsia="en-GB"/>
        </w:rPr>
      </w:pPr>
    </w:p>
    <w:p w14:paraId="167A1556"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Prior Period Adjustments, Changes in Accounting Policies and Errors</w:t>
      </w:r>
      <w:r w:rsidRPr="002B1644">
        <w:rPr>
          <w:rFonts w:cs="Arial"/>
          <w:lang w:eastAsia="en-GB"/>
        </w:rPr>
        <w:t> </w:t>
      </w:r>
    </w:p>
    <w:p w14:paraId="64914906"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34AB61A4" w14:textId="77777777" w:rsidR="00252A9E" w:rsidRPr="002B1644" w:rsidRDefault="00252A9E" w:rsidP="00252A9E">
      <w:pPr>
        <w:textAlignment w:val="baseline"/>
        <w:rPr>
          <w:rFonts w:ascii="Segoe UI" w:hAnsi="Segoe UI" w:cs="Segoe UI"/>
          <w:lang w:eastAsia="en-GB"/>
        </w:rPr>
      </w:pPr>
      <w:r w:rsidRPr="002B1644">
        <w:rPr>
          <w:rFonts w:cs="Arial"/>
          <w:lang w:eastAsia="en-GB"/>
        </w:rPr>
        <w:t>Prior period adjustments may arise as a result of a change in accounting policies or to correct a material error. Changes in accounting policies are only made when required by proper accounting practices or the change provides more reliable or relevant information about the effect of transactions or other events and conditions on the Authority’s financial position or financial performance. Where a change is made, it is applied retrospectively (unless stated otherwise) by adjusting opening balances and comparative amounts for the prior period as if the new policy had always been applied. Material errors discovered in prior year period figures are corrected retrospectively by amending opening balances and comparative amounts for the prior period.  </w:t>
      </w:r>
    </w:p>
    <w:p w14:paraId="2DCDB116" w14:textId="77777777" w:rsidR="00252A9E" w:rsidRPr="002B1644" w:rsidRDefault="00252A9E" w:rsidP="00252A9E">
      <w:pPr>
        <w:ind w:left="720"/>
        <w:textAlignment w:val="baseline"/>
        <w:rPr>
          <w:rFonts w:ascii="Segoe UI" w:hAnsi="Segoe UI" w:cs="Segoe UI"/>
          <w:lang w:eastAsia="en-GB"/>
        </w:rPr>
      </w:pPr>
      <w:r w:rsidRPr="002B1644">
        <w:rPr>
          <w:rFonts w:cs="Arial"/>
          <w:lang w:eastAsia="en-GB"/>
        </w:rPr>
        <w:t> </w:t>
      </w:r>
    </w:p>
    <w:p w14:paraId="470F7108"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Accounting Estimates and Judgements</w:t>
      </w:r>
      <w:r w:rsidRPr="002B1644">
        <w:rPr>
          <w:rFonts w:cs="Arial"/>
          <w:lang w:eastAsia="en-GB"/>
        </w:rPr>
        <w:t> </w:t>
      </w:r>
    </w:p>
    <w:p w14:paraId="36702A28"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080E09BD" w14:textId="77777777" w:rsidR="00252A9E" w:rsidRPr="002B1644" w:rsidRDefault="00252A9E" w:rsidP="00252A9E">
      <w:pPr>
        <w:textAlignment w:val="baseline"/>
        <w:rPr>
          <w:rFonts w:ascii="Segoe UI" w:hAnsi="Segoe UI" w:cs="Segoe UI"/>
          <w:lang w:eastAsia="en-GB"/>
        </w:rPr>
      </w:pPr>
      <w:r w:rsidRPr="002B1644">
        <w:rPr>
          <w:rFonts w:cs="Arial"/>
          <w:lang w:eastAsia="en-GB"/>
        </w:rPr>
        <w:t>The preparation of financial statements requires management to make judgements, estimates and assumptions that affect the application of accounting policies and the reported amounts of assets, liabilities, income and expenses. Information about significant areas of estimation uncertainty and critical judgements in applying accounting policies that have the most significant effect on the amounts recognised in the financial statements are described in the notes. Changes in accounting estimates are applied prospectively, i.e. in the current and future years affected by the change and do not give rise to a prior period adjustment. </w:t>
      </w:r>
    </w:p>
    <w:p w14:paraId="1D985CE5"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793090BC"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Employee Benefits Payable During Employment</w:t>
      </w:r>
      <w:r w:rsidRPr="002B1644">
        <w:rPr>
          <w:rFonts w:cs="Arial"/>
          <w:lang w:eastAsia="en-GB"/>
        </w:rPr>
        <w:t> </w:t>
      </w:r>
    </w:p>
    <w:p w14:paraId="572D6A71"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04594B7E" w14:textId="77777777" w:rsidR="00252A9E" w:rsidRPr="002B1644" w:rsidRDefault="00252A9E" w:rsidP="00252A9E">
      <w:pPr>
        <w:textAlignment w:val="baseline"/>
        <w:rPr>
          <w:rFonts w:ascii="Segoe UI" w:hAnsi="Segoe UI" w:cs="Segoe UI"/>
          <w:lang w:eastAsia="en-GB"/>
        </w:rPr>
      </w:pPr>
      <w:r w:rsidRPr="002B1644">
        <w:rPr>
          <w:rFonts w:cs="Arial"/>
          <w:lang w:eastAsia="en-GB"/>
        </w:rPr>
        <w:t xml:space="preserve">Short term employee benefits include wages and salaries, annual leave and flex-time balances at year end. These liabilities are expected to be settled within 12 months of the reporting date. </w:t>
      </w:r>
      <w:r w:rsidRPr="002B1644">
        <w:rPr>
          <w:rFonts w:cs="Arial"/>
          <w:lang w:eastAsia="en-GB"/>
        </w:rPr>
        <w:lastRenderedPageBreak/>
        <w:t>They are recognised as an expense in the year in which employees work for the Authority and are measured at the amounts the Authority expects to pay when the liabilities are settled. The accrual for the cost of any holiday entitlement earned but not taken before the year end, which can be carried forward, is reversed out of the General Reserve through the Movement in Reserves Statement. </w:t>
      </w:r>
    </w:p>
    <w:p w14:paraId="70B1DD76" w14:textId="77777777" w:rsidR="00252A9E" w:rsidRDefault="00252A9E" w:rsidP="00252A9E">
      <w:pPr>
        <w:textAlignment w:val="baseline"/>
        <w:rPr>
          <w:rFonts w:cs="Arial"/>
          <w:lang w:eastAsia="en-GB"/>
        </w:rPr>
      </w:pPr>
      <w:r w:rsidRPr="002B1644">
        <w:rPr>
          <w:rFonts w:cs="Arial"/>
          <w:lang w:eastAsia="en-GB"/>
        </w:rPr>
        <w:t> </w:t>
      </w:r>
    </w:p>
    <w:p w14:paraId="7DE5C9BC"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Employee Termination Benefits</w:t>
      </w:r>
      <w:r w:rsidRPr="002B1644">
        <w:rPr>
          <w:rFonts w:cs="Arial"/>
          <w:lang w:eastAsia="en-GB"/>
        </w:rPr>
        <w:t> </w:t>
      </w:r>
    </w:p>
    <w:p w14:paraId="73791B18" w14:textId="77777777" w:rsidR="00252A9E" w:rsidRPr="002B1644" w:rsidRDefault="00252A9E" w:rsidP="00252A9E">
      <w:pPr>
        <w:ind w:left="420"/>
        <w:textAlignment w:val="baseline"/>
        <w:rPr>
          <w:rFonts w:ascii="Segoe UI" w:hAnsi="Segoe UI" w:cs="Segoe UI"/>
          <w:lang w:eastAsia="en-GB"/>
        </w:rPr>
      </w:pPr>
      <w:r w:rsidRPr="002B1644">
        <w:rPr>
          <w:rFonts w:cs="Arial"/>
          <w:lang w:eastAsia="en-GB"/>
        </w:rPr>
        <w:t> </w:t>
      </w:r>
    </w:p>
    <w:p w14:paraId="081153D8" w14:textId="77777777" w:rsidR="00252A9E" w:rsidRPr="002B1644" w:rsidRDefault="00252A9E" w:rsidP="00252A9E">
      <w:pPr>
        <w:textAlignment w:val="baseline"/>
        <w:rPr>
          <w:rFonts w:ascii="Segoe UI" w:hAnsi="Segoe UI" w:cs="Segoe UI"/>
          <w:lang w:eastAsia="en-GB"/>
        </w:rPr>
      </w:pPr>
      <w:r w:rsidRPr="002B1644">
        <w:rPr>
          <w:rFonts w:cs="Arial"/>
          <w:lang w:eastAsia="en-GB"/>
        </w:rPr>
        <w:t>Termination benefits are amounts payable as a result of a decision by the Authority to terminate an officer’s employment or an officer’s decision to take voluntary redundancy. They are charged on an accruals basis to the relevant service line of the Comprehensive Income and Expenditure Statement at the earlier of when the Authority can no longer withdraw the offer of those benefits or when the Authority recognises costs for a restructuring. Where the termination benefits involve the enhancement of pensions the General Reserve is charged with the amount payable by the Authority to the pension fund.  </w:t>
      </w:r>
    </w:p>
    <w:p w14:paraId="1BCA3D25" w14:textId="77777777" w:rsidR="00252A9E" w:rsidRPr="002B1644" w:rsidRDefault="00252A9E" w:rsidP="00252A9E">
      <w:pPr>
        <w:ind w:left="420"/>
        <w:textAlignment w:val="baseline"/>
        <w:rPr>
          <w:rFonts w:ascii="Segoe UI" w:hAnsi="Segoe UI" w:cs="Segoe UI"/>
          <w:lang w:eastAsia="en-GB"/>
        </w:rPr>
      </w:pPr>
      <w:r w:rsidRPr="002B1644">
        <w:rPr>
          <w:rFonts w:cs="Arial"/>
          <w:lang w:eastAsia="en-GB"/>
        </w:rPr>
        <w:t> </w:t>
      </w:r>
    </w:p>
    <w:p w14:paraId="38986658"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Employee Retirement Benefits</w:t>
      </w:r>
      <w:r w:rsidRPr="002B1644">
        <w:rPr>
          <w:rFonts w:cs="Arial"/>
          <w:lang w:eastAsia="en-GB"/>
        </w:rPr>
        <w:t> </w:t>
      </w:r>
    </w:p>
    <w:p w14:paraId="499B16C2" w14:textId="77777777" w:rsidR="00252A9E" w:rsidRPr="002B1644" w:rsidRDefault="00252A9E" w:rsidP="00252A9E">
      <w:pPr>
        <w:ind w:left="420"/>
        <w:textAlignment w:val="baseline"/>
        <w:rPr>
          <w:rFonts w:ascii="Segoe UI" w:hAnsi="Segoe UI" w:cs="Segoe UI"/>
          <w:lang w:eastAsia="en-GB"/>
        </w:rPr>
      </w:pPr>
      <w:r w:rsidRPr="002B1644">
        <w:rPr>
          <w:rFonts w:cs="Arial"/>
          <w:lang w:eastAsia="en-GB"/>
        </w:rPr>
        <w:t> </w:t>
      </w:r>
    </w:p>
    <w:p w14:paraId="5DC4F3AE" w14:textId="77777777" w:rsidR="00252A9E" w:rsidRPr="002B1644" w:rsidRDefault="00252A9E" w:rsidP="00252A9E">
      <w:pPr>
        <w:textAlignment w:val="baseline"/>
        <w:rPr>
          <w:rFonts w:ascii="Segoe UI" w:hAnsi="Segoe UI" w:cs="Segoe UI"/>
          <w:lang w:eastAsia="en-GB"/>
        </w:rPr>
      </w:pPr>
      <w:r w:rsidRPr="002B1644">
        <w:rPr>
          <w:rFonts w:cs="Arial"/>
          <w:lang w:eastAsia="en-GB"/>
        </w:rPr>
        <w:t>Many employees of the Authority are members of the Local Government Pension Scheme (LGPS), administered by Cumbria County Council. The scheme is a funded defined benefit scheme meaning that the scheme provides retirement lump sums and pensions, earned as employees work for the Authority. As a defined benefit scheme, this is shown within the Authority’s accounts according to the details set out in the notes to the accounts. </w:t>
      </w:r>
    </w:p>
    <w:p w14:paraId="67C546EE" w14:textId="77777777" w:rsidR="00252A9E" w:rsidRPr="002B1644" w:rsidRDefault="00252A9E" w:rsidP="00252A9E">
      <w:pPr>
        <w:ind w:left="420" w:right="-15"/>
        <w:textAlignment w:val="baseline"/>
        <w:rPr>
          <w:rFonts w:ascii="Segoe UI" w:hAnsi="Segoe UI" w:cs="Segoe UI"/>
          <w:lang w:eastAsia="en-GB"/>
        </w:rPr>
      </w:pPr>
      <w:r w:rsidRPr="002B1644">
        <w:rPr>
          <w:rFonts w:cs="Arial"/>
          <w:lang w:eastAsia="en-GB"/>
        </w:rPr>
        <w:t> </w:t>
      </w:r>
    </w:p>
    <w:p w14:paraId="163F07CF" w14:textId="77777777" w:rsidR="00252A9E" w:rsidRPr="002B1644" w:rsidRDefault="00252A9E" w:rsidP="00252A9E">
      <w:pPr>
        <w:textAlignment w:val="baseline"/>
        <w:rPr>
          <w:rFonts w:ascii="Segoe UI" w:hAnsi="Segoe UI" w:cs="Segoe UI"/>
          <w:lang w:eastAsia="en-GB"/>
        </w:rPr>
      </w:pPr>
      <w:r w:rsidRPr="002B1644">
        <w:rPr>
          <w:rFonts w:cs="Arial"/>
          <w:lang w:eastAsia="en-GB"/>
        </w:rPr>
        <w:t>Statutory provisions allow the Authority to charge amounts paid to the pension fund in the year to the General Reserve. This therefore means that within the Movement in Reserves Statement, there are appropriations to and from the Pensions Reserve to remove the notional transactions for retirement benefits and replace them with debits for the amounts paid to the pension fund in the year and any amounts payable but unpaid at the year end. Full details of the LGPS fund are available from its website. </w:t>
      </w:r>
    </w:p>
    <w:p w14:paraId="0B1B4088"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 </w:t>
      </w:r>
    </w:p>
    <w:p w14:paraId="2F875AF4"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Employee Discretionary Benefits</w:t>
      </w:r>
      <w:r w:rsidRPr="002B1644">
        <w:rPr>
          <w:rFonts w:cs="Arial"/>
          <w:lang w:eastAsia="en-GB"/>
        </w:rPr>
        <w:t> </w:t>
      </w:r>
    </w:p>
    <w:p w14:paraId="76B9094C" w14:textId="77777777" w:rsidR="00252A9E" w:rsidRPr="002B1644" w:rsidRDefault="00252A9E" w:rsidP="00252A9E">
      <w:pPr>
        <w:ind w:left="270" w:right="-15"/>
        <w:textAlignment w:val="baseline"/>
        <w:rPr>
          <w:rFonts w:ascii="Segoe UI" w:hAnsi="Segoe UI" w:cs="Segoe UI"/>
          <w:lang w:eastAsia="en-GB"/>
        </w:rPr>
      </w:pPr>
      <w:r w:rsidRPr="002B1644">
        <w:rPr>
          <w:rFonts w:cs="Arial"/>
          <w:lang w:eastAsia="en-GB"/>
        </w:rPr>
        <w:t> </w:t>
      </w:r>
    </w:p>
    <w:p w14:paraId="33A68D77" w14:textId="77777777" w:rsidR="00252A9E" w:rsidRPr="002B1644" w:rsidRDefault="00252A9E" w:rsidP="00252A9E">
      <w:pPr>
        <w:textAlignment w:val="baseline"/>
        <w:rPr>
          <w:rFonts w:ascii="Segoe UI" w:hAnsi="Segoe UI" w:cs="Segoe UI"/>
          <w:lang w:eastAsia="en-GB"/>
        </w:rPr>
      </w:pPr>
      <w:r w:rsidRPr="002B1644">
        <w:rPr>
          <w:rFonts w:cs="Arial"/>
          <w:lang w:eastAsia="en-GB"/>
        </w:rPr>
        <w:t>The Authority also has restricted powers to make discretionary awards of retirement benefits in the event of early retirements. Any liabilities estimated to arise as a result of an award to any member of staff are accrued in the year of decision and accounted for using the same policies as are applied to the LGPS. </w:t>
      </w:r>
    </w:p>
    <w:p w14:paraId="178DD497"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37216DD6"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Events after the Balance Sheet Date</w:t>
      </w:r>
      <w:r w:rsidRPr="002B1644">
        <w:rPr>
          <w:rFonts w:cs="Arial"/>
          <w:lang w:eastAsia="en-GB"/>
        </w:rPr>
        <w:t> </w:t>
      </w:r>
    </w:p>
    <w:p w14:paraId="187F8170"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6E955F3B" w14:textId="77777777" w:rsidR="00252A9E" w:rsidRDefault="00252A9E" w:rsidP="00252A9E">
      <w:pPr>
        <w:textAlignment w:val="baseline"/>
        <w:rPr>
          <w:rFonts w:cs="Arial"/>
          <w:lang w:eastAsia="en-GB"/>
        </w:rPr>
      </w:pPr>
      <w:r w:rsidRPr="002B1644">
        <w:rPr>
          <w:rFonts w:cs="Arial"/>
          <w:lang w:eastAsia="en-GB"/>
        </w:rPr>
        <w:t>Events after the Balance Sheet date are events that might have a bearing upon the financial results of the past year and the financial position presented in the Balance Sheet and that occur between the Balance Sheet date and the date the financial statements are authorised for issue. There are two types of post Balance Sheet event: </w:t>
      </w:r>
    </w:p>
    <w:p w14:paraId="73734774" w14:textId="77777777" w:rsidR="00252A9E" w:rsidRPr="002B1644" w:rsidRDefault="00252A9E" w:rsidP="00252A9E">
      <w:pPr>
        <w:textAlignment w:val="baseline"/>
        <w:rPr>
          <w:rFonts w:ascii="Segoe UI" w:hAnsi="Segoe UI" w:cs="Segoe UI"/>
          <w:lang w:eastAsia="en-GB"/>
        </w:rPr>
      </w:pPr>
    </w:p>
    <w:p w14:paraId="28891212" w14:textId="77777777" w:rsidR="00252A9E" w:rsidRDefault="00252A9E" w:rsidP="00252A9E">
      <w:pPr>
        <w:numPr>
          <w:ilvl w:val="0"/>
          <w:numId w:val="33"/>
        </w:numPr>
        <w:ind w:left="870" w:firstLine="0"/>
        <w:textAlignment w:val="baseline"/>
        <w:rPr>
          <w:rFonts w:cs="Arial"/>
          <w:lang w:eastAsia="en-GB"/>
        </w:rPr>
      </w:pPr>
      <w:r w:rsidRPr="002B1644">
        <w:rPr>
          <w:rFonts w:cs="Arial"/>
          <w:lang w:eastAsia="en-GB"/>
        </w:rPr>
        <w:t>Those that provide evidence of conditions that existed at the Balance Sheet date. Where material, the financial statements and notes are amended to reflect the impact of these events. </w:t>
      </w:r>
    </w:p>
    <w:p w14:paraId="2D8709CB" w14:textId="77777777" w:rsidR="00252A9E" w:rsidRPr="002B1644" w:rsidRDefault="00252A9E" w:rsidP="00252A9E">
      <w:pPr>
        <w:ind w:left="870"/>
        <w:textAlignment w:val="baseline"/>
        <w:rPr>
          <w:rFonts w:cs="Arial"/>
          <w:lang w:eastAsia="en-GB"/>
        </w:rPr>
      </w:pPr>
    </w:p>
    <w:p w14:paraId="308F6EA3" w14:textId="77777777" w:rsidR="00252A9E" w:rsidRPr="002B1644" w:rsidRDefault="00252A9E" w:rsidP="00252A9E">
      <w:pPr>
        <w:numPr>
          <w:ilvl w:val="0"/>
          <w:numId w:val="34"/>
        </w:numPr>
        <w:ind w:left="870" w:firstLine="0"/>
        <w:textAlignment w:val="baseline"/>
        <w:rPr>
          <w:rFonts w:cs="Arial"/>
          <w:lang w:eastAsia="en-GB"/>
        </w:rPr>
      </w:pPr>
      <w:r w:rsidRPr="002B1644">
        <w:rPr>
          <w:rFonts w:cs="Arial"/>
          <w:lang w:eastAsia="en-GB"/>
        </w:rPr>
        <w:t>Those that are indicative of conditions that arose after the Balance Sheet date. The financial statements and notes are not amended to reflect these events but additional explanatory notes may be added where the effect is material. </w:t>
      </w:r>
    </w:p>
    <w:p w14:paraId="09943E68"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172AD16F" w14:textId="77777777" w:rsidR="00252A9E" w:rsidRPr="002B1644" w:rsidRDefault="00252A9E" w:rsidP="00252A9E">
      <w:pPr>
        <w:textAlignment w:val="baseline"/>
        <w:rPr>
          <w:rFonts w:ascii="Segoe UI" w:hAnsi="Segoe UI" w:cs="Segoe UI"/>
          <w:lang w:eastAsia="en-GB"/>
        </w:rPr>
      </w:pPr>
      <w:r w:rsidRPr="002B1644">
        <w:rPr>
          <w:rFonts w:cs="Arial"/>
          <w:lang w:eastAsia="en-GB"/>
        </w:rPr>
        <w:t>Events taking place after the date of authorisation for issue are not reflected in the financial statements. </w:t>
      </w:r>
    </w:p>
    <w:p w14:paraId="60B144E5" w14:textId="77777777" w:rsidR="00252A9E" w:rsidRPr="002B1644" w:rsidRDefault="00252A9E" w:rsidP="00252A9E">
      <w:pPr>
        <w:textAlignment w:val="baseline"/>
        <w:rPr>
          <w:rFonts w:ascii="Segoe UI" w:hAnsi="Segoe UI" w:cs="Segoe UI"/>
          <w:lang w:eastAsia="en-GB"/>
        </w:rPr>
      </w:pPr>
    </w:p>
    <w:p w14:paraId="0BAD0087"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Financial Instruments</w:t>
      </w:r>
      <w:r w:rsidRPr="002B1644">
        <w:rPr>
          <w:rFonts w:cs="Arial"/>
          <w:lang w:eastAsia="en-GB"/>
        </w:rPr>
        <w:t> </w:t>
      </w:r>
    </w:p>
    <w:p w14:paraId="06F9EDC6"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3D237748" w14:textId="77777777" w:rsidR="00252A9E" w:rsidRPr="002B1644" w:rsidRDefault="00252A9E" w:rsidP="00252A9E">
      <w:pPr>
        <w:textAlignment w:val="baseline"/>
        <w:rPr>
          <w:rFonts w:ascii="Segoe UI" w:hAnsi="Segoe UI" w:cs="Segoe UI"/>
          <w:lang w:eastAsia="en-GB"/>
        </w:rPr>
      </w:pPr>
      <w:r w:rsidRPr="002B1644">
        <w:rPr>
          <w:rFonts w:cs="Arial"/>
          <w:lang w:eastAsia="en-GB"/>
        </w:rPr>
        <w:t>Financial instruments held by the Authority are all classed as either financial liabilities or financial assets under the Code. The following items meeting the definition are contained within the Authority’s Balance Sheet. </w:t>
      </w:r>
    </w:p>
    <w:p w14:paraId="14A3E165" w14:textId="77777777" w:rsidR="00252A9E" w:rsidRPr="002B1644" w:rsidRDefault="00252A9E" w:rsidP="00252A9E">
      <w:pPr>
        <w:ind w:right="675"/>
        <w:textAlignment w:val="baseline"/>
        <w:rPr>
          <w:rFonts w:ascii="Segoe UI" w:hAnsi="Segoe UI" w:cs="Segoe UI"/>
          <w:lang w:eastAsia="en-GB"/>
        </w:rPr>
      </w:pPr>
      <w:r w:rsidRPr="002B1644">
        <w:rPr>
          <w:rFonts w:cs="Arial"/>
          <w:lang w:eastAsia="en-GB"/>
        </w:rPr>
        <w:t> </w:t>
      </w:r>
    </w:p>
    <w:p w14:paraId="6E0AAA2B" w14:textId="77777777" w:rsidR="00252A9E" w:rsidRPr="002B1644" w:rsidRDefault="00252A9E" w:rsidP="00252A9E">
      <w:pPr>
        <w:ind w:right="675"/>
        <w:textAlignment w:val="baseline"/>
        <w:rPr>
          <w:rFonts w:ascii="Segoe UI" w:hAnsi="Segoe UI" w:cs="Segoe UI"/>
          <w:lang w:eastAsia="en-GB"/>
        </w:rPr>
      </w:pPr>
      <w:r w:rsidRPr="002B1644">
        <w:rPr>
          <w:rFonts w:cs="Arial"/>
          <w:b/>
          <w:bCs/>
          <w:lang w:eastAsia="en-GB"/>
        </w:rPr>
        <w:t>Financial Liabilities</w:t>
      </w:r>
      <w:r w:rsidRPr="002B1644">
        <w:rPr>
          <w:rFonts w:cs="Arial"/>
          <w:lang w:eastAsia="en-GB"/>
        </w:rPr>
        <w:t> </w:t>
      </w:r>
    </w:p>
    <w:p w14:paraId="2A2F2297" w14:textId="77777777" w:rsidR="00252A9E" w:rsidRPr="002B1644" w:rsidRDefault="00252A9E" w:rsidP="00252A9E">
      <w:pPr>
        <w:ind w:left="284" w:right="675"/>
        <w:textAlignment w:val="baseline"/>
        <w:rPr>
          <w:rFonts w:ascii="Segoe UI" w:hAnsi="Segoe UI" w:cs="Segoe UI"/>
          <w:lang w:eastAsia="en-GB"/>
        </w:rPr>
      </w:pPr>
      <w:r w:rsidRPr="002B1644">
        <w:rPr>
          <w:rFonts w:cs="Arial"/>
          <w:lang w:eastAsia="en-GB"/>
        </w:rPr>
        <w:t> </w:t>
      </w:r>
    </w:p>
    <w:p w14:paraId="6D4ED524" w14:textId="77777777" w:rsidR="00252A9E" w:rsidRPr="002B1644" w:rsidRDefault="00252A9E" w:rsidP="00252A9E">
      <w:pPr>
        <w:ind w:right="675"/>
        <w:textAlignment w:val="baseline"/>
        <w:rPr>
          <w:rFonts w:ascii="Segoe UI" w:hAnsi="Segoe UI" w:cs="Segoe UI"/>
          <w:lang w:eastAsia="en-GB"/>
        </w:rPr>
      </w:pPr>
      <w:r w:rsidRPr="002B1644">
        <w:rPr>
          <w:rFonts w:cs="Arial"/>
          <w:lang w:eastAsia="en-GB"/>
        </w:rPr>
        <w:t xml:space="preserve">Financial liabilities are recognised on the Balance Sheet when the Authority becomes a party to the contractual provisions of a financial instrument and are initially measured at fair value and carried at their amortised cost. As the Authority is currently debt free it only has one type of financial liability and these relate to </w:t>
      </w:r>
      <w:r w:rsidRPr="002B1644">
        <w:rPr>
          <w:rFonts w:cs="Arial"/>
        </w:rPr>
        <w:t>creditors.</w:t>
      </w:r>
    </w:p>
    <w:p w14:paraId="0453C190" w14:textId="77777777" w:rsidR="00252A9E" w:rsidRPr="002B1644" w:rsidRDefault="00252A9E" w:rsidP="00252A9E">
      <w:pPr>
        <w:ind w:right="675"/>
        <w:textAlignment w:val="baseline"/>
        <w:rPr>
          <w:rFonts w:ascii="Segoe UI" w:hAnsi="Segoe UI" w:cs="Segoe UI"/>
          <w:lang w:eastAsia="en-GB"/>
        </w:rPr>
      </w:pPr>
      <w:r w:rsidRPr="002B1644">
        <w:rPr>
          <w:rFonts w:cs="Arial"/>
          <w:lang w:eastAsia="en-GB"/>
        </w:rPr>
        <w:t> </w:t>
      </w:r>
    </w:p>
    <w:p w14:paraId="1C3571FA" w14:textId="77777777" w:rsidR="00252A9E" w:rsidRPr="002B1644" w:rsidRDefault="00252A9E" w:rsidP="00252A9E">
      <w:pPr>
        <w:textAlignment w:val="baseline"/>
        <w:rPr>
          <w:rFonts w:ascii="Segoe UI" w:hAnsi="Segoe UI" w:cs="Segoe UI"/>
          <w:lang w:eastAsia="en-GB"/>
        </w:rPr>
      </w:pPr>
      <w:r w:rsidRPr="002B1644">
        <w:rPr>
          <w:rFonts w:cs="Arial"/>
          <w:lang w:eastAsia="en-GB"/>
        </w:rPr>
        <w:t>Creditors are recognised when a contractual arrangement is entered into between the Authority and a supplier to provide goods and services for an agreed price. The value of the creditors recognised in the Balance Sheet represents the current value of the outstanding liabilities of the Authority at 31 March as a proxy for amortised cost.  </w:t>
      </w:r>
    </w:p>
    <w:p w14:paraId="4962544B"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5C489E3B" w14:textId="77777777" w:rsidR="00252A9E" w:rsidRPr="002B1644" w:rsidRDefault="00252A9E" w:rsidP="00252A9E">
      <w:pPr>
        <w:ind w:right="675"/>
        <w:textAlignment w:val="baseline"/>
        <w:rPr>
          <w:rFonts w:ascii="Segoe UI" w:hAnsi="Segoe UI" w:cs="Segoe UI"/>
          <w:lang w:eastAsia="en-GB"/>
        </w:rPr>
      </w:pPr>
      <w:r w:rsidRPr="002B1644">
        <w:rPr>
          <w:rFonts w:cs="Arial"/>
          <w:b/>
          <w:bCs/>
          <w:lang w:eastAsia="en-GB"/>
        </w:rPr>
        <w:t>Financial Assets</w:t>
      </w:r>
      <w:r w:rsidRPr="002B1644">
        <w:rPr>
          <w:rFonts w:cs="Arial"/>
          <w:lang w:eastAsia="en-GB"/>
        </w:rPr>
        <w:t> </w:t>
      </w:r>
    </w:p>
    <w:p w14:paraId="68EB273B" w14:textId="77777777" w:rsidR="00252A9E" w:rsidRPr="002B1644" w:rsidRDefault="00252A9E" w:rsidP="00252A9E">
      <w:pPr>
        <w:ind w:right="675"/>
        <w:textAlignment w:val="baseline"/>
        <w:rPr>
          <w:rFonts w:ascii="Segoe UI" w:hAnsi="Segoe UI" w:cs="Segoe UI"/>
          <w:lang w:eastAsia="en-GB"/>
        </w:rPr>
      </w:pPr>
      <w:r w:rsidRPr="002B1644">
        <w:rPr>
          <w:rFonts w:cs="Arial"/>
          <w:lang w:eastAsia="en-GB"/>
        </w:rPr>
        <w:t> </w:t>
      </w:r>
    </w:p>
    <w:p w14:paraId="204CEE8F" w14:textId="77777777" w:rsidR="00252A9E" w:rsidRPr="002B1644" w:rsidRDefault="00252A9E" w:rsidP="00252A9E">
      <w:pPr>
        <w:textAlignment w:val="baseline"/>
        <w:rPr>
          <w:rFonts w:ascii="Segoe UI" w:hAnsi="Segoe UI" w:cs="Segoe UI"/>
          <w:lang w:eastAsia="en-GB"/>
        </w:rPr>
      </w:pPr>
      <w:r w:rsidRPr="002B1644">
        <w:rPr>
          <w:rFonts w:cs="Arial"/>
          <w:lang w:eastAsia="en-GB"/>
        </w:rPr>
        <w:t>Financial assets are classified based on a classification and measurement approach that reflects the business model for holding the financial assets and their cashflow characteristics. The authority holds two main types, those accounted for at Amortised Cost and those at Fair Value. </w:t>
      </w:r>
    </w:p>
    <w:p w14:paraId="42689B8C" w14:textId="77777777" w:rsidR="00252A9E" w:rsidRPr="002B1644" w:rsidRDefault="00252A9E" w:rsidP="00252A9E">
      <w:pPr>
        <w:ind w:left="284"/>
        <w:textAlignment w:val="baseline"/>
        <w:rPr>
          <w:rFonts w:ascii="Segoe UI" w:hAnsi="Segoe UI" w:cs="Segoe UI"/>
          <w:lang w:eastAsia="en-GB"/>
        </w:rPr>
      </w:pPr>
      <w:r w:rsidRPr="002B1644">
        <w:rPr>
          <w:rFonts w:cs="Arial"/>
          <w:lang w:eastAsia="en-GB"/>
        </w:rPr>
        <w:t> </w:t>
      </w:r>
    </w:p>
    <w:p w14:paraId="42241B28" w14:textId="77777777" w:rsidR="00252A9E" w:rsidRPr="002B1644" w:rsidRDefault="00252A9E" w:rsidP="00252A9E">
      <w:pPr>
        <w:textAlignment w:val="baseline"/>
        <w:rPr>
          <w:rFonts w:cs="Arial"/>
        </w:rPr>
      </w:pPr>
      <w:r w:rsidRPr="002B1644">
        <w:rPr>
          <w:rFonts w:cs="Arial"/>
          <w:b/>
          <w:bCs/>
        </w:rPr>
        <w:t>Amortised Cost</w:t>
      </w:r>
      <w:r w:rsidRPr="002B1644">
        <w:rPr>
          <w:rFonts w:cs="Arial"/>
        </w:rPr>
        <w:t> </w:t>
      </w:r>
    </w:p>
    <w:p w14:paraId="7E32AA70" w14:textId="77777777" w:rsidR="00252A9E" w:rsidRPr="002B1644" w:rsidRDefault="00252A9E" w:rsidP="00252A9E">
      <w:pPr>
        <w:tabs>
          <w:tab w:val="num" w:pos="720"/>
        </w:tabs>
        <w:textAlignment w:val="baseline"/>
        <w:rPr>
          <w:rFonts w:ascii="Segoe UI" w:hAnsi="Segoe UI" w:cs="Segoe UI"/>
          <w:lang w:eastAsia="en-GB"/>
        </w:rPr>
      </w:pPr>
      <w:r w:rsidRPr="002B1644">
        <w:rPr>
          <w:rFonts w:cs="Arial"/>
          <w:lang w:eastAsia="en-GB"/>
        </w:rPr>
        <w:t> </w:t>
      </w:r>
    </w:p>
    <w:p w14:paraId="78C193E1" w14:textId="77777777" w:rsidR="00252A9E" w:rsidRPr="002B1644" w:rsidRDefault="00252A9E" w:rsidP="00252A9E">
      <w:pPr>
        <w:tabs>
          <w:tab w:val="num" w:pos="720"/>
        </w:tabs>
        <w:textAlignment w:val="baseline"/>
        <w:rPr>
          <w:rFonts w:ascii="Segoe UI" w:hAnsi="Segoe UI" w:cs="Segoe UI"/>
          <w:lang w:eastAsia="en-GB"/>
        </w:rPr>
      </w:pPr>
      <w:r w:rsidRPr="002B1644">
        <w:rPr>
          <w:rFonts w:cs="Arial"/>
          <w:lang w:eastAsia="en-GB"/>
        </w:rPr>
        <w:t>Where the Authority’s business model is to hold financial assets to collect contractual cash flows, it classifies these financial assets as measured at amortised cost. These assets are recognised on the Balance Sheet when the Authority becomes a party to the contractual provisions of a financial instrument and are initially measured at fair value. They are subsequently measured at their amortised cost. The Authority has two types of assets that meet this class of financial asset, being trade receivables and cash and bank deposits.  </w:t>
      </w:r>
    </w:p>
    <w:p w14:paraId="35530F0F" w14:textId="77777777" w:rsidR="00252A9E" w:rsidRPr="002B1644" w:rsidRDefault="00252A9E" w:rsidP="00252A9E">
      <w:pPr>
        <w:tabs>
          <w:tab w:val="num" w:pos="720"/>
        </w:tabs>
        <w:textAlignment w:val="baseline"/>
        <w:rPr>
          <w:rFonts w:ascii="Segoe UI" w:hAnsi="Segoe UI" w:cs="Segoe UI"/>
          <w:lang w:eastAsia="en-GB"/>
        </w:rPr>
      </w:pPr>
      <w:r w:rsidRPr="002B1644">
        <w:rPr>
          <w:rFonts w:cs="Arial"/>
          <w:lang w:eastAsia="en-GB"/>
        </w:rPr>
        <w:t> </w:t>
      </w:r>
    </w:p>
    <w:p w14:paraId="4E7570B7" w14:textId="77777777" w:rsidR="00252A9E" w:rsidRPr="002B1644" w:rsidRDefault="00252A9E" w:rsidP="00252A9E">
      <w:pPr>
        <w:tabs>
          <w:tab w:val="num" w:pos="720"/>
        </w:tabs>
        <w:textAlignment w:val="baseline"/>
        <w:rPr>
          <w:rFonts w:ascii="Segoe UI" w:hAnsi="Segoe UI" w:cs="Segoe UI"/>
          <w:lang w:eastAsia="en-GB"/>
        </w:rPr>
      </w:pPr>
      <w:r w:rsidRPr="002B1644">
        <w:rPr>
          <w:rFonts w:cs="Arial"/>
          <w:lang w:eastAsia="en-GB"/>
        </w:rPr>
        <w:t>Trade receivables are recognised when a contractual arrangement is entered into between the Authority and a debtor for the provision of goods and services for an agreed sum. The value of debtors in the Balance Sheet represents the current value of the outstanding debts owed to the Authority at 31 March as a proxy for amortised cost. Impairment losses are calculated to reflect the expectation that the future cash flows might not take place because the borrower could default on their obligations. The Authority recognises expected credit losses on its trade receivables using the simplified approach to the lifetime credit loss model. Using this approach, expected lifetime credit losses on individual debts are calculated based on an assessed credit risk. Changes to the impairment loss allowance are charged to the Comprehensive Income and Expenditure Statement. </w:t>
      </w:r>
    </w:p>
    <w:p w14:paraId="0A71F426" w14:textId="77777777" w:rsidR="00252A9E" w:rsidRPr="002B1644" w:rsidRDefault="00252A9E" w:rsidP="00252A9E">
      <w:pPr>
        <w:tabs>
          <w:tab w:val="num" w:pos="720"/>
        </w:tabs>
        <w:textAlignment w:val="baseline"/>
        <w:rPr>
          <w:rFonts w:ascii="Segoe UI" w:hAnsi="Segoe UI" w:cs="Segoe UI"/>
          <w:lang w:eastAsia="en-GB"/>
        </w:rPr>
      </w:pPr>
      <w:r w:rsidRPr="002B1644">
        <w:rPr>
          <w:rFonts w:cs="Arial"/>
          <w:lang w:eastAsia="en-GB"/>
        </w:rPr>
        <w:t> </w:t>
      </w:r>
    </w:p>
    <w:p w14:paraId="50B01D36" w14:textId="77777777" w:rsidR="00252A9E" w:rsidRPr="002B1644" w:rsidRDefault="00252A9E" w:rsidP="00252A9E">
      <w:pPr>
        <w:tabs>
          <w:tab w:val="num" w:pos="720"/>
        </w:tabs>
        <w:textAlignment w:val="baseline"/>
        <w:rPr>
          <w:rFonts w:ascii="Segoe UI" w:hAnsi="Segoe UI" w:cs="Segoe UI"/>
          <w:lang w:eastAsia="en-GB"/>
        </w:rPr>
      </w:pPr>
      <w:r w:rsidRPr="002B1644">
        <w:rPr>
          <w:rFonts w:cs="Arial"/>
          <w:lang w:eastAsia="en-GB"/>
        </w:rPr>
        <w:t>Cash and bank deposits are shown in the Balance Sheet at amortised cost using the effective interest rate of the individual investments. For all the investments that the Authority has made, this means that the amount shown in the Balance Sheet is the amount of principal due to be repaid to the Authority, and the interest credited to the Comprehensive Income and Expenditure Statement, is the amount receivable by the Authority under the terms of the agreement. Expected credit losses are assessed using the credit rating of the financial institution and the related product.  </w:t>
      </w:r>
    </w:p>
    <w:p w14:paraId="377A223C" w14:textId="77777777" w:rsidR="00BB0672" w:rsidRDefault="00BB0672" w:rsidP="00252A9E">
      <w:pPr>
        <w:tabs>
          <w:tab w:val="num" w:pos="720"/>
        </w:tabs>
        <w:ind w:left="284" w:right="675"/>
        <w:textAlignment w:val="baseline"/>
        <w:rPr>
          <w:rFonts w:cs="Arial"/>
          <w:lang w:eastAsia="en-GB"/>
        </w:rPr>
      </w:pPr>
    </w:p>
    <w:p w14:paraId="0F5D7E6E" w14:textId="29F502D3" w:rsidR="00252A9E" w:rsidRPr="002B1644" w:rsidRDefault="00252A9E" w:rsidP="00252A9E">
      <w:pPr>
        <w:tabs>
          <w:tab w:val="num" w:pos="720"/>
        </w:tabs>
        <w:ind w:left="284" w:right="675"/>
        <w:textAlignment w:val="baseline"/>
        <w:rPr>
          <w:rFonts w:ascii="Segoe UI" w:hAnsi="Segoe UI" w:cs="Segoe UI"/>
          <w:lang w:eastAsia="en-GB"/>
        </w:rPr>
      </w:pPr>
      <w:r w:rsidRPr="002B1644">
        <w:rPr>
          <w:rFonts w:cs="Arial"/>
          <w:lang w:eastAsia="en-GB"/>
        </w:rPr>
        <w:t> </w:t>
      </w:r>
    </w:p>
    <w:p w14:paraId="10C80553" w14:textId="77777777" w:rsidR="00252A9E" w:rsidRPr="002B1644" w:rsidRDefault="00252A9E" w:rsidP="00252A9E">
      <w:pPr>
        <w:textAlignment w:val="baseline"/>
        <w:rPr>
          <w:rFonts w:cs="Arial"/>
          <w:lang w:eastAsia="en-GB"/>
        </w:rPr>
      </w:pPr>
      <w:r w:rsidRPr="002B1644">
        <w:rPr>
          <w:rFonts w:cs="Arial"/>
          <w:b/>
          <w:bCs/>
          <w:lang w:eastAsia="en-GB"/>
        </w:rPr>
        <w:lastRenderedPageBreak/>
        <w:t>Fair Value through Other Comprehensive Income</w:t>
      </w:r>
      <w:r w:rsidRPr="002B1644">
        <w:rPr>
          <w:rFonts w:cs="Arial"/>
          <w:lang w:eastAsia="en-GB"/>
        </w:rPr>
        <w:t> </w:t>
      </w:r>
    </w:p>
    <w:p w14:paraId="6480FFF1" w14:textId="77777777" w:rsidR="00252A9E" w:rsidRPr="002B1644" w:rsidRDefault="00252A9E" w:rsidP="00252A9E">
      <w:pPr>
        <w:tabs>
          <w:tab w:val="num" w:pos="720"/>
        </w:tabs>
        <w:textAlignment w:val="baseline"/>
        <w:rPr>
          <w:rFonts w:ascii="Segoe UI" w:hAnsi="Segoe UI" w:cs="Segoe UI"/>
          <w:lang w:eastAsia="en-GB"/>
        </w:rPr>
      </w:pPr>
      <w:r w:rsidRPr="002B1644">
        <w:rPr>
          <w:rFonts w:cs="Arial"/>
          <w:lang w:eastAsia="en-GB"/>
        </w:rPr>
        <w:t> </w:t>
      </w:r>
    </w:p>
    <w:p w14:paraId="43E7A2A2" w14:textId="77777777" w:rsidR="00252A9E" w:rsidRPr="002B1644" w:rsidRDefault="00252A9E" w:rsidP="00252A9E">
      <w:pPr>
        <w:tabs>
          <w:tab w:val="num" w:pos="720"/>
        </w:tabs>
        <w:textAlignment w:val="baseline"/>
        <w:rPr>
          <w:rFonts w:ascii="Segoe UI" w:hAnsi="Segoe UI" w:cs="Segoe UI"/>
          <w:lang w:eastAsia="en-GB"/>
        </w:rPr>
      </w:pPr>
      <w:r w:rsidRPr="002B1644">
        <w:rPr>
          <w:rFonts w:cs="Arial"/>
          <w:lang w:eastAsia="en-GB"/>
        </w:rPr>
        <w:t>Changes in fair value are accumulated in the Financial Instruments Revaluation Reserve until the asset is derecognised, at which point the net gain or loss is transferred to the General Fund Balance. </w:t>
      </w:r>
    </w:p>
    <w:p w14:paraId="2856F1C7" w14:textId="77777777" w:rsidR="00252A9E" w:rsidRDefault="00252A9E" w:rsidP="00252A9E">
      <w:pPr>
        <w:textAlignment w:val="baseline"/>
        <w:rPr>
          <w:rFonts w:cs="Arial"/>
          <w:lang w:eastAsia="en-GB"/>
        </w:rPr>
      </w:pPr>
      <w:r w:rsidRPr="002B1644">
        <w:rPr>
          <w:rFonts w:cs="Arial"/>
          <w:lang w:eastAsia="en-GB"/>
        </w:rPr>
        <w:t> </w:t>
      </w:r>
    </w:p>
    <w:p w14:paraId="2A86195D" w14:textId="77777777" w:rsidR="00252A9E" w:rsidRPr="002B1644" w:rsidRDefault="00252A9E" w:rsidP="00252A9E">
      <w:pPr>
        <w:ind w:right="675"/>
        <w:textAlignment w:val="baseline"/>
        <w:rPr>
          <w:rFonts w:ascii="Segoe UI" w:hAnsi="Segoe UI" w:cs="Segoe UI"/>
          <w:lang w:eastAsia="en-GB"/>
        </w:rPr>
      </w:pPr>
      <w:r w:rsidRPr="002B1644">
        <w:rPr>
          <w:rFonts w:cs="Arial"/>
          <w:b/>
          <w:bCs/>
          <w:lang w:eastAsia="en-GB"/>
        </w:rPr>
        <w:t>Government Grants and Contributions </w:t>
      </w:r>
      <w:r w:rsidRPr="002B1644">
        <w:rPr>
          <w:rFonts w:cs="Arial"/>
          <w:lang w:eastAsia="en-GB"/>
        </w:rPr>
        <w:t> </w:t>
      </w:r>
    </w:p>
    <w:p w14:paraId="7587D5DB"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772420ED" w14:textId="77777777" w:rsidR="00252A9E" w:rsidRPr="002B1644" w:rsidRDefault="00252A9E" w:rsidP="00252A9E">
      <w:pPr>
        <w:textAlignment w:val="baseline"/>
        <w:rPr>
          <w:rFonts w:ascii="Segoe UI" w:hAnsi="Segoe UI" w:cs="Segoe UI"/>
          <w:lang w:eastAsia="en-GB"/>
        </w:rPr>
      </w:pPr>
      <w:r w:rsidRPr="002B1644">
        <w:rPr>
          <w:rFonts w:cs="Arial"/>
          <w:lang w:eastAsia="en-GB"/>
        </w:rPr>
        <w:t>Revenue grants are recognised as income at the date that there is reasonable assurance that the grant conditions will be met and that the grant will be paid by the funding body. Conditions are stipulations that specify that the grant must be returned to the funder if not used as specified. Grants where conditions have not been met are carried in the Balance Sheet as creditors until conditions are satisfied, at which point they are credited to the relevant service line in the Comprehensive Income and Expenditure Statement. Grants and contributions used to finance the acquisition of a non-current asset are initially credited to Capital Receipts in Advance and then recognised in the Comprehensive Income and Expenditure Statement when any conditions are met. These grants are reversed out of the General Reserve to the Capital Grants Unapplied Account until the capital expenditure is incurred, in which case they are transferred to the Capital Adjustment Account through the Movement in Reserves Statement. </w:t>
      </w:r>
    </w:p>
    <w:p w14:paraId="4010135E"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43C3CCF2"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Inventories, Work in Progress and Long-Term Contracts</w:t>
      </w:r>
      <w:r w:rsidRPr="002B1644">
        <w:rPr>
          <w:rFonts w:cs="Arial"/>
          <w:lang w:eastAsia="en-GB"/>
        </w:rPr>
        <w:t> </w:t>
      </w:r>
    </w:p>
    <w:p w14:paraId="499A4AE9"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3F38B52B"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Inventories held for resale at the Lake District Visitor Centre and the Information Centres and at the Authority’s depots for repairs and maintenance are reflected in the Balance Sheet at the lower of cost or net realisable value. </w:t>
      </w:r>
    </w:p>
    <w:p w14:paraId="7D8B1B5E"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5CA5E2CD" w14:textId="77777777" w:rsidR="00252A9E" w:rsidRPr="002B1644" w:rsidRDefault="00252A9E" w:rsidP="00252A9E">
      <w:pPr>
        <w:textAlignment w:val="baseline"/>
        <w:rPr>
          <w:rFonts w:ascii="Segoe UI" w:hAnsi="Segoe UI" w:cs="Segoe UI"/>
          <w:lang w:eastAsia="en-GB"/>
        </w:rPr>
      </w:pPr>
      <w:r w:rsidRPr="002B1644">
        <w:rPr>
          <w:rFonts w:cs="Arial"/>
          <w:lang w:eastAsia="en-GB"/>
        </w:rPr>
        <w:t>Work in progress is valued at cost in the Balance Sheet. </w:t>
      </w:r>
    </w:p>
    <w:p w14:paraId="62FAC3D6"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 </w:t>
      </w:r>
    </w:p>
    <w:p w14:paraId="4937E220"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Long term contracts are accounted for on the basis of charging the Surplus or Deficit on the Provision of Services with the value of works and services received under the contract during the year.  </w:t>
      </w:r>
    </w:p>
    <w:p w14:paraId="7FEAC95A"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6D3B78D4"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Investment Property</w:t>
      </w:r>
      <w:r w:rsidRPr="002B1644">
        <w:rPr>
          <w:rFonts w:cs="Arial"/>
          <w:lang w:eastAsia="en-GB"/>
        </w:rPr>
        <w:t> </w:t>
      </w:r>
    </w:p>
    <w:p w14:paraId="1D975607"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51CC0B81" w14:textId="77777777" w:rsidR="00252A9E" w:rsidRPr="002B1644" w:rsidRDefault="00252A9E" w:rsidP="00252A9E">
      <w:pPr>
        <w:textAlignment w:val="baseline"/>
        <w:rPr>
          <w:rFonts w:ascii="Segoe UI" w:hAnsi="Segoe UI" w:cs="Segoe UI"/>
          <w:lang w:eastAsia="en-GB"/>
        </w:rPr>
      </w:pPr>
      <w:r w:rsidRPr="002B1644">
        <w:rPr>
          <w:rFonts w:cs="Arial"/>
          <w:lang w:eastAsia="en-GB"/>
        </w:rPr>
        <w:t>Investment properties are defined as those held solely to earn rentals or for capital appreciation or both. Investment property is measured initially at cost and subsequently at fair value based on the amount at which the asset could be exchanged between knowledgeable parties at arm’s length. As a non-financial asset, investment properties are measured at highest and best use. Properties are revalued annually according to market conditions at year end</w:t>
      </w:r>
      <w:r>
        <w:rPr>
          <w:rFonts w:cs="Arial"/>
          <w:lang w:eastAsia="en-GB"/>
        </w:rPr>
        <w:t xml:space="preserve">. </w:t>
      </w:r>
      <w:bookmarkStart w:id="157" w:name="_Hlk155953230"/>
      <w:r>
        <w:rPr>
          <w:rFonts w:cs="Arial"/>
          <w:lang w:eastAsia="en-GB"/>
        </w:rPr>
        <w:t>Statutory adjustments are applied so that revaluation movements have no impact on the Authority’s usable reserves.</w:t>
      </w:r>
      <w:bookmarkEnd w:id="157"/>
    </w:p>
    <w:p w14:paraId="1BE24036" w14:textId="77777777" w:rsidR="00252A9E" w:rsidRPr="002B1644" w:rsidRDefault="00252A9E" w:rsidP="00252A9E">
      <w:pPr>
        <w:ind w:left="720"/>
        <w:textAlignment w:val="baseline"/>
        <w:rPr>
          <w:rFonts w:ascii="Segoe UI" w:hAnsi="Segoe UI" w:cs="Segoe UI"/>
          <w:lang w:eastAsia="en-GB"/>
        </w:rPr>
      </w:pPr>
      <w:r w:rsidRPr="002B1644">
        <w:rPr>
          <w:rFonts w:cs="Arial"/>
          <w:lang w:eastAsia="en-GB"/>
        </w:rPr>
        <w:t> </w:t>
      </w:r>
    </w:p>
    <w:p w14:paraId="51C6241E"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Leases</w:t>
      </w:r>
      <w:r w:rsidRPr="002B1644">
        <w:rPr>
          <w:rFonts w:cs="Arial"/>
          <w:lang w:eastAsia="en-GB"/>
        </w:rPr>
        <w:t> </w:t>
      </w:r>
    </w:p>
    <w:p w14:paraId="39647E32"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5F4A2233" w14:textId="77777777" w:rsidR="00252A9E" w:rsidRPr="002B1644" w:rsidRDefault="00252A9E" w:rsidP="00252A9E">
      <w:pPr>
        <w:textAlignment w:val="baseline"/>
        <w:rPr>
          <w:rFonts w:ascii="Segoe UI" w:hAnsi="Segoe UI" w:cs="Segoe UI"/>
          <w:lang w:eastAsia="en-GB"/>
        </w:rPr>
      </w:pPr>
      <w:r w:rsidRPr="002B1644">
        <w:rPr>
          <w:rFonts w:cs="Arial"/>
          <w:lang w:eastAsia="en-GB"/>
        </w:rPr>
        <w:t>The Authority accounts for leases as finance leases when substantially all the risks and rewards relating to the leased asset transfer from the lessor to the lessee. Where a lease covers both land and buildings, the land and buildings elements are considered separately for classification. Leases that do not meet the definition of finance leases are accounted for as operating leases. </w:t>
      </w:r>
    </w:p>
    <w:p w14:paraId="3A0ED6CB"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66530289" w14:textId="77777777" w:rsidR="00252A9E" w:rsidRPr="00940970" w:rsidRDefault="00252A9E" w:rsidP="00252A9E">
      <w:pPr>
        <w:ind w:left="284"/>
        <w:textAlignment w:val="baseline"/>
        <w:rPr>
          <w:rFonts w:cs="Arial"/>
          <w:lang w:eastAsia="en-GB"/>
        </w:rPr>
      </w:pPr>
      <w:r>
        <w:rPr>
          <w:rFonts w:cs="Arial"/>
          <w:b/>
          <w:bCs/>
          <w:lang w:eastAsia="en-GB"/>
        </w:rPr>
        <w:t xml:space="preserve">1. </w:t>
      </w:r>
      <w:r w:rsidRPr="002B1644">
        <w:rPr>
          <w:rFonts w:cs="Arial"/>
          <w:b/>
          <w:bCs/>
          <w:lang w:eastAsia="en-GB"/>
        </w:rPr>
        <w:t>Authority as Lessee</w:t>
      </w:r>
      <w:r w:rsidRPr="002B1644">
        <w:rPr>
          <w:rFonts w:cs="Arial"/>
          <w:lang w:eastAsia="en-GB"/>
        </w:rPr>
        <w:t> </w:t>
      </w:r>
    </w:p>
    <w:p w14:paraId="199524FA" w14:textId="77777777" w:rsidR="00252A9E" w:rsidRPr="002B1644" w:rsidRDefault="00252A9E" w:rsidP="00252A9E">
      <w:pPr>
        <w:ind w:left="284" w:right="-15"/>
        <w:textAlignment w:val="baseline"/>
        <w:rPr>
          <w:rFonts w:ascii="Segoe UI" w:hAnsi="Segoe UI" w:cs="Segoe UI"/>
          <w:lang w:eastAsia="en-GB"/>
        </w:rPr>
      </w:pPr>
      <w:r w:rsidRPr="002B1644">
        <w:rPr>
          <w:rFonts w:cs="Arial"/>
          <w:lang w:eastAsia="en-GB"/>
        </w:rPr>
        <w:t xml:space="preserve">Lease payments relating to finance leases are apportioned between a charge for the acquisition of the interest in the asset, which is recognised as a liability in the Balance Sheet at the start of the lease and written down as the rent becomes payable, and a finance charge - debited to the Comprehensive Income and Expenditure Statement as the rent </w:t>
      </w:r>
      <w:r w:rsidRPr="002B1644">
        <w:rPr>
          <w:rFonts w:cs="Arial"/>
          <w:lang w:eastAsia="en-GB"/>
        </w:rPr>
        <w:lastRenderedPageBreak/>
        <w:t>becomes payable. Non-current assets recognised under finance leases are accounted for using the policies applied generally to Property, Plant and Equipment assets. </w:t>
      </w:r>
    </w:p>
    <w:p w14:paraId="09B8512E" w14:textId="77777777" w:rsidR="00252A9E" w:rsidRPr="002B1644" w:rsidRDefault="00252A9E" w:rsidP="00252A9E">
      <w:pPr>
        <w:ind w:left="284" w:right="-15"/>
        <w:textAlignment w:val="baseline"/>
        <w:rPr>
          <w:rFonts w:ascii="Segoe UI" w:hAnsi="Segoe UI" w:cs="Segoe UI"/>
          <w:lang w:eastAsia="en-GB"/>
        </w:rPr>
      </w:pPr>
      <w:r w:rsidRPr="002B1644">
        <w:rPr>
          <w:rFonts w:cs="Arial"/>
          <w:lang w:eastAsia="en-GB"/>
        </w:rPr>
        <w:t> </w:t>
      </w:r>
    </w:p>
    <w:p w14:paraId="7F0F1AB0" w14:textId="77777777" w:rsidR="00252A9E" w:rsidRPr="002B1644" w:rsidRDefault="00252A9E" w:rsidP="00252A9E">
      <w:pPr>
        <w:ind w:left="284" w:right="-15"/>
        <w:textAlignment w:val="baseline"/>
        <w:rPr>
          <w:rFonts w:ascii="Segoe UI" w:hAnsi="Segoe UI" w:cs="Segoe UI"/>
          <w:lang w:eastAsia="en-GB"/>
        </w:rPr>
      </w:pPr>
      <w:r w:rsidRPr="002B1644">
        <w:rPr>
          <w:rFonts w:cs="Arial"/>
          <w:lang w:eastAsia="en-GB"/>
        </w:rPr>
        <w:t>Lease payments for operating leases are charged to the Comprehensive Income and Expenditure Statement as an expense to the service benefitting from the use of the leased asset. Charges are made on a straight-line basis over the life of the lease. </w:t>
      </w:r>
    </w:p>
    <w:p w14:paraId="017FCEFF" w14:textId="77777777" w:rsidR="00252A9E" w:rsidRDefault="00252A9E" w:rsidP="00252A9E">
      <w:pPr>
        <w:ind w:left="284" w:right="-15"/>
        <w:textAlignment w:val="baseline"/>
        <w:rPr>
          <w:rFonts w:cs="Arial"/>
          <w:lang w:eastAsia="en-GB"/>
        </w:rPr>
      </w:pPr>
      <w:r w:rsidRPr="002B1644">
        <w:rPr>
          <w:rFonts w:cs="Arial"/>
          <w:lang w:eastAsia="en-GB"/>
        </w:rPr>
        <w:t> </w:t>
      </w:r>
    </w:p>
    <w:p w14:paraId="1F34C642" w14:textId="77777777" w:rsidR="00252A9E" w:rsidRDefault="00252A9E" w:rsidP="00252A9E">
      <w:pPr>
        <w:ind w:left="284"/>
        <w:textAlignment w:val="baseline"/>
        <w:rPr>
          <w:rFonts w:cs="Arial"/>
          <w:b/>
          <w:bCs/>
          <w:lang w:eastAsia="en-GB"/>
        </w:rPr>
      </w:pPr>
    </w:p>
    <w:p w14:paraId="46A69F9A" w14:textId="77777777" w:rsidR="00252A9E" w:rsidRPr="00940970" w:rsidRDefault="00252A9E" w:rsidP="00252A9E">
      <w:pPr>
        <w:ind w:left="284"/>
        <w:textAlignment w:val="baseline"/>
        <w:rPr>
          <w:rFonts w:cs="Arial"/>
          <w:lang w:eastAsia="en-GB"/>
        </w:rPr>
      </w:pPr>
      <w:r>
        <w:rPr>
          <w:rFonts w:cs="Arial"/>
          <w:b/>
          <w:bCs/>
          <w:lang w:eastAsia="en-GB"/>
        </w:rPr>
        <w:t xml:space="preserve">2. </w:t>
      </w:r>
      <w:r w:rsidRPr="002B1644">
        <w:rPr>
          <w:rFonts w:cs="Arial"/>
          <w:b/>
          <w:bCs/>
          <w:lang w:eastAsia="en-GB"/>
        </w:rPr>
        <w:t>Authority as Lessor</w:t>
      </w:r>
      <w:r w:rsidRPr="002B1644">
        <w:rPr>
          <w:rFonts w:cs="Arial"/>
          <w:lang w:eastAsia="en-GB"/>
        </w:rPr>
        <w:t> </w:t>
      </w:r>
    </w:p>
    <w:p w14:paraId="0145C32F" w14:textId="77777777" w:rsidR="00252A9E" w:rsidRPr="002B1644" w:rsidRDefault="00252A9E" w:rsidP="00252A9E">
      <w:pPr>
        <w:ind w:left="284" w:right="-15"/>
        <w:textAlignment w:val="baseline"/>
        <w:rPr>
          <w:rFonts w:ascii="Segoe UI" w:hAnsi="Segoe UI" w:cs="Segoe UI"/>
          <w:lang w:eastAsia="en-GB"/>
        </w:rPr>
      </w:pPr>
      <w:r w:rsidRPr="002B1644">
        <w:rPr>
          <w:rFonts w:cs="Arial"/>
          <w:lang w:eastAsia="en-GB"/>
        </w:rPr>
        <w:t>The Authority acts in the capacity of lessor for the lease of land and property it owns. Lease payments receivable under finance leases are apportioned between a charge for the acquisition of the interest in the property, applied to write down the lease debtor and finance income which is credited to the Comprehensive Income and Expenditure Statement. In addition, for new finance leases, a charge will be made to the General Fund Balance and a credit made to the Capital Receipts Reserve to the value of the non-interest element. </w:t>
      </w:r>
    </w:p>
    <w:p w14:paraId="6C5D90FA" w14:textId="77777777" w:rsidR="00252A9E" w:rsidRPr="002B1644" w:rsidRDefault="00252A9E" w:rsidP="00252A9E">
      <w:pPr>
        <w:ind w:left="284" w:right="-15"/>
        <w:textAlignment w:val="baseline"/>
        <w:rPr>
          <w:rFonts w:ascii="Segoe UI" w:hAnsi="Segoe UI" w:cs="Segoe UI"/>
          <w:lang w:eastAsia="en-GB"/>
        </w:rPr>
      </w:pPr>
      <w:r w:rsidRPr="002B1644">
        <w:rPr>
          <w:rFonts w:cs="Arial"/>
          <w:lang w:eastAsia="en-GB"/>
        </w:rPr>
        <w:t> </w:t>
      </w:r>
    </w:p>
    <w:p w14:paraId="5C8FBBC8"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Lease payments due under operating leases are accounted for on an accruals basis in the Comprehensive Income and Expenditure Statement as they become due. Where the Authority acts as lessor, land and property leased under operating leases are held as a non-current asset within the Balance Sheet and valued in accordance with the measurement bases set out in the policy on Property, Plant and Equipment. </w:t>
      </w:r>
    </w:p>
    <w:p w14:paraId="1123E1DE" w14:textId="77777777" w:rsidR="00252A9E" w:rsidRPr="002B1644" w:rsidRDefault="00252A9E" w:rsidP="00252A9E">
      <w:pPr>
        <w:ind w:left="705" w:right="-15"/>
        <w:textAlignment w:val="baseline"/>
        <w:rPr>
          <w:rFonts w:ascii="Segoe UI" w:hAnsi="Segoe UI" w:cs="Segoe UI"/>
          <w:lang w:eastAsia="en-GB"/>
        </w:rPr>
      </w:pPr>
      <w:r w:rsidRPr="002B1644">
        <w:rPr>
          <w:rFonts w:cs="Arial"/>
          <w:lang w:eastAsia="en-GB"/>
        </w:rPr>
        <w:t> </w:t>
      </w:r>
    </w:p>
    <w:p w14:paraId="289CBEF1"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Overheads and Support Services</w:t>
      </w:r>
      <w:r w:rsidRPr="002B1644">
        <w:rPr>
          <w:rFonts w:cs="Arial"/>
          <w:lang w:eastAsia="en-GB"/>
        </w:rPr>
        <w:t> </w:t>
      </w:r>
    </w:p>
    <w:p w14:paraId="2055ED5B" w14:textId="77777777" w:rsidR="00252A9E" w:rsidRPr="002B1644" w:rsidRDefault="00252A9E" w:rsidP="00252A9E">
      <w:pPr>
        <w:ind w:firstLine="720"/>
        <w:textAlignment w:val="baseline"/>
        <w:rPr>
          <w:rFonts w:ascii="Segoe UI" w:hAnsi="Segoe UI" w:cs="Segoe UI"/>
          <w:lang w:eastAsia="en-GB"/>
        </w:rPr>
      </w:pPr>
      <w:r w:rsidRPr="002B1644">
        <w:rPr>
          <w:rFonts w:cs="Arial"/>
          <w:lang w:eastAsia="en-GB"/>
        </w:rPr>
        <w:t> </w:t>
      </w:r>
    </w:p>
    <w:p w14:paraId="1B7F92AE" w14:textId="77777777" w:rsidR="00252A9E" w:rsidRPr="002B1644" w:rsidRDefault="00252A9E" w:rsidP="00252A9E">
      <w:pPr>
        <w:textAlignment w:val="baseline"/>
        <w:rPr>
          <w:rFonts w:ascii="Segoe UI" w:hAnsi="Segoe UI" w:cs="Segoe UI"/>
          <w:lang w:eastAsia="en-GB"/>
        </w:rPr>
      </w:pPr>
      <w:r w:rsidRPr="002B1644">
        <w:rPr>
          <w:rFonts w:cs="Arial"/>
          <w:lang w:eastAsia="en-GB"/>
        </w:rPr>
        <w:t>The costs of overheads and support services are charged to service segments in accordance with the authority’s arrangements for accountability and financial performance. </w:t>
      </w:r>
    </w:p>
    <w:p w14:paraId="082ACFCB" w14:textId="77777777" w:rsidR="00252A9E" w:rsidRPr="002B1644" w:rsidRDefault="00252A9E" w:rsidP="00252A9E">
      <w:pPr>
        <w:ind w:left="675" w:right="-15"/>
        <w:textAlignment w:val="baseline"/>
        <w:rPr>
          <w:rFonts w:ascii="Segoe UI" w:hAnsi="Segoe UI" w:cs="Segoe UI"/>
          <w:lang w:eastAsia="en-GB"/>
        </w:rPr>
      </w:pPr>
      <w:r w:rsidRPr="002B1644">
        <w:rPr>
          <w:rFonts w:cs="Arial"/>
          <w:lang w:eastAsia="en-GB"/>
        </w:rPr>
        <w:t> </w:t>
      </w:r>
    </w:p>
    <w:p w14:paraId="6D724329"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Property, Plant and Equipment</w:t>
      </w:r>
      <w:r w:rsidRPr="002B1644">
        <w:rPr>
          <w:rFonts w:cs="Arial"/>
          <w:lang w:eastAsia="en-GB"/>
        </w:rPr>
        <w:t> </w:t>
      </w:r>
    </w:p>
    <w:p w14:paraId="5387605F" w14:textId="77777777" w:rsidR="00252A9E" w:rsidRPr="002B1644" w:rsidRDefault="00252A9E" w:rsidP="00252A9E">
      <w:pPr>
        <w:ind w:right="675"/>
        <w:textAlignment w:val="baseline"/>
        <w:rPr>
          <w:rFonts w:ascii="Segoe UI" w:hAnsi="Segoe UI" w:cs="Segoe UI"/>
          <w:lang w:eastAsia="en-GB"/>
        </w:rPr>
      </w:pPr>
      <w:r w:rsidRPr="002B1644">
        <w:rPr>
          <w:rFonts w:cs="Arial"/>
          <w:lang w:eastAsia="en-GB"/>
        </w:rPr>
        <w:t> </w:t>
      </w:r>
    </w:p>
    <w:p w14:paraId="0B890CAF"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Assets that have physical substance and are held for use in the provision of services and are expected to be used during more than one financial year are classified as Property, Plant and Equipment </w:t>
      </w:r>
    </w:p>
    <w:p w14:paraId="23B845D5"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6F5BAEF4" w14:textId="77777777" w:rsidR="00252A9E" w:rsidRPr="003662C5" w:rsidRDefault="00252A9E" w:rsidP="00252A9E">
      <w:pPr>
        <w:ind w:left="142"/>
        <w:textAlignment w:val="baseline"/>
        <w:rPr>
          <w:rFonts w:ascii="Segoe UI" w:hAnsi="Segoe UI" w:cs="Segoe UI"/>
        </w:rPr>
      </w:pPr>
      <w:r>
        <w:rPr>
          <w:rFonts w:cs="Arial"/>
          <w:b/>
          <w:bCs/>
        </w:rPr>
        <w:t xml:space="preserve">1. </w:t>
      </w:r>
      <w:r w:rsidRPr="003662C5">
        <w:rPr>
          <w:rFonts w:cs="Arial"/>
          <w:b/>
          <w:bCs/>
        </w:rPr>
        <w:t>Recognition and Measurement</w:t>
      </w:r>
      <w:r w:rsidRPr="003662C5">
        <w:rPr>
          <w:rFonts w:ascii="Calibri" w:hAnsi="Calibri" w:cs="Calibri"/>
        </w:rPr>
        <w:tab/>
      </w:r>
      <w:r w:rsidRPr="003662C5">
        <w:rPr>
          <w:rFonts w:cs="Arial"/>
        </w:rPr>
        <w:t> </w:t>
      </w:r>
    </w:p>
    <w:p w14:paraId="2B53B7C9" w14:textId="77777777" w:rsidR="00252A9E" w:rsidRPr="002B1644" w:rsidRDefault="00252A9E" w:rsidP="00252A9E">
      <w:pPr>
        <w:ind w:left="142"/>
        <w:textAlignment w:val="baseline"/>
        <w:rPr>
          <w:rFonts w:ascii="Segoe UI" w:hAnsi="Segoe UI" w:cs="Segoe UI"/>
          <w:lang w:eastAsia="en-GB"/>
        </w:rPr>
      </w:pPr>
      <w:r w:rsidRPr="002B1644">
        <w:rPr>
          <w:rFonts w:cs="Arial"/>
          <w:lang w:eastAsia="en-GB"/>
        </w:rPr>
        <w:t>All expenditure on the acquisition, creation or enhancement of property, plant and equipment is capitalised on an accruals basis, provided that it is probable that the future economic benefits or service potential associated with the item will flow to the Authority and the cost of the item can be measured reliably. All other expenditure on assets is charged as an expense to revenue as it is incurred. Property, Plant and Equipment assets also include assets held under finance leases, which have been capitalised and included in the Balance Sheet at the lower of fair value of the property and the present value of the minimum lease payments. </w:t>
      </w:r>
    </w:p>
    <w:p w14:paraId="45BE5849" w14:textId="77777777" w:rsidR="00252A9E" w:rsidRPr="002B1644" w:rsidRDefault="00252A9E" w:rsidP="00252A9E">
      <w:pPr>
        <w:ind w:left="142" w:right="675"/>
        <w:textAlignment w:val="baseline"/>
        <w:rPr>
          <w:rFonts w:ascii="Segoe UI" w:hAnsi="Segoe UI" w:cs="Segoe UI"/>
          <w:lang w:eastAsia="en-GB"/>
        </w:rPr>
      </w:pPr>
      <w:r w:rsidRPr="002B1644">
        <w:rPr>
          <w:rFonts w:cs="Arial"/>
          <w:lang w:eastAsia="en-GB"/>
        </w:rPr>
        <w:t> </w:t>
      </w:r>
    </w:p>
    <w:p w14:paraId="324DC030" w14:textId="77777777" w:rsidR="00252A9E" w:rsidRPr="002B1644" w:rsidRDefault="00252A9E" w:rsidP="00252A9E">
      <w:pPr>
        <w:ind w:left="142"/>
        <w:textAlignment w:val="baseline"/>
        <w:rPr>
          <w:rFonts w:ascii="Segoe UI" w:hAnsi="Segoe UI" w:cs="Segoe UI"/>
          <w:lang w:eastAsia="en-GB"/>
        </w:rPr>
      </w:pPr>
      <w:r w:rsidRPr="002B1644">
        <w:rPr>
          <w:rFonts w:cs="Arial"/>
          <w:lang w:eastAsia="en-GB"/>
        </w:rPr>
        <w:t>The de-minimis level below which expenditure on the acquisition, creation or enhancement of a non-current asset is treated as revenue expenditure has been set at £10,000. </w:t>
      </w:r>
    </w:p>
    <w:p w14:paraId="6BD2B8D8" w14:textId="77777777" w:rsidR="00252A9E" w:rsidRPr="002B1644" w:rsidRDefault="00252A9E" w:rsidP="00252A9E">
      <w:pPr>
        <w:ind w:left="142"/>
        <w:textAlignment w:val="baseline"/>
        <w:rPr>
          <w:rFonts w:ascii="Segoe UI" w:hAnsi="Segoe UI" w:cs="Segoe UI"/>
          <w:lang w:eastAsia="en-GB"/>
        </w:rPr>
      </w:pPr>
      <w:r w:rsidRPr="002B1644">
        <w:rPr>
          <w:rFonts w:cs="Arial"/>
          <w:lang w:eastAsia="en-GB"/>
        </w:rPr>
        <w:t> </w:t>
      </w:r>
    </w:p>
    <w:p w14:paraId="0E0A1448" w14:textId="77777777" w:rsidR="00252A9E" w:rsidRPr="002B1644" w:rsidRDefault="00252A9E" w:rsidP="00252A9E">
      <w:pPr>
        <w:ind w:left="142"/>
        <w:textAlignment w:val="baseline"/>
        <w:rPr>
          <w:rFonts w:ascii="Segoe UI" w:hAnsi="Segoe UI" w:cs="Segoe UI"/>
          <w:lang w:eastAsia="en-GB"/>
        </w:rPr>
      </w:pPr>
      <w:r w:rsidRPr="002B1644">
        <w:rPr>
          <w:rFonts w:cs="Arial"/>
          <w:lang w:eastAsia="en-GB"/>
        </w:rPr>
        <w:t>Assets are initially measured at cost, comprising the purchase price and any costs that are directly attributable to bringing the asset into working condition for its intended use. Assets are then carried in the Balance Sheet using an appropriate measurement bases as declared in the fixed asset disclosures. </w:t>
      </w:r>
    </w:p>
    <w:p w14:paraId="33B8D185" w14:textId="77777777" w:rsidR="00252A9E" w:rsidRPr="002B1644" w:rsidRDefault="00252A9E" w:rsidP="00252A9E">
      <w:pPr>
        <w:ind w:left="142"/>
        <w:textAlignment w:val="baseline"/>
        <w:rPr>
          <w:rFonts w:ascii="Segoe UI" w:hAnsi="Segoe UI" w:cs="Segoe UI"/>
          <w:lang w:eastAsia="en-GB"/>
        </w:rPr>
      </w:pPr>
      <w:r w:rsidRPr="002B1644">
        <w:rPr>
          <w:rFonts w:cs="Arial"/>
          <w:lang w:eastAsia="en-GB"/>
        </w:rPr>
        <w:t> </w:t>
      </w:r>
    </w:p>
    <w:p w14:paraId="544A9A1B" w14:textId="77777777" w:rsidR="00252A9E" w:rsidRPr="002B1644" w:rsidRDefault="00252A9E" w:rsidP="00252A9E">
      <w:pPr>
        <w:ind w:left="142"/>
        <w:textAlignment w:val="baseline"/>
        <w:rPr>
          <w:rFonts w:ascii="Segoe UI" w:hAnsi="Segoe UI" w:cs="Segoe UI"/>
          <w:lang w:eastAsia="en-GB"/>
        </w:rPr>
      </w:pPr>
      <w:r w:rsidRPr="002B1644">
        <w:rPr>
          <w:rFonts w:cs="Arial"/>
          <w:lang w:eastAsia="en-GB"/>
        </w:rPr>
        <w:t xml:space="preserve">High value assets included in the Balance Sheet at current value are revalued annually to ensure that their carrying amount is not materially different from their current value at year end.  High value assets are those whose values could lead to a serious or material misstatement of the Balance Sheet should their valuations become outdated. All other assets </w:t>
      </w:r>
      <w:r w:rsidRPr="002B1644">
        <w:rPr>
          <w:rFonts w:cs="Arial"/>
          <w:lang w:eastAsia="en-GB"/>
        </w:rPr>
        <w:lastRenderedPageBreak/>
        <w:t>included in the Balance Sheet at current value are revalued sufficiently regularly but as a minimum every five years.  </w:t>
      </w:r>
    </w:p>
    <w:p w14:paraId="4D06DFE4" w14:textId="77777777" w:rsidR="00252A9E" w:rsidRPr="002B1644" w:rsidRDefault="00252A9E" w:rsidP="00252A9E">
      <w:pPr>
        <w:ind w:left="142"/>
        <w:textAlignment w:val="baseline"/>
        <w:rPr>
          <w:rFonts w:ascii="Segoe UI" w:hAnsi="Segoe UI" w:cs="Segoe UI"/>
          <w:lang w:eastAsia="en-GB"/>
        </w:rPr>
      </w:pPr>
      <w:r w:rsidRPr="002B1644">
        <w:rPr>
          <w:rFonts w:cs="Arial"/>
          <w:lang w:eastAsia="en-GB"/>
        </w:rPr>
        <w:t> </w:t>
      </w:r>
    </w:p>
    <w:p w14:paraId="1BC7FEC1" w14:textId="77777777" w:rsidR="00252A9E" w:rsidRPr="002B1644" w:rsidRDefault="00252A9E" w:rsidP="00252A9E">
      <w:pPr>
        <w:ind w:left="142"/>
        <w:textAlignment w:val="baseline"/>
        <w:rPr>
          <w:rFonts w:ascii="Segoe UI" w:hAnsi="Segoe UI" w:cs="Segoe UI"/>
          <w:lang w:eastAsia="en-GB"/>
        </w:rPr>
      </w:pPr>
      <w:r w:rsidRPr="002B1644">
        <w:rPr>
          <w:rFonts w:cs="Arial"/>
          <w:lang w:eastAsia="en-GB"/>
        </w:rPr>
        <w:t>The Revaluation Reserve contains revaluation gains recognised since 1 April 2007 only, the date of its formal implementation. Gains arising before that date have been consolidated into the Capital Adjustment Account.  </w:t>
      </w:r>
    </w:p>
    <w:p w14:paraId="6284EC2E" w14:textId="77777777" w:rsidR="00252A9E" w:rsidRPr="002B1644" w:rsidRDefault="00252A9E" w:rsidP="00252A9E">
      <w:pPr>
        <w:ind w:left="142" w:right="-15"/>
        <w:textAlignment w:val="baseline"/>
        <w:rPr>
          <w:rFonts w:ascii="Segoe UI" w:hAnsi="Segoe UI" w:cs="Segoe UI"/>
          <w:lang w:eastAsia="en-GB"/>
        </w:rPr>
      </w:pPr>
      <w:r w:rsidRPr="002B1644">
        <w:rPr>
          <w:rFonts w:cs="Arial"/>
          <w:lang w:eastAsia="en-GB"/>
        </w:rPr>
        <w:t> </w:t>
      </w:r>
    </w:p>
    <w:p w14:paraId="20659826" w14:textId="77777777" w:rsidR="00252A9E" w:rsidRPr="002B1644" w:rsidRDefault="00252A9E" w:rsidP="00252A9E">
      <w:pPr>
        <w:ind w:left="142"/>
        <w:textAlignment w:val="baseline"/>
        <w:rPr>
          <w:rFonts w:cs="Arial"/>
          <w:lang w:eastAsia="en-GB"/>
        </w:rPr>
      </w:pPr>
      <w:r>
        <w:rPr>
          <w:rFonts w:cs="Arial"/>
          <w:b/>
          <w:bCs/>
          <w:lang w:eastAsia="en-GB"/>
        </w:rPr>
        <w:t xml:space="preserve">2. </w:t>
      </w:r>
      <w:r w:rsidRPr="002B1644">
        <w:rPr>
          <w:rFonts w:cs="Arial"/>
          <w:b/>
          <w:bCs/>
          <w:lang w:eastAsia="en-GB"/>
        </w:rPr>
        <w:t>Impairment</w:t>
      </w:r>
      <w:r w:rsidRPr="002B1644">
        <w:rPr>
          <w:rFonts w:cs="Arial"/>
          <w:lang w:eastAsia="en-GB"/>
        </w:rPr>
        <w:t> </w:t>
      </w:r>
    </w:p>
    <w:p w14:paraId="748AB1CF" w14:textId="77777777" w:rsidR="00252A9E" w:rsidRPr="002B1644" w:rsidRDefault="00252A9E" w:rsidP="00252A9E">
      <w:pPr>
        <w:ind w:left="142" w:right="-150"/>
        <w:textAlignment w:val="baseline"/>
        <w:rPr>
          <w:rFonts w:ascii="Segoe UI" w:hAnsi="Segoe UI" w:cs="Segoe UI"/>
          <w:lang w:eastAsia="en-GB"/>
        </w:rPr>
      </w:pPr>
      <w:r w:rsidRPr="002B1644">
        <w:rPr>
          <w:rFonts w:cs="Arial"/>
          <w:lang w:eastAsia="en-GB"/>
        </w:rPr>
        <w:t>Assets are assessed at each year end as to whether there is any indication that an asset may be impaired. Where indications exist and any possible differences are estimated to be material, the recoverable amount of the asset is estimated and where this is less than the carrying amount of the asset, an impairment loss is recognised for the shortfall. This is charged to the revaluation reserve up to the value held for the asset in this reserve. Any further loss is charged to the Comprehensive Income &amp; Expenditure Statement. </w:t>
      </w:r>
      <w:bookmarkStart w:id="158" w:name="_Hlk155953433"/>
      <w:r>
        <w:rPr>
          <w:rFonts w:cs="Arial"/>
          <w:lang w:eastAsia="en-GB"/>
        </w:rPr>
        <w:t xml:space="preserve">Where a subsequent event is judged to reverse an impairment, </w:t>
      </w:r>
      <w:r w:rsidRPr="00891371">
        <w:rPr>
          <w:rFonts w:cs="Arial"/>
          <w:lang w:eastAsia="en-GB"/>
        </w:rPr>
        <w:t xml:space="preserve">the reversal is credited to the relevant service line(s) in the Comprehensive Income and Expenditure Statement, up to the amount of the original loss, </w:t>
      </w:r>
      <w:r>
        <w:rPr>
          <w:rFonts w:cs="Arial"/>
          <w:lang w:eastAsia="en-GB"/>
        </w:rPr>
        <w:t>(</w:t>
      </w:r>
      <w:r w:rsidRPr="00891371">
        <w:rPr>
          <w:rFonts w:cs="Arial"/>
          <w:lang w:eastAsia="en-GB"/>
        </w:rPr>
        <w:t>adjusted for depreciation</w:t>
      </w:r>
      <w:r>
        <w:rPr>
          <w:rFonts w:cs="Arial"/>
          <w:lang w:eastAsia="en-GB"/>
        </w:rPr>
        <w:t>).</w:t>
      </w:r>
      <w:bookmarkEnd w:id="158"/>
    </w:p>
    <w:p w14:paraId="07D44166" w14:textId="77777777" w:rsidR="00252A9E" w:rsidRPr="002B1644" w:rsidRDefault="00252A9E" w:rsidP="00252A9E">
      <w:pPr>
        <w:ind w:left="142" w:right="-150"/>
        <w:textAlignment w:val="baseline"/>
        <w:rPr>
          <w:rFonts w:ascii="Segoe UI" w:hAnsi="Segoe UI" w:cs="Segoe UI"/>
          <w:lang w:eastAsia="en-GB"/>
        </w:rPr>
      </w:pPr>
      <w:r w:rsidRPr="002B1644">
        <w:rPr>
          <w:rFonts w:cs="Arial"/>
          <w:lang w:eastAsia="en-GB"/>
        </w:rPr>
        <w:t> </w:t>
      </w:r>
    </w:p>
    <w:p w14:paraId="74DD8872" w14:textId="77777777" w:rsidR="00252A9E" w:rsidRPr="002B1644" w:rsidRDefault="00252A9E" w:rsidP="00252A9E">
      <w:pPr>
        <w:ind w:left="142" w:right="-150"/>
        <w:textAlignment w:val="baseline"/>
        <w:rPr>
          <w:rFonts w:ascii="Segoe UI" w:hAnsi="Segoe UI" w:cs="Segoe UI"/>
          <w:lang w:eastAsia="en-GB"/>
        </w:rPr>
      </w:pPr>
      <w:r>
        <w:rPr>
          <w:rFonts w:cs="Arial"/>
          <w:b/>
          <w:bCs/>
          <w:lang w:eastAsia="en-GB"/>
        </w:rPr>
        <w:t xml:space="preserve">3. </w:t>
      </w:r>
      <w:r w:rsidRPr="002B1644">
        <w:rPr>
          <w:rFonts w:cs="Arial"/>
          <w:b/>
          <w:bCs/>
          <w:lang w:eastAsia="en-GB"/>
        </w:rPr>
        <w:t>Component Accounting</w:t>
      </w:r>
      <w:r w:rsidRPr="002B1644">
        <w:rPr>
          <w:rFonts w:cs="Arial"/>
          <w:lang w:eastAsia="en-GB"/>
        </w:rPr>
        <w:t> </w:t>
      </w:r>
    </w:p>
    <w:p w14:paraId="71C86590" w14:textId="77777777" w:rsidR="00252A9E" w:rsidRPr="002B1644" w:rsidRDefault="00252A9E" w:rsidP="00252A9E">
      <w:pPr>
        <w:ind w:left="142" w:right="-150"/>
        <w:textAlignment w:val="baseline"/>
        <w:rPr>
          <w:rFonts w:ascii="Segoe UI" w:hAnsi="Segoe UI" w:cs="Segoe UI"/>
          <w:lang w:eastAsia="en-GB"/>
        </w:rPr>
      </w:pPr>
      <w:r w:rsidRPr="002B1644">
        <w:rPr>
          <w:rFonts w:cs="Arial"/>
          <w:lang w:eastAsia="en-GB"/>
        </w:rPr>
        <w:t>Where a component of a non-current asset is replaced or restored, the carrying amount of the old component shall be derecognised and the new component reflected in the carrying amount. Each part (component) of an item of property, plant and equipment that is significant in relation to the total cost of the item is depreciated separately. Componentisation is only applied where the difference between the depreciation on each component and the depreciation on the asset as a whole is considered material, which for this Authority is considered to be assets with a value over £1M.  </w:t>
      </w:r>
    </w:p>
    <w:p w14:paraId="2FED31BC" w14:textId="77777777" w:rsidR="00252A9E" w:rsidRPr="002B1644" w:rsidRDefault="00252A9E" w:rsidP="00252A9E">
      <w:pPr>
        <w:ind w:left="142"/>
        <w:textAlignment w:val="baseline"/>
        <w:rPr>
          <w:rFonts w:ascii="Segoe UI" w:hAnsi="Segoe UI" w:cs="Segoe UI"/>
          <w:lang w:eastAsia="en-GB"/>
        </w:rPr>
      </w:pPr>
      <w:r w:rsidRPr="002B1644">
        <w:rPr>
          <w:rFonts w:cs="Arial"/>
          <w:lang w:eastAsia="en-GB"/>
        </w:rPr>
        <w:t> </w:t>
      </w:r>
    </w:p>
    <w:p w14:paraId="3999CCD8" w14:textId="77777777" w:rsidR="00252A9E" w:rsidRPr="002B1644" w:rsidRDefault="00252A9E" w:rsidP="00252A9E">
      <w:pPr>
        <w:ind w:left="142"/>
        <w:textAlignment w:val="baseline"/>
        <w:rPr>
          <w:rFonts w:ascii="Segoe UI" w:hAnsi="Segoe UI" w:cs="Segoe UI"/>
          <w:lang w:eastAsia="en-GB"/>
        </w:rPr>
      </w:pPr>
      <w:r>
        <w:rPr>
          <w:rFonts w:cs="Arial"/>
          <w:b/>
          <w:bCs/>
          <w:lang w:eastAsia="en-GB"/>
        </w:rPr>
        <w:t xml:space="preserve">4. </w:t>
      </w:r>
      <w:r w:rsidRPr="002B1644">
        <w:rPr>
          <w:rFonts w:cs="Arial"/>
          <w:b/>
          <w:bCs/>
          <w:lang w:eastAsia="en-GB"/>
        </w:rPr>
        <w:t>Depreciation</w:t>
      </w:r>
      <w:r w:rsidRPr="002B1644">
        <w:rPr>
          <w:rFonts w:cs="Arial"/>
          <w:lang w:eastAsia="en-GB"/>
        </w:rPr>
        <w:t> </w:t>
      </w:r>
    </w:p>
    <w:p w14:paraId="5C544240" w14:textId="77777777" w:rsidR="00252A9E" w:rsidRPr="002B1644" w:rsidRDefault="00252A9E" w:rsidP="00252A9E">
      <w:pPr>
        <w:ind w:left="142" w:right="-15"/>
        <w:textAlignment w:val="baseline"/>
        <w:rPr>
          <w:rFonts w:ascii="Segoe UI" w:hAnsi="Segoe UI" w:cs="Segoe UI"/>
          <w:lang w:eastAsia="en-GB"/>
        </w:rPr>
      </w:pPr>
      <w:r w:rsidRPr="002B1644">
        <w:rPr>
          <w:rFonts w:cs="Arial"/>
          <w:lang w:eastAsia="en-GB"/>
        </w:rPr>
        <w:t>Depreciation is provided for on all assets with a determinable finite life (except for investment properties, assets held for sale and assets under construction), by allocating the value of the asset in the Balance Sheet over the periods expected to benefit from their use. Depreciation is calculated using the relevant life year schedule as declared in the fixed asset disclosures. </w:t>
      </w:r>
      <w:bookmarkStart w:id="159" w:name="_Hlk155953500"/>
      <w:r w:rsidRPr="00891371">
        <w:rPr>
          <w:rFonts w:cs="Arial"/>
          <w:lang w:eastAsia="en-GB"/>
        </w:rPr>
        <w:t>Revaluation gains are also depreciated, with an amount equal to the difference between current value depreciation and the depreciation that would have been chargeable based on their historical cost being transferred each year from the revaluation reserve to the capital adjustment account.</w:t>
      </w:r>
      <w:r w:rsidRPr="002B1644">
        <w:rPr>
          <w:rFonts w:cs="Arial"/>
          <w:lang w:eastAsia="en-GB"/>
        </w:rPr>
        <w:t> </w:t>
      </w:r>
      <w:bookmarkEnd w:id="159"/>
    </w:p>
    <w:p w14:paraId="277E6B8A"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 </w:t>
      </w:r>
    </w:p>
    <w:p w14:paraId="37F06241"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Non-Current Assets Held for Sale</w:t>
      </w:r>
      <w:r w:rsidRPr="002B1644">
        <w:rPr>
          <w:rFonts w:cs="Arial"/>
          <w:lang w:eastAsia="en-GB"/>
        </w:rPr>
        <w:t> </w:t>
      </w:r>
    </w:p>
    <w:p w14:paraId="1BF61847" w14:textId="77777777" w:rsidR="00252A9E" w:rsidRPr="002B1644" w:rsidRDefault="00252A9E" w:rsidP="00252A9E">
      <w:pPr>
        <w:ind w:left="720"/>
        <w:textAlignment w:val="baseline"/>
        <w:rPr>
          <w:rFonts w:ascii="Segoe UI" w:hAnsi="Segoe UI" w:cs="Segoe UI"/>
          <w:lang w:eastAsia="en-GB"/>
        </w:rPr>
      </w:pPr>
      <w:r w:rsidRPr="002B1644">
        <w:rPr>
          <w:rFonts w:cs="Arial"/>
          <w:lang w:eastAsia="en-GB"/>
        </w:rPr>
        <w:t> </w:t>
      </w:r>
    </w:p>
    <w:p w14:paraId="4B0E2C44"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Non-current assets held for sale are defined as assets that are: </w:t>
      </w:r>
    </w:p>
    <w:p w14:paraId="79C509B0" w14:textId="77777777" w:rsidR="00252A9E" w:rsidRPr="002B1644" w:rsidRDefault="00252A9E" w:rsidP="00252A9E">
      <w:pPr>
        <w:numPr>
          <w:ilvl w:val="0"/>
          <w:numId w:val="35"/>
        </w:numPr>
        <w:ind w:left="1080" w:firstLine="0"/>
        <w:textAlignment w:val="baseline"/>
        <w:rPr>
          <w:rFonts w:cs="Arial"/>
          <w:u w:val="single"/>
          <w:lang w:eastAsia="en-GB"/>
        </w:rPr>
      </w:pPr>
      <w:r w:rsidRPr="002B1644">
        <w:rPr>
          <w:rFonts w:cs="Arial"/>
          <w:lang w:eastAsia="en-GB"/>
        </w:rPr>
        <w:t>Available for immediate sale in their present condition</w:t>
      </w:r>
    </w:p>
    <w:p w14:paraId="17118EBD" w14:textId="77777777" w:rsidR="00252A9E" w:rsidRPr="002B1644" w:rsidRDefault="00252A9E" w:rsidP="00252A9E">
      <w:pPr>
        <w:numPr>
          <w:ilvl w:val="0"/>
          <w:numId w:val="35"/>
        </w:numPr>
        <w:ind w:left="1065" w:firstLine="0"/>
        <w:textAlignment w:val="baseline"/>
        <w:rPr>
          <w:rFonts w:cs="Arial"/>
          <w:u w:val="single"/>
          <w:lang w:eastAsia="en-GB"/>
        </w:rPr>
      </w:pPr>
      <w:r w:rsidRPr="002B1644">
        <w:rPr>
          <w:rFonts w:cs="Arial"/>
          <w:lang w:eastAsia="en-GB"/>
        </w:rPr>
        <w:t>The sale is highly probable</w:t>
      </w:r>
    </w:p>
    <w:p w14:paraId="179DAE6C" w14:textId="77777777" w:rsidR="00252A9E" w:rsidRPr="002B1644" w:rsidRDefault="00252A9E" w:rsidP="00252A9E">
      <w:pPr>
        <w:numPr>
          <w:ilvl w:val="0"/>
          <w:numId w:val="35"/>
        </w:numPr>
        <w:ind w:left="1065" w:firstLine="0"/>
        <w:textAlignment w:val="baseline"/>
        <w:rPr>
          <w:rFonts w:cs="Arial"/>
          <w:u w:val="single"/>
          <w:lang w:eastAsia="en-GB"/>
        </w:rPr>
      </w:pPr>
      <w:r w:rsidRPr="002B1644">
        <w:rPr>
          <w:rFonts w:cs="Arial"/>
          <w:lang w:eastAsia="en-GB"/>
        </w:rPr>
        <w:t>The asset must be actively marketed for a sale price that is reasonable</w:t>
      </w:r>
    </w:p>
    <w:p w14:paraId="17391CD6" w14:textId="77777777" w:rsidR="00252A9E" w:rsidRPr="002B1644" w:rsidRDefault="00252A9E" w:rsidP="00252A9E">
      <w:pPr>
        <w:numPr>
          <w:ilvl w:val="0"/>
          <w:numId w:val="35"/>
        </w:numPr>
        <w:ind w:left="1065" w:firstLine="0"/>
        <w:textAlignment w:val="baseline"/>
        <w:rPr>
          <w:rFonts w:cs="Arial"/>
          <w:u w:val="single"/>
          <w:lang w:eastAsia="en-GB"/>
        </w:rPr>
      </w:pPr>
      <w:r w:rsidRPr="002B1644">
        <w:rPr>
          <w:rFonts w:cs="Arial"/>
          <w:lang w:eastAsia="en-GB"/>
        </w:rPr>
        <w:t>The sale should be expected to complete in one year.</w:t>
      </w:r>
    </w:p>
    <w:p w14:paraId="0513E8AE" w14:textId="77777777" w:rsidR="00252A9E" w:rsidRPr="002B1644" w:rsidRDefault="00252A9E" w:rsidP="00252A9E">
      <w:pPr>
        <w:ind w:left="705" w:right="-15"/>
        <w:textAlignment w:val="baseline"/>
        <w:rPr>
          <w:rFonts w:ascii="Segoe UI" w:hAnsi="Segoe UI" w:cs="Segoe UI"/>
          <w:lang w:eastAsia="en-GB"/>
        </w:rPr>
      </w:pPr>
      <w:r w:rsidRPr="002B1644">
        <w:rPr>
          <w:rFonts w:cs="Arial"/>
          <w:lang w:eastAsia="en-GB"/>
        </w:rPr>
        <w:t> </w:t>
      </w:r>
    </w:p>
    <w:p w14:paraId="67D211C2"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If assets no longer meet the criteria to be classified as Assets Held for Sale, they are reclassified back to non-current assets and valued at the lower of their carrying amount before they were classified as held for sale, adjusted for depreciation, revaluations or amortisation that would have been recognised had they not been classified as held for sale and their recoverable amount at the date of the decision not to sell. </w:t>
      </w:r>
    </w:p>
    <w:p w14:paraId="01002250"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 </w:t>
      </w:r>
    </w:p>
    <w:p w14:paraId="7D30FA93"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Non-current assets held for sale are revalued immediately prior to reclassification, and then measured at the lower of their carrying amount and fair value less selling costs. Any reduction in asset value is recognised as an impairment loss.  </w:t>
      </w:r>
    </w:p>
    <w:p w14:paraId="5B09DD5A"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247DA621"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lastRenderedPageBreak/>
        <w:t>Provisions</w:t>
      </w:r>
      <w:r w:rsidRPr="002B1644">
        <w:rPr>
          <w:rFonts w:cs="Arial"/>
          <w:lang w:eastAsia="en-GB"/>
        </w:rPr>
        <w:t> </w:t>
      </w:r>
    </w:p>
    <w:p w14:paraId="035B1111"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57AA5AD1"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Provisions are required for any liabilities of uncertain timing or amount in circumstances where: </w:t>
      </w:r>
    </w:p>
    <w:p w14:paraId="3D6AF31F" w14:textId="77777777" w:rsidR="00252A9E" w:rsidRPr="002B1644" w:rsidRDefault="00252A9E" w:rsidP="00252A9E">
      <w:pPr>
        <w:ind w:left="675" w:right="-15"/>
        <w:textAlignment w:val="baseline"/>
        <w:rPr>
          <w:rFonts w:ascii="Segoe UI" w:hAnsi="Segoe UI" w:cs="Segoe UI"/>
          <w:lang w:eastAsia="en-GB"/>
        </w:rPr>
      </w:pPr>
      <w:r w:rsidRPr="002B1644">
        <w:rPr>
          <w:rFonts w:cs="Arial"/>
          <w:lang w:eastAsia="en-GB"/>
        </w:rPr>
        <w:t> </w:t>
      </w:r>
    </w:p>
    <w:p w14:paraId="4AFDB504" w14:textId="77777777" w:rsidR="00252A9E" w:rsidRPr="002B1644" w:rsidRDefault="00252A9E" w:rsidP="00252A9E">
      <w:pPr>
        <w:numPr>
          <w:ilvl w:val="0"/>
          <w:numId w:val="36"/>
        </w:numPr>
        <w:ind w:left="567" w:hanging="567"/>
        <w:textAlignment w:val="baseline"/>
        <w:rPr>
          <w:rFonts w:cs="Arial"/>
          <w:lang w:eastAsia="en-GB"/>
        </w:rPr>
      </w:pPr>
      <w:r w:rsidRPr="002B1644">
        <w:rPr>
          <w:rFonts w:cs="Arial"/>
          <w:lang w:eastAsia="en-GB"/>
        </w:rPr>
        <w:t>the Authority has a present legal or constructive obligation as a result of a past event. </w:t>
      </w:r>
    </w:p>
    <w:p w14:paraId="0216429C" w14:textId="77777777" w:rsidR="00252A9E" w:rsidRPr="002B1644" w:rsidRDefault="00252A9E" w:rsidP="00252A9E">
      <w:pPr>
        <w:numPr>
          <w:ilvl w:val="0"/>
          <w:numId w:val="36"/>
        </w:numPr>
        <w:ind w:left="567" w:hanging="567"/>
        <w:textAlignment w:val="baseline"/>
        <w:rPr>
          <w:rFonts w:cs="Arial"/>
          <w:lang w:eastAsia="en-GB"/>
        </w:rPr>
      </w:pPr>
      <w:r w:rsidRPr="002B1644">
        <w:rPr>
          <w:rFonts w:cs="Arial"/>
          <w:lang w:eastAsia="en-GB"/>
        </w:rPr>
        <w:t>it is probable that a transfer of economic benefits will be required to settle the obligation. </w:t>
      </w:r>
    </w:p>
    <w:p w14:paraId="2B05FA38" w14:textId="77777777" w:rsidR="00252A9E" w:rsidRPr="002B1644" w:rsidRDefault="00252A9E" w:rsidP="00252A9E">
      <w:pPr>
        <w:numPr>
          <w:ilvl w:val="0"/>
          <w:numId w:val="37"/>
        </w:numPr>
        <w:ind w:left="567" w:hanging="567"/>
        <w:textAlignment w:val="baseline"/>
        <w:rPr>
          <w:rFonts w:cs="Arial"/>
          <w:lang w:eastAsia="en-GB"/>
        </w:rPr>
      </w:pPr>
      <w:r w:rsidRPr="002B1644">
        <w:rPr>
          <w:rFonts w:cs="Arial"/>
          <w:lang w:eastAsia="en-GB"/>
        </w:rPr>
        <w:t>a reliable estimate of the amount of the obligation can be made, taking into account the risks and uncertainties surrounding the obligation. </w:t>
      </w:r>
    </w:p>
    <w:p w14:paraId="1F5CFBE2"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 </w:t>
      </w:r>
    </w:p>
    <w:p w14:paraId="4D37C6CC" w14:textId="77777777" w:rsidR="00252A9E" w:rsidRPr="002B1644" w:rsidRDefault="00252A9E" w:rsidP="00252A9E">
      <w:pPr>
        <w:ind w:right="-15"/>
        <w:textAlignment w:val="baseline"/>
        <w:rPr>
          <w:rFonts w:ascii="Segoe UI" w:hAnsi="Segoe UI" w:cs="Segoe UI"/>
          <w:lang w:eastAsia="en-GB"/>
        </w:rPr>
      </w:pPr>
      <w:r w:rsidRPr="002B1644">
        <w:rPr>
          <w:rFonts w:cs="Arial"/>
          <w:lang w:eastAsia="en-GB"/>
        </w:rPr>
        <w:t>A transfer of economic benefits is regarded as being probable if it is more likely than not to occur. Provisions are charged to the appropriate revenue account of the Authority and expenditure related to the provision is charged directly to that provision. The value of provisions is reviewed at each Balance Sheet date to reflect current best estimates. </w:t>
      </w:r>
    </w:p>
    <w:p w14:paraId="6FD254B3" w14:textId="77777777" w:rsidR="00252A9E" w:rsidRPr="002B1644" w:rsidRDefault="00252A9E" w:rsidP="00252A9E">
      <w:pPr>
        <w:ind w:left="675" w:right="-15"/>
        <w:textAlignment w:val="baseline"/>
        <w:rPr>
          <w:rFonts w:ascii="Segoe UI" w:hAnsi="Segoe UI" w:cs="Segoe UI"/>
          <w:lang w:eastAsia="en-GB"/>
        </w:rPr>
      </w:pPr>
      <w:r w:rsidRPr="002B1644">
        <w:rPr>
          <w:rFonts w:cs="Arial"/>
          <w:lang w:eastAsia="en-GB"/>
        </w:rPr>
        <w:t> </w:t>
      </w:r>
    </w:p>
    <w:p w14:paraId="73085A00"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Contingent Assets and Liabilities</w:t>
      </w:r>
      <w:r w:rsidRPr="002B1644">
        <w:rPr>
          <w:rFonts w:cs="Arial"/>
          <w:lang w:eastAsia="en-GB"/>
        </w:rPr>
        <w:t> </w:t>
      </w:r>
    </w:p>
    <w:p w14:paraId="22719F53"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7BF9E739" w14:textId="77777777" w:rsidR="00252A9E" w:rsidRPr="002B1644" w:rsidRDefault="00252A9E" w:rsidP="00252A9E">
      <w:pPr>
        <w:textAlignment w:val="baseline"/>
        <w:rPr>
          <w:rFonts w:ascii="Segoe UI" w:hAnsi="Segoe UI" w:cs="Segoe UI"/>
          <w:lang w:eastAsia="en-GB"/>
        </w:rPr>
      </w:pPr>
      <w:r w:rsidRPr="002B1644">
        <w:rPr>
          <w:rFonts w:cs="Arial"/>
          <w:lang w:eastAsia="en-GB"/>
        </w:rPr>
        <w:t>Contingent assets and liabilities arise where an event has taken place that gives the Authority a possible asset or obligation whose existence will only be confirmed by the occurrence or otherwise of uncertain future events not wholly within the control of the Authority. Contingent assets and liabilities are not recognised in the financial statements but are disclosed as a note to the accounts, unless the possibility of inflow/outflow of resources is remote. They are assessed continually to determine if the inflow/outflow is probable. In the case of a contingent liability, if the outflow becomes probable a provision is recognised unless a reliable estimate cannot be made. If the inflow from a contingent asset becomes probable and can be measured reliably, the debtor (or cash where consideration has been received) and the related revenue are recognised in the financial statements in the period in which the change occurs. </w:t>
      </w:r>
    </w:p>
    <w:p w14:paraId="3D287F20"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55A1CD8F"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Value Added Tax</w:t>
      </w:r>
      <w:r w:rsidRPr="002B1644">
        <w:rPr>
          <w:rFonts w:cs="Arial"/>
          <w:lang w:eastAsia="en-GB"/>
        </w:rPr>
        <w:t> </w:t>
      </w:r>
    </w:p>
    <w:p w14:paraId="3B57C61C"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3157EDE0" w14:textId="77777777" w:rsidR="00252A9E" w:rsidRPr="002B1644" w:rsidRDefault="00252A9E" w:rsidP="00252A9E">
      <w:pPr>
        <w:textAlignment w:val="baseline"/>
        <w:rPr>
          <w:rFonts w:ascii="Segoe UI" w:hAnsi="Segoe UI" w:cs="Segoe UI"/>
          <w:lang w:eastAsia="en-GB"/>
        </w:rPr>
      </w:pPr>
      <w:r w:rsidRPr="002B1644">
        <w:rPr>
          <w:rFonts w:cs="Arial"/>
          <w:lang w:eastAsia="en-GB"/>
        </w:rPr>
        <w:t>Value Added Tax payable is only included as income and expenditure received or paid by the Authority if it is classed as irrecoverable by HM Revenue and Customs. </w:t>
      </w:r>
    </w:p>
    <w:p w14:paraId="154D6BB7"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562A0DF1"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Fair Value Measurement</w:t>
      </w:r>
      <w:r w:rsidRPr="002B1644">
        <w:rPr>
          <w:rFonts w:cs="Arial"/>
          <w:lang w:eastAsia="en-GB"/>
        </w:rPr>
        <w:t> </w:t>
      </w:r>
    </w:p>
    <w:p w14:paraId="2665B4D0"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26D6565F" w14:textId="77777777" w:rsidR="00252A9E" w:rsidRPr="002B1644" w:rsidRDefault="00252A9E" w:rsidP="00252A9E">
      <w:pPr>
        <w:textAlignment w:val="baseline"/>
        <w:rPr>
          <w:rFonts w:ascii="Segoe UI" w:hAnsi="Segoe UI" w:cs="Segoe UI"/>
          <w:lang w:eastAsia="en-GB"/>
        </w:rPr>
      </w:pPr>
      <w:r w:rsidRPr="002B1644">
        <w:rPr>
          <w:rFonts w:cs="Arial"/>
          <w:lang w:eastAsia="en-GB"/>
        </w:rPr>
        <w:t>The authority measures some of its non-financial assets such as surplus assets and investment properties at fair value at each reporting date. Fair value is the price that would be received to sell an asset in an orderly transaction between market participants at the measurement date. The fair value measurement assumes that the transaction to sell the asset takes place either in the principal market for the asset or, in the absence of a principal market, in the most advantageous market for the asset. </w:t>
      </w:r>
    </w:p>
    <w:p w14:paraId="07BC46F1"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5CFA4984" w14:textId="77777777" w:rsidR="00252A9E" w:rsidRPr="002B1644" w:rsidRDefault="00252A9E" w:rsidP="00252A9E">
      <w:pPr>
        <w:textAlignment w:val="baseline"/>
        <w:rPr>
          <w:rFonts w:ascii="Segoe UI" w:hAnsi="Segoe UI" w:cs="Segoe UI"/>
          <w:lang w:eastAsia="en-GB"/>
        </w:rPr>
      </w:pPr>
      <w:r w:rsidRPr="002B1644">
        <w:rPr>
          <w:rFonts w:cs="Arial"/>
          <w:lang w:eastAsia="en-GB"/>
        </w:rPr>
        <w:t>The authority measures the fair value of an asset using the assumptions that market participants would use when pricing the asset or liability, assuming that market participants act in their economic best interest. When measuring the fair value of a non-financial asset, the authority takes into account a market participant’s ability to generate economic benefits by using the asset in its highest and best use or by selling it to another market participant that would use the asset in its highest and best use. </w:t>
      </w:r>
    </w:p>
    <w:p w14:paraId="08E32F1D"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0E931D11" w14:textId="77777777" w:rsidR="00252A9E" w:rsidRPr="002B1644" w:rsidRDefault="00252A9E" w:rsidP="00252A9E">
      <w:pPr>
        <w:textAlignment w:val="baseline"/>
        <w:rPr>
          <w:rFonts w:ascii="Segoe UI" w:hAnsi="Segoe UI" w:cs="Segoe UI"/>
          <w:lang w:eastAsia="en-GB"/>
        </w:rPr>
      </w:pPr>
      <w:r w:rsidRPr="002B1644">
        <w:rPr>
          <w:rFonts w:cs="Arial"/>
          <w:lang w:eastAsia="en-GB"/>
        </w:rPr>
        <w:t>The authority uses valuation techniques that are appropriate in the circumstances and for which sufficient data is available, maximising the use of relevant observable inputs and minimising the use of unobservable inputs. Inputs to the valuation techniques in respect of assets for which fair value is measured or disclosed in the authority’s financial statements are categorised within the fair value hierarchy as follows: </w:t>
      </w:r>
    </w:p>
    <w:p w14:paraId="3CCECB20"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64535C12" w14:textId="77777777" w:rsidR="00252A9E" w:rsidRPr="00940970" w:rsidRDefault="00252A9E" w:rsidP="00252A9E">
      <w:pPr>
        <w:ind w:left="1420" w:hanging="1420"/>
        <w:textAlignment w:val="baseline"/>
        <w:rPr>
          <w:rFonts w:cs="Arial"/>
          <w:lang w:eastAsia="en-GB"/>
        </w:rPr>
      </w:pPr>
      <w:r w:rsidRPr="002B1644">
        <w:rPr>
          <w:rFonts w:cs="Arial"/>
          <w:lang w:eastAsia="en-GB"/>
        </w:rPr>
        <w:lastRenderedPageBreak/>
        <w:t xml:space="preserve">Level 1  </w:t>
      </w:r>
      <w:r w:rsidRPr="002B1644">
        <w:rPr>
          <w:rFonts w:cs="Arial"/>
          <w:lang w:eastAsia="en-GB"/>
        </w:rPr>
        <w:tab/>
        <w:t>quoted prices (unadjusted) in active markets for identical assets that the authority can access at the measurement date </w:t>
      </w:r>
    </w:p>
    <w:p w14:paraId="6D000962" w14:textId="77777777" w:rsidR="00252A9E" w:rsidRPr="00940970" w:rsidRDefault="00252A9E" w:rsidP="00252A9E">
      <w:pPr>
        <w:ind w:left="1418" w:hanging="1418"/>
        <w:textAlignment w:val="baseline"/>
        <w:rPr>
          <w:rFonts w:cs="Arial"/>
          <w:lang w:eastAsia="en-GB"/>
        </w:rPr>
      </w:pPr>
      <w:r w:rsidRPr="002B1644">
        <w:rPr>
          <w:rFonts w:cs="Arial"/>
          <w:lang w:eastAsia="en-GB"/>
        </w:rPr>
        <w:t xml:space="preserve">Level 2 </w:t>
      </w:r>
      <w:r w:rsidRPr="002B1644">
        <w:rPr>
          <w:rFonts w:cs="Arial"/>
          <w:lang w:eastAsia="en-GB"/>
        </w:rPr>
        <w:tab/>
        <w:t xml:space="preserve"> inputs other that quoted prices included within Level 1 that are observable for the asset, either directly or indirectly </w:t>
      </w:r>
    </w:p>
    <w:p w14:paraId="3574F58E" w14:textId="77777777" w:rsidR="00252A9E" w:rsidRPr="002B1644" w:rsidRDefault="00252A9E" w:rsidP="00252A9E">
      <w:pPr>
        <w:textAlignment w:val="baseline"/>
        <w:rPr>
          <w:rFonts w:cs="Arial"/>
          <w:lang w:eastAsia="en-GB"/>
        </w:rPr>
      </w:pPr>
      <w:r w:rsidRPr="002B1644">
        <w:rPr>
          <w:rFonts w:cs="Arial"/>
          <w:lang w:eastAsia="en-GB"/>
        </w:rPr>
        <w:t xml:space="preserve">Level 3 </w:t>
      </w:r>
      <w:r w:rsidRPr="002B1644">
        <w:rPr>
          <w:rFonts w:cs="Arial"/>
          <w:lang w:eastAsia="en-GB"/>
        </w:rPr>
        <w:tab/>
        <w:t>unobservable inputs for the asset </w:t>
      </w:r>
    </w:p>
    <w:p w14:paraId="62FD134A" w14:textId="77777777" w:rsidR="00252A9E" w:rsidRPr="002B1644" w:rsidRDefault="00252A9E" w:rsidP="00252A9E">
      <w:pPr>
        <w:ind w:left="720"/>
        <w:textAlignment w:val="baseline"/>
        <w:rPr>
          <w:rFonts w:ascii="Segoe UI" w:hAnsi="Segoe UI" w:cs="Segoe UI"/>
          <w:lang w:eastAsia="en-GB"/>
        </w:rPr>
      </w:pPr>
      <w:r w:rsidRPr="002B1644">
        <w:rPr>
          <w:rFonts w:cs="Arial"/>
          <w:lang w:eastAsia="en-GB"/>
        </w:rPr>
        <w:t> </w:t>
      </w:r>
    </w:p>
    <w:p w14:paraId="21D9DB65" w14:textId="77777777" w:rsidR="00252A9E" w:rsidRPr="002B1644" w:rsidRDefault="00252A9E" w:rsidP="00252A9E">
      <w:pPr>
        <w:textAlignment w:val="baseline"/>
        <w:rPr>
          <w:rFonts w:ascii="Segoe UI" w:hAnsi="Segoe UI" w:cs="Segoe UI"/>
          <w:lang w:eastAsia="en-GB"/>
        </w:rPr>
      </w:pPr>
      <w:r w:rsidRPr="002B1644">
        <w:rPr>
          <w:rFonts w:cs="Arial"/>
          <w:b/>
          <w:bCs/>
          <w:lang w:eastAsia="en-GB"/>
        </w:rPr>
        <w:t>Rounding</w:t>
      </w:r>
      <w:r w:rsidRPr="002B1644">
        <w:rPr>
          <w:rFonts w:cs="Arial"/>
          <w:lang w:eastAsia="en-GB"/>
        </w:rPr>
        <w:t> </w:t>
      </w:r>
    </w:p>
    <w:p w14:paraId="3DC27F8B" w14:textId="77777777" w:rsidR="00252A9E" w:rsidRPr="002B1644" w:rsidRDefault="00252A9E" w:rsidP="00252A9E">
      <w:pPr>
        <w:textAlignment w:val="baseline"/>
        <w:rPr>
          <w:rFonts w:ascii="Segoe UI" w:hAnsi="Segoe UI" w:cs="Segoe UI"/>
          <w:lang w:eastAsia="en-GB"/>
        </w:rPr>
      </w:pPr>
      <w:r w:rsidRPr="002B1644">
        <w:rPr>
          <w:rFonts w:cs="Arial"/>
          <w:lang w:eastAsia="en-GB"/>
        </w:rPr>
        <w:t> </w:t>
      </w:r>
    </w:p>
    <w:p w14:paraId="69A3C6C5" w14:textId="77777777" w:rsidR="00252A9E" w:rsidRPr="009313CF" w:rsidRDefault="00252A9E" w:rsidP="00252A9E">
      <w:pPr>
        <w:tabs>
          <w:tab w:val="left" w:pos="0"/>
        </w:tabs>
        <w:rPr>
          <w:rFonts w:ascii="Segoe UI" w:hAnsi="Segoe UI" w:cs="Segoe UI"/>
          <w:sz w:val="18"/>
          <w:szCs w:val="18"/>
          <w:lang w:eastAsia="en-GB"/>
        </w:rPr>
      </w:pPr>
      <w:r w:rsidRPr="002B1644">
        <w:rPr>
          <w:rFonts w:cs="Arial"/>
          <w:lang w:eastAsia="en-GB"/>
        </w:rPr>
        <w:t>The authority accepts that minor rounding differences of between £1k and £2k may occur within its Statement of Accounts, these amounts are not material and the Authority does not intend to alter any totals where this occurs</w:t>
      </w:r>
      <w:r>
        <w:rPr>
          <w:rFonts w:cs="Arial"/>
          <w:lang w:eastAsia="en-GB"/>
        </w:rPr>
        <w:t>.</w:t>
      </w:r>
    </w:p>
    <w:p w14:paraId="485A45B7" w14:textId="77777777" w:rsidR="009367F6" w:rsidRPr="00397EBC" w:rsidRDefault="009367F6" w:rsidP="0070459C">
      <w:pPr>
        <w:tabs>
          <w:tab w:val="left" w:pos="0"/>
        </w:tabs>
        <w:rPr>
          <w:b/>
        </w:rPr>
      </w:pPr>
    </w:p>
    <w:p w14:paraId="485A45B8" w14:textId="5C228CEB" w:rsidR="009367F6" w:rsidRPr="000178BD" w:rsidRDefault="009367F6" w:rsidP="0070459C">
      <w:pPr>
        <w:pStyle w:val="Heading2"/>
        <w:numPr>
          <w:ilvl w:val="0"/>
          <w:numId w:val="47"/>
        </w:numPr>
        <w:ind w:left="0" w:firstLine="0"/>
      </w:pPr>
      <w:bookmarkStart w:id="160" w:name="_Toc167965794"/>
      <w:r w:rsidRPr="000178BD">
        <w:t>Expenditure and Funding Analysis</w:t>
      </w:r>
      <w:bookmarkEnd w:id="160"/>
    </w:p>
    <w:p w14:paraId="485A45B9" w14:textId="77777777" w:rsidR="009367F6" w:rsidRPr="004D5CA8" w:rsidRDefault="009367F6" w:rsidP="0070459C">
      <w:pPr>
        <w:rPr>
          <w:b/>
          <w:highlight w:val="yellow"/>
          <w:lang w:eastAsia="en-GB"/>
        </w:rPr>
      </w:pPr>
    </w:p>
    <w:p w14:paraId="485A45BA" w14:textId="4448EC9D" w:rsidR="009367F6" w:rsidRDefault="009367F6" w:rsidP="0070459C">
      <w:pPr>
        <w:rPr>
          <w:lang w:eastAsia="en-GB"/>
        </w:rPr>
      </w:pPr>
      <w:r w:rsidRPr="00397EBC">
        <w:rPr>
          <w:lang w:eastAsia="en-GB"/>
        </w:rPr>
        <w:t>The objective of the Expenditure and Funding Analysis is to demonstrate to council tax and rate payers how the funding available to the Authority (</w:t>
      </w:r>
      <w:r w:rsidR="00C0301F" w:rsidRPr="00397EBC">
        <w:rPr>
          <w:lang w:eastAsia="en-GB"/>
        </w:rPr>
        <w:t>i.e.</w:t>
      </w:r>
      <w:r w:rsidRPr="00397EBC">
        <w:rPr>
          <w:lang w:eastAsia="en-GB"/>
        </w:rPr>
        <w:t xml:space="preserve"> government grants, rents, council tax and business rates) for the year has been used in providing services in comparison with those resources consumed or earned by the Authority in accordance with generally accepted accounting practices. The Expenditure and Funding Analysis also shows how this expenditure is allocated for decision making purposes between the Authority’s services. Income and expenditure accounted for under generally accepted accounting practices is presented more fully in the Comprehensive Income and Expenditure Statement.</w:t>
      </w:r>
    </w:p>
    <w:p w14:paraId="1039AFDA" w14:textId="77777777" w:rsidR="00397EBC" w:rsidRDefault="00397EBC" w:rsidP="0070459C">
      <w:pPr>
        <w:rPr>
          <w:lang w:eastAsia="en-GB"/>
        </w:rPr>
      </w:pPr>
    </w:p>
    <w:p w14:paraId="58F97761" w14:textId="0113E4D4" w:rsidR="00BC05FC" w:rsidRDefault="00397EBC" w:rsidP="0070459C">
      <w:pPr>
        <w:rPr>
          <w:lang w:eastAsia="en-GB"/>
        </w:rPr>
      </w:pPr>
      <w:r>
        <w:rPr>
          <w:lang w:eastAsia="en-GB"/>
        </w:rPr>
        <w:t>The outturn report for 202</w:t>
      </w:r>
      <w:r w:rsidR="00BB0672">
        <w:rPr>
          <w:lang w:eastAsia="en-GB"/>
        </w:rPr>
        <w:t>3</w:t>
      </w:r>
      <w:r>
        <w:rPr>
          <w:lang w:eastAsia="en-GB"/>
        </w:rPr>
        <w:t>/2</w:t>
      </w:r>
      <w:r w:rsidR="00BB0672">
        <w:rPr>
          <w:lang w:eastAsia="en-GB"/>
        </w:rPr>
        <w:t>4</w:t>
      </w:r>
      <w:r>
        <w:rPr>
          <w:lang w:eastAsia="en-GB"/>
        </w:rPr>
        <w:t xml:space="preserve"> prepared for Resource Management will reflect the Net Expenditure </w:t>
      </w:r>
      <w:r w:rsidR="00321978">
        <w:rPr>
          <w:lang w:eastAsia="en-GB"/>
        </w:rPr>
        <w:t>Chargeable to the General Fund</w:t>
      </w:r>
      <w:r>
        <w:rPr>
          <w:lang w:eastAsia="en-GB"/>
        </w:rPr>
        <w:t xml:space="preserve"> without the need for Adjustments to arrive at the net amount charged to the General Fund.</w:t>
      </w:r>
    </w:p>
    <w:p w14:paraId="5AACC60D" w14:textId="77777777" w:rsidR="00BC05FC" w:rsidRDefault="00BC05FC" w:rsidP="0070459C">
      <w:pPr>
        <w:rPr>
          <w:lang w:eastAsia="en-GB"/>
        </w:rPr>
      </w:pPr>
    </w:p>
    <w:p w14:paraId="1DD35EA4" w14:textId="0CEE57B2" w:rsidR="00BC05FC" w:rsidRDefault="000178BD" w:rsidP="0070459C">
      <w:pPr>
        <w:rPr>
          <w:lang w:eastAsia="en-GB"/>
        </w:rPr>
      </w:pPr>
      <w:r w:rsidRPr="000178BD">
        <w:rPr>
          <w:noProof/>
        </w:rPr>
        <w:drawing>
          <wp:inline distT="0" distB="0" distL="0" distR="0" wp14:anchorId="5C40928E" wp14:editId="63CFC924">
            <wp:extent cx="6120765" cy="3667760"/>
            <wp:effectExtent l="0" t="0" r="0" b="8890"/>
            <wp:docPr id="18094155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3667760"/>
                    </a:xfrm>
                    <a:prstGeom prst="rect">
                      <a:avLst/>
                    </a:prstGeom>
                    <a:noFill/>
                    <a:ln>
                      <a:noFill/>
                    </a:ln>
                  </pic:spPr>
                </pic:pic>
              </a:graphicData>
            </a:graphic>
          </wp:inline>
        </w:drawing>
      </w:r>
    </w:p>
    <w:p w14:paraId="191CC828" w14:textId="3D67941C" w:rsidR="00BC05FC" w:rsidRDefault="00BC05FC" w:rsidP="0070459C">
      <w:pPr>
        <w:rPr>
          <w:lang w:eastAsia="en-GB"/>
        </w:rPr>
      </w:pPr>
    </w:p>
    <w:p w14:paraId="6A33A5FA" w14:textId="77777777" w:rsidR="00BC05FC" w:rsidRDefault="00BC05FC" w:rsidP="0070459C">
      <w:pPr>
        <w:rPr>
          <w:lang w:eastAsia="en-GB"/>
        </w:rPr>
      </w:pPr>
    </w:p>
    <w:p w14:paraId="78F2AA30" w14:textId="56C50FE4" w:rsidR="00397EBC" w:rsidRPr="00397EBC" w:rsidRDefault="00397EBC" w:rsidP="0070459C">
      <w:pPr>
        <w:rPr>
          <w:lang w:eastAsia="en-GB"/>
        </w:rPr>
      </w:pPr>
    </w:p>
    <w:p w14:paraId="4A2D0145" w14:textId="77777777" w:rsidR="007B7B41" w:rsidRDefault="007B7B41" w:rsidP="0070459C">
      <w:pPr>
        <w:rPr>
          <w:lang w:eastAsia="en-GB"/>
        </w:rPr>
      </w:pPr>
    </w:p>
    <w:p w14:paraId="1C193493" w14:textId="0E324282" w:rsidR="007B7B41" w:rsidRDefault="007B7B41" w:rsidP="0070459C">
      <w:pPr>
        <w:rPr>
          <w:lang w:eastAsia="en-GB"/>
        </w:rPr>
      </w:pPr>
    </w:p>
    <w:p w14:paraId="16032A80" w14:textId="77777777" w:rsidR="007B7B41" w:rsidRDefault="007B7B41" w:rsidP="0070459C">
      <w:pPr>
        <w:rPr>
          <w:lang w:eastAsia="en-GB"/>
        </w:rPr>
      </w:pPr>
    </w:p>
    <w:p w14:paraId="3FE4B76A" w14:textId="77777777" w:rsidR="00BE6C54" w:rsidRDefault="00BE6C54" w:rsidP="0070459C">
      <w:pPr>
        <w:rPr>
          <w:lang w:eastAsia="en-GB"/>
        </w:rPr>
      </w:pPr>
    </w:p>
    <w:p w14:paraId="512138BD" w14:textId="4030E843" w:rsidR="007B7B41" w:rsidRDefault="007B7B41" w:rsidP="0070459C">
      <w:pPr>
        <w:rPr>
          <w:lang w:eastAsia="en-GB"/>
        </w:rPr>
      </w:pPr>
      <w:r>
        <w:rPr>
          <w:lang w:eastAsia="en-GB"/>
        </w:rPr>
        <w:t>The comparative figures for the prior year are as follows:</w:t>
      </w:r>
    </w:p>
    <w:p w14:paraId="1906BD49" w14:textId="77777777" w:rsidR="007B7B41" w:rsidRPr="00397EBC" w:rsidRDefault="007B7B41" w:rsidP="0070459C">
      <w:pPr>
        <w:rPr>
          <w:lang w:eastAsia="en-GB"/>
        </w:rPr>
      </w:pPr>
    </w:p>
    <w:p w14:paraId="2A95E158" w14:textId="7BDF43FD" w:rsidR="000E1426" w:rsidRPr="00397EBC" w:rsidRDefault="00BB0672" w:rsidP="0070459C">
      <w:pPr>
        <w:rPr>
          <w:lang w:eastAsia="en-GB"/>
        </w:rPr>
      </w:pPr>
      <w:r w:rsidRPr="004E508D">
        <w:rPr>
          <w:noProof/>
        </w:rPr>
        <w:drawing>
          <wp:inline distT="0" distB="0" distL="0" distR="0" wp14:anchorId="3F402C48" wp14:editId="1BEFAB3D">
            <wp:extent cx="5927990" cy="3705225"/>
            <wp:effectExtent l="0" t="0" r="0" b="0"/>
            <wp:docPr id="103378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29557" cy="3706204"/>
                    </a:xfrm>
                    <a:prstGeom prst="rect">
                      <a:avLst/>
                    </a:prstGeom>
                    <a:noFill/>
                    <a:ln>
                      <a:noFill/>
                    </a:ln>
                  </pic:spPr>
                </pic:pic>
              </a:graphicData>
            </a:graphic>
          </wp:inline>
        </w:drawing>
      </w:r>
    </w:p>
    <w:p w14:paraId="485A45BB" w14:textId="77777777" w:rsidR="00277278" w:rsidRDefault="00277278" w:rsidP="0070459C">
      <w:pPr>
        <w:rPr>
          <w:lang w:eastAsia="en-GB"/>
        </w:rPr>
      </w:pPr>
    </w:p>
    <w:p w14:paraId="2A286438" w14:textId="77777777" w:rsidR="007B7B41" w:rsidRPr="00397EBC" w:rsidRDefault="007B7B41" w:rsidP="0070459C">
      <w:pPr>
        <w:rPr>
          <w:lang w:eastAsia="en-GB"/>
        </w:rPr>
      </w:pPr>
    </w:p>
    <w:p w14:paraId="485A45CC" w14:textId="23ECA3A0" w:rsidR="005C0905" w:rsidRPr="00BB0672" w:rsidRDefault="005C0905" w:rsidP="0070459C">
      <w:pPr>
        <w:pStyle w:val="Heading2"/>
        <w:numPr>
          <w:ilvl w:val="0"/>
          <w:numId w:val="47"/>
        </w:numPr>
        <w:ind w:left="0" w:firstLine="0"/>
      </w:pPr>
      <w:bookmarkStart w:id="161" w:name="_Toc167965795"/>
      <w:r w:rsidRPr="00BB0672">
        <w:t>Accounting Concepts</w:t>
      </w:r>
      <w:bookmarkEnd w:id="161"/>
    </w:p>
    <w:p w14:paraId="485A45CD" w14:textId="77777777" w:rsidR="00C55970" w:rsidRPr="00384EBB" w:rsidRDefault="00C55970" w:rsidP="0070459C">
      <w:pPr>
        <w:rPr>
          <w:b/>
        </w:rPr>
      </w:pPr>
    </w:p>
    <w:p w14:paraId="485A45CE" w14:textId="77777777" w:rsidR="005C0905" w:rsidRPr="00384EBB" w:rsidRDefault="005C0905" w:rsidP="0070459C">
      <w:pPr>
        <w:rPr>
          <w:bCs/>
        </w:rPr>
      </w:pPr>
      <w:r w:rsidRPr="00384EBB">
        <w:rPr>
          <w:bCs/>
        </w:rPr>
        <w:t xml:space="preserve">In all cases, due consideration has been given to the relevance, reliability, comparability and </w:t>
      </w:r>
      <w:r w:rsidR="004D6A42" w:rsidRPr="00384EBB">
        <w:rPr>
          <w:bCs/>
        </w:rPr>
        <w:t>understandability</w:t>
      </w:r>
      <w:r w:rsidRPr="00384EBB">
        <w:rPr>
          <w:bCs/>
        </w:rPr>
        <w:t xml:space="preserve"> of financial information.</w:t>
      </w:r>
      <w:r w:rsidR="00D95903" w:rsidRPr="00384EBB">
        <w:rPr>
          <w:bCs/>
        </w:rPr>
        <w:t xml:space="preserve"> </w:t>
      </w:r>
      <w:r w:rsidRPr="00384EBB">
        <w:rPr>
          <w:bCs/>
        </w:rPr>
        <w:t>The materiality of particular items and issues has also been considered.</w:t>
      </w:r>
    </w:p>
    <w:p w14:paraId="485A45CF" w14:textId="77777777" w:rsidR="005C0905" w:rsidRPr="00384EBB" w:rsidRDefault="005C0905" w:rsidP="0070459C"/>
    <w:p w14:paraId="485A45D0" w14:textId="4D36E38A" w:rsidR="005C0905" w:rsidRDefault="005C0905" w:rsidP="0070459C">
      <w:r w:rsidRPr="00384EBB">
        <w:t>The following accounting concepts have been used</w:t>
      </w:r>
      <w:r w:rsidR="00384EBB">
        <w:t>:</w:t>
      </w:r>
    </w:p>
    <w:p w14:paraId="727E2F1C" w14:textId="77777777" w:rsidR="00384EBB" w:rsidRPr="00384EBB" w:rsidRDefault="00384EBB" w:rsidP="0070459C"/>
    <w:p w14:paraId="69F092A6" w14:textId="77777777" w:rsidR="00384EBB" w:rsidRDefault="005C0905" w:rsidP="0070459C">
      <w:pPr>
        <w:numPr>
          <w:ilvl w:val="0"/>
          <w:numId w:val="12"/>
        </w:numPr>
        <w:tabs>
          <w:tab w:val="clear" w:pos="1429"/>
          <w:tab w:val="num" w:pos="567"/>
        </w:tabs>
        <w:ind w:left="567" w:hanging="567"/>
      </w:pPr>
      <w:r w:rsidRPr="00384EBB">
        <w:t>Accruals - this means that income and expenditure are recognised as they are earned and incurred</w:t>
      </w:r>
      <w:r w:rsidR="009A628D" w:rsidRPr="00384EBB">
        <w:t>,</w:t>
      </w:r>
      <w:r w:rsidRPr="00384EBB">
        <w:t xml:space="preserve"> not as money is received or paid</w:t>
      </w:r>
    </w:p>
    <w:p w14:paraId="485A45D2" w14:textId="27EA7E00" w:rsidR="005C0905" w:rsidRPr="00384EBB" w:rsidRDefault="005C0905" w:rsidP="0070459C">
      <w:pPr>
        <w:numPr>
          <w:ilvl w:val="0"/>
          <w:numId w:val="12"/>
        </w:numPr>
        <w:tabs>
          <w:tab w:val="clear" w:pos="1429"/>
          <w:tab w:val="num" w:pos="567"/>
        </w:tabs>
        <w:ind w:left="567" w:hanging="567"/>
      </w:pPr>
      <w:r w:rsidRPr="00384EBB">
        <w:t xml:space="preserve">Going concern – this assumes that the Authority will continue to operate in the </w:t>
      </w:r>
      <w:r w:rsidR="00384EBB">
        <w:t xml:space="preserve">   </w:t>
      </w:r>
      <w:r w:rsidRPr="00384EBB">
        <w:t>future</w:t>
      </w:r>
    </w:p>
    <w:p w14:paraId="485A45D3" w14:textId="77777777" w:rsidR="005C0905" w:rsidRPr="00384EBB" w:rsidRDefault="005C0905" w:rsidP="0070459C">
      <w:pPr>
        <w:numPr>
          <w:ilvl w:val="0"/>
          <w:numId w:val="12"/>
        </w:numPr>
        <w:tabs>
          <w:tab w:val="clear" w:pos="1429"/>
          <w:tab w:val="num" w:pos="567"/>
        </w:tabs>
        <w:ind w:left="567" w:hanging="567"/>
        <w:rPr>
          <w:b/>
        </w:rPr>
      </w:pPr>
      <w:r w:rsidRPr="00384EBB">
        <w:t>Primacy of legislative requirements – this means that where specific legislative requirements and accounting principles conflict, the legislative arrangements shall be used.</w:t>
      </w:r>
    </w:p>
    <w:p w14:paraId="485A45D4" w14:textId="77777777" w:rsidR="005C0905" w:rsidRPr="00384EBB" w:rsidRDefault="005C0905" w:rsidP="0070459C">
      <w:pPr>
        <w:rPr>
          <w:b/>
        </w:rPr>
      </w:pPr>
    </w:p>
    <w:p w14:paraId="485A45D5" w14:textId="77777777" w:rsidR="00C55970" w:rsidRPr="00384EBB" w:rsidRDefault="005C0905" w:rsidP="0070459C">
      <w:r w:rsidRPr="00384EBB">
        <w:t>These concepts have been used in the selection of the accounting policies, estimation techniques and professional judgements employed.</w:t>
      </w:r>
    </w:p>
    <w:p w14:paraId="485A45D6" w14:textId="77777777" w:rsidR="00C55970" w:rsidRPr="00384EBB" w:rsidRDefault="00C55970" w:rsidP="0070459C"/>
    <w:p w14:paraId="485A45D7" w14:textId="4309ED51" w:rsidR="00420AE5" w:rsidRPr="00384EBB" w:rsidRDefault="00C55970" w:rsidP="0070459C">
      <w:pPr>
        <w:rPr>
          <w:rFonts w:cs="Arial"/>
          <w:b/>
        </w:rPr>
      </w:pPr>
      <w:r w:rsidRPr="00384EBB">
        <w:t>This approach aims to provide information about the Authority’s financial position, performance and cash flows in a way that meets the common needs of most users and shows the stewardship and accountabili</w:t>
      </w:r>
      <w:r w:rsidR="009A628D" w:rsidRPr="00384EBB">
        <w:t>ty of m</w:t>
      </w:r>
      <w:r w:rsidRPr="00384EBB">
        <w:t>embers and management for the resources entrusted to them.</w:t>
      </w:r>
      <w:r w:rsidR="005A703E" w:rsidRPr="00384EBB">
        <w:rPr>
          <w:rFonts w:cs="Arial"/>
          <w:b/>
        </w:rPr>
        <w:t xml:space="preserve"> </w:t>
      </w:r>
    </w:p>
    <w:p w14:paraId="3FDAE639" w14:textId="4BBEE343" w:rsidR="00D34FFC" w:rsidRPr="004D5CA8" w:rsidRDefault="00D34FFC" w:rsidP="0070459C">
      <w:pPr>
        <w:rPr>
          <w:rFonts w:cs="Arial"/>
          <w:b/>
          <w:highlight w:val="yellow"/>
        </w:rPr>
      </w:pPr>
    </w:p>
    <w:p w14:paraId="752150E9" w14:textId="77777777" w:rsidR="00D34FFC" w:rsidRDefault="00D34FFC" w:rsidP="0070459C">
      <w:pPr>
        <w:rPr>
          <w:rFonts w:cs="Arial"/>
          <w:b/>
          <w:highlight w:val="yellow"/>
        </w:rPr>
      </w:pPr>
    </w:p>
    <w:p w14:paraId="485A45D8" w14:textId="77777777" w:rsidR="00420AE5" w:rsidRPr="004D5CA8" w:rsidRDefault="00420AE5" w:rsidP="0070459C">
      <w:pPr>
        <w:rPr>
          <w:rFonts w:cs="Arial"/>
          <w:b/>
          <w:highlight w:val="yellow"/>
        </w:rPr>
      </w:pPr>
    </w:p>
    <w:p w14:paraId="485A45D9" w14:textId="3FD62944" w:rsidR="00E00863" w:rsidRPr="00007500" w:rsidRDefault="00E00863" w:rsidP="0070459C">
      <w:pPr>
        <w:pStyle w:val="Heading2"/>
        <w:numPr>
          <w:ilvl w:val="0"/>
          <w:numId w:val="47"/>
        </w:numPr>
        <w:ind w:left="0" w:firstLine="0"/>
        <w:rPr>
          <w:rFonts w:cs="Arial"/>
        </w:rPr>
      </w:pPr>
      <w:bookmarkStart w:id="162" w:name="_Toc167965796"/>
      <w:r w:rsidRPr="00007500">
        <w:lastRenderedPageBreak/>
        <w:t>Accounting Standards that have been issued but have not yet been adopted</w:t>
      </w:r>
      <w:bookmarkEnd w:id="162"/>
    </w:p>
    <w:p w14:paraId="485A45DA" w14:textId="77777777" w:rsidR="001664F4" w:rsidRPr="00384EBB" w:rsidRDefault="005A703E" w:rsidP="0070459C">
      <w:pPr>
        <w:rPr>
          <w:rFonts w:cs="Arial"/>
          <w:b/>
          <w:sz w:val="28"/>
        </w:rPr>
      </w:pPr>
      <w:r w:rsidRPr="00384EBB">
        <w:rPr>
          <w:rFonts w:cs="Arial"/>
          <w:b/>
          <w:sz w:val="28"/>
        </w:rPr>
        <w:tab/>
      </w:r>
    </w:p>
    <w:p w14:paraId="794B1B2B" w14:textId="17B6583E" w:rsidR="0093400D" w:rsidRPr="00CC6418" w:rsidRDefault="00A149C7" w:rsidP="0093400D">
      <w:pPr>
        <w:pStyle w:val="Default"/>
        <w:rPr>
          <w:rFonts w:ascii="Arial" w:hAnsi="Arial" w:cs="Arial"/>
        </w:rPr>
      </w:pPr>
      <w:r w:rsidRPr="00CC6418">
        <w:rPr>
          <w:rFonts w:ascii="Arial" w:hAnsi="Arial" w:cs="Arial"/>
        </w:rPr>
        <w:t>The</w:t>
      </w:r>
      <w:r w:rsidR="00805B3D" w:rsidRPr="00CC6418">
        <w:rPr>
          <w:rFonts w:ascii="Arial" w:hAnsi="Arial" w:cs="Arial"/>
        </w:rPr>
        <w:t>re are a number of standards that have been issued but have not been adopted by the 202</w:t>
      </w:r>
      <w:r w:rsidR="0093400D" w:rsidRPr="00CC6418">
        <w:rPr>
          <w:rFonts w:ascii="Arial" w:hAnsi="Arial" w:cs="Arial"/>
        </w:rPr>
        <w:t>3</w:t>
      </w:r>
      <w:r w:rsidR="00805B3D" w:rsidRPr="00CC6418">
        <w:rPr>
          <w:rFonts w:ascii="Arial" w:hAnsi="Arial" w:cs="Arial"/>
        </w:rPr>
        <w:t>/2</w:t>
      </w:r>
      <w:r w:rsidR="0093400D" w:rsidRPr="00CC6418">
        <w:rPr>
          <w:rFonts w:ascii="Arial" w:hAnsi="Arial" w:cs="Arial"/>
        </w:rPr>
        <w:t>4</w:t>
      </w:r>
      <w:r w:rsidR="00805B3D" w:rsidRPr="00CC6418">
        <w:rPr>
          <w:rFonts w:ascii="Arial" w:hAnsi="Arial" w:cs="Arial"/>
        </w:rPr>
        <w:t xml:space="preserve"> Code. </w:t>
      </w:r>
      <w:r w:rsidR="0093400D" w:rsidRPr="00CC6418">
        <w:rPr>
          <w:rFonts w:ascii="Arial" w:hAnsi="Arial" w:cs="Arial"/>
        </w:rPr>
        <w:t>These are as follows</w:t>
      </w:r>
    </w:p>
    <w:p w14:paraId="515E470B" w14:textId="5433CFFF" w:rsidR="0093400D" w:rsidRPr="0093400D" w:rsidRDefault="0093400D" w:rsidP="0093400D">
      <w:pPr>
        <w:autoSpaceDE w:val="0"/>
        <w:autoSpaceDN w:val="0"/>
        <w:adjustRightInd w:val="0"/>
        <w:spacing w:before="100" w:beforeAutospacing="1"/>
        <w:ind w:left="425"/>
        <w:rPr>
          <w:rFonts w:cs="Arial"/>
          <w:color w:val="000000"/>
          <w:sz w:val="24"/>
          <w:szCs w:val="24"/>
          <w:lang w:eastAsia="en-GB"/>
        </w:rPr>
      </w:pPr>
      <w:r w:rsidRPr="0093400D">
        <w:rPr>
          <w:rFonts w:cs="Arial"/>
          <w:color w:val="000000"/>
          <w:sz w:val="24"/>
          <w:szCs w:val="24"/>
          <w:lang w:eastAsia="en-GB"/>
        </w:rPr>
        <w:t xml:space="preserve">a) IFRS 16 </w:t>
      </w:r>
      <w:r w:rsidRPr="0093400D">
        <w:rPr>
          <w:rFonts w:cs="Arial"/>
          <w:i/>
          <w:iCs/>
          <w:color w:val="000000"/>
          <w:sz w:val="24"/>
          <w:szCs w:val="24"/>
          <w:lang w:eastAsia="en-GB"/>
        </w:rPr>
        <w:t xml:space="preserve">Leases </w:t>
      </w:r>
      <w:r w:rsidRPr="0093400D">
        <w:rPr>
          <w:rFonts w:cs="Arial"/>
          <w:color w:val="000000"/>
          <w:sz w:val="24"/>
          <w:szCs w:val="24"/>
          <w:lang w:eastAsia="en-GB"/>
        </w:rPr>
        <w:t xml:space="preserve">issued in January 2016 </w:t>
      </w:r>
    </w:p>
    <w:p w14:paraId="7CD89F8E" w14:textId="085E098A" w:rsidR="0093400D" w:rsidRPr="0093400D" w:rsidRDefault="0093400D" w:rsidP="0093400D">
      <w:pPr>
        <w:autoSpaceDE w:val="0"/>
        <w:autoSpaceDN w:val="0"/>
        <w:adjustRightInd w:val="0"/>
        <w:spacing w:before="100" w:beforeAutospacing="1"/>
        <w:ind w:left="425"/>
        <w:rPr>
          <w:rFonts w:cs="Arial"/>
          <w:color w:val="000000"/>
          <w:sz w:val="24"/>
          <w:szCs w:val="24"/>
          <w:lang w:eastAsia="en-GB"/>
        </w:rPr>
      </w:pPr>
      <w:r w:rsidRPr="0093400D">
        <w:rPr>
          <w:rFonts w:cs="Arial"/>
          <w:color w:val="000000"/>
          <w:sz w:val="24"/>
          <w:szCs w:val="24"/>
          <w:lang w:eastAsia="en-GB"/>
        </w:rPr>
        <w:t xml:space="preserve">b) Classification of Liabilities as Current or Non-current (Amendments to IAS 1) </w:t>
      </w:r>
    </w:p>
    <w:p w14:paraId="1D6E0C84" w14:textId="26429AE7" w:rsidR="0093400D" w:rsidRPr="0093400D" w:rsidRDefault="0093400D" w:rsidP="0093400D">
      <w:pPr>
        <w:autoSpaceDE w:val="0"/>
        <w:autoSpaceDN w:val="0"/>
        <w:adjustRightInd w:val="0"/>
        <w:spacing w:before="100" w:beforeAutospacing="1"/>
        <w:ind w:left="425"/>
        <w:rPr>
          <w:rFonts w:cs="Arial"/>
          <w:color w:val="000000"/>
          <w:sz w:val="24"/>
          <w:szCs w:val="24"/>
          <w:lang w:eastAsia="en-GB"/>
        </w:rPr>
      </w:pPr>
      <w:r w:rsidRPr="0093400D">
        <w:rPr>
          <w:rFonts w:cs="Arial"/>
          <w:color w:val="000000"/>
          <w:sz w:val="24"/>
          <w:szCs w:val="24"/>
          <w:lang w:eastAsia="en-GB"/>
        </w:rPr>
        <w:t xml:space="preserve">c) Lease Liability in a Sale and Leaseback (Amendments to IFRS 16) </w:t>
      </w:r>
    </w:p>
    <w:p w14:paraId="21E2D63B" w14:textId="4938E1FE" w:rsidR="0093400D" w:rsidRPr="0093400D" w:rsidRDefault="0093400D" w:rsidP="0093400D">
      <w:pPr>
        <w:autoSpaceDE w:val="0"/>
        <w:autoSpaceDN w:val="0"/>
        <w:adjustRightInd w:val="0"/>
        <w:spacing w:before="100" w:beforeAutospacing="1"/>
        <w:ind w:left="425"/>
        <w:rPr>
          <w:rFonts w:cs="Arial"/>
          <w:color w:val="000000"/>
          <w:sz w:val="24"/>
          <w:szCs w:val="24"/>
          <w:lang w:eastAsia="en-GB"/>
        </w:rPr>
      </w:pPr>
      <w:r w:rsidRPr="0093400D">
        <w:rPr>
          <w:rFonts w:cs="Arial"/>
          <w:color w:val="000000"/>
          <w:sz w:val="24"/>
          <w:szCs w:val="24"/>
          <w:lang w:eastAsia="en-GB"/>
        </w:rPr>
        <w:t xml:space="preserve">d) Non-current Liabilities with Covenants (Amendments to IAS 1) </w:t>
      </w:r>
    </w:p>
    <w:p w14:paraId="2CDD6F85" w14:textId="1AA09B72" w:rsidR="0093400D" w:rsidRPr="0093400D" w:rsidRDefault="0093400D" w:rsidP="0093400D">
      <w:pPr>
        <w:autoSpaceDE w:val="0"/>
        <w:autoSpaceDN w:val="0"/>
        <w:adjustRightInd w:val="0"/>
        <w:spacing w:before="100" w:beforeAutospacing="1"/>
        <w:ind w:left="425"/>
        <w:rPr>
          <w:rFonts w:cs="Arial"/>
          <w:color w:val="000000"/>
          <w:sz w:val="24"/>
          <w:szCs w:val="24"/>
          <w:lang w:eastAsia="en-GB"/>
        </w:rPr>
      </w:pPr>
      <w:r w:rsidRPr="0093400D">
        <w:rPr>
          <w:rFonts w:cs="Arial"/>
          <w:color w:val="000000"/>
          <w:sz w:val="24"/>
          <w:szCs w:val="24"/>
          <w:lang w:eastAsia="en-GB"/>
        </w:rPr>
        <w:t xml:space="preserve">e) International Tax Reform: Pillar Two Model Rules (Amendments to IAS 12) </w:t>
      </w:r>
    </w:p>
    <w:p w14:paraId="7E480DC7" w14:textId="665F38B3" w:rsidR="0093400D" w:rsidRPr="0093400D" w:rsidRDefault="0093400D" w:rsidP="0093400D">
      <w:pPr>
        <w:autoSpaceDE w:val="0"/>
        <w:autoSpaceDN w:val="0"/>
        <w:adjustRightInd w:val="0"/>
        <w:spacing w:before="100" w:beforeAutospacing="1"/>
        <w:ind w:left="425"/>
        <w:rPr>
          <w:rFonts w:cs="Arial"/>
          <w:color w:val="000000"/>
          <w:sz w:val="24"/>
          <w:szCs w:val="24"/>
          <w:lang w:eastAsia="en-GB"/>
        </w:rPr>
      </w:pPr>
      <w:r w:rsidRPr="0093400D">
        <w:rPr>
          <w:rFonts w:cs="Arial"/>
          <w:color w:val="000000"/>
          <w:sz w:val="24"/>
          <w:szCs w:val="24"/>
          <w:lang w:eastAsia="en-GB"/>
        </w:rPr>
        <w:t xml:space="preserve">f) Supplier Finance Arrangements (Amendments to IAS 7 and IFRS 7) </w:t>
      </w:r>
    </w:p>
    <w:p w14:paraId="3FCE97E8" w14:textId="77777777" w:rsidR="0093400D" w:rsidRPr="0093400D" w:rsidRDefault="0093400D" w:rsidP="0093400D">
      <w:pPr>
        <w:pStyle w:val="Default"/>
        <w:rPr>
          <w:rFonts w:ascii="Arial" w:hAnsi="Arial" w:cs="Arial"/>
        </w:rPr>
      </w:pPr>
    </w:p>
    <w:p w14:paraId="64F9D5EF" w14:textId="187BC631" w:rsidR="0093400D" w:rsidRDefault="0093400D" w:rsidP="0093400D">
      <w:pPr>
        <w:pStyle w:val="Default"/>
        <w:rPr>
          <w:rFonts w:ascii="Arial" w:hAnsi="Arial" w:cs="Arial"/>
        </w:rPr>
      </w:pPr>
      <w:r w:rsidRPr="0093400D">
        <w:rPr>
          <w:rFonts w:ascii="Arial" w:hAnsi="Arial" w:cs="Arial"/>
        </w:rPr>
        <w:t xml:space="preserve">The only change anticipated to have a material impact on the Authority relates to a), IFRS 16 leases. </w:t>
      </w:r>
      <w:r w:rsidR="00C709D9">
        <w:rPr>
          <w:rFonts w:ascii="Arial" w:hAnsi="Arial" w:cs="Arial"/>
        </w:rPr>
        <w:t xml:space="preserve">The initial estimates of the impact of this standard </w:t>
      </w:r>
      <w:r w:rsidR="00BA62BB">
        <w:rPr>
          <w:rFonts w:ascii="Arial" w:hAnsi="Arial" w:cs="Arial"/>
        </w:rPr>
        <w:t xml:space="preserve">in 2024/25 </w:t>
      </w:r>
      <w:r w:rsidR="00C709D9">
        <w:rPr>
          <w:rFonts w:ascii="Arial" w:hAnsi="Arial" w:cs="Arial"/>
        </w:rPr>
        <w:t>are as follows:</w:t>
      </w:r>
      <w:r>
        <w:rPr>
          <w:rFonts w:ascii="Arial" w:hAnsi="Arial" w:cs="Arial"/>
        </w:rPr>
        <w:t xml:space="preserve"> </w:t>
      </w:r>
    </w:p>
    <w:p w14:paraId="518D8177" w14:textId="77777777" w:rsidR="00C709D9" w:rsidRDefault="00C709D9" w:rsidP="0093400D">
      <w:pPr>
        <w:pStyle w:val="Default"/>
        <w:rPr>
          <w:rFonts w:ascii="Arial" w:hAnsi="Arial" w:cs="Arial"/>
        </w:rPr>
      </w:pPr>
    </w:p>
    <w:tbl>
      <w:tblPr>
        <w:tblW w:w="5459" w:type="dxa"/>
        <w:jc w:val="center"/>
        <w:tblLook w:val="04A0" w:firstRow="1" w:lastRow="0" w:firstColumn="1" w:lastColumn="0" w:noHBand="0" w:noVBand="1"/>
      </w:tblPr>
      <w:tblGrid>
        <w:gridCol w:w="4499"/>
        <w:gridCol w:w="960"/>
      </w:tblGrid>
      <w:tr w:rsidR="00C709D9" w:rsidRPr="00C709D9" w14:paraId="6EFD82BC" w14:textId="77777777" w:rsidTr="00BA62BB">
        <w:trPr>
          <w:trHeight w:val="260"/>
          <w:jc w:val="center"/>
        </w:trPr>
        <w:tc>
          <w:tcPr>
            <w:tcW w:w="4499" w:type="dxa"/>
            <w:tcBorders>
              <w:top w:val="single" w:sz="4" w:space="0" w:color="auto"/>
              <w:left w:val="single" w:sz="4" w:space="0" w:color="auto"/>
              <w:bottom w:val="single" w:sz="4" w:space="0" w:color="auto"/>
              <w:right w:val="nil"/>
            </w:tcBorders>
            <w:shd w:val="clear" w:color="auto" w:fill="auto"/>
            <w:noWrap/>
            <w:vAlign w:val="bottom"/>
            <w:hideMark/>
          </w:tcPr>
          <w:p w14:paraId="6BC72CE3" w14:textId="77777777" w:rsidR="00C709D9" w:rsidRPr="00C709D9" w:rsidRDefault="00C709D9" w:rsidP="00C709D9">
            <w:pPr>
              <w:rPr>
                <w:rFonts w:cs="Arial"/>
                <w:b/>
                <w:bCs/>
                <w:sz w:val="20"/>
                <w:szCs w:val="20"/>
                <w:lang w:eastAsia="en-GB"/>
              </w:rPr>
            </w:pPr>
            <w:r w:rsidRPr="00C709D9">
              <w:rPr>
                <w:rFonts w:cs="Arial"/>
                <w:b/>
                <w:bCs/>
                <w:sz w:val="20"/>
                <w:szCs w:val="20"/>
                <w:lang w:eastAsia="en-GB"/>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78BDD" w14:textId="77777777" w:rsidR="00C709D9" w:rsidRPr="00C709D9" w:rsidRDefault="00C709D9" w:rsidP="00C709D9">
            <w:pPr>
              <w:rPr>
                <w:rFonts w:cs="Arial"/>
                <w:b/>
                <w:bCs/>
                <w:sz w:val="20"/>
                <w:szCs w:val="20"/>
                <w:lang w:eastAsia="en-GB"/>
              </w:rPr>
            </w:pPr>
            <w:r w:rsidRPr="00C709D9">
              <w:rPr>
                <w:rFonts w:cs="Arial"/>
                <w:b/>
                <w:bCs/>
                <w:sz w:val="20"/>
                <w:szCs w:val="20"/>
                <w:lang w:eastAsia="en-GB"/>
              </w:rPr>
              <w:t>£000</w:t>
            </w:r>
          </w:p>
        </w:tc>
      </w:tr>
      <w:tr w:rsidR="00C709D9" w:rsidRPr="00C709D9" w14:paraId="2471E051" w14:textId="77777777" w:rsidTr="00BA62BB">
        <w:trPr>
          <w:trHeight w:val="260"/>
          <w:jc w:val="center"/>
        </w:trPr>
        <w:tc>
          <w:tcPr>
            <w:tcW w:w="4499" w:type="dxa"/>
            <w:tcBorders>
              <w:top w:val="nil"/>
              <w:left w:val="single" w:sz="4" w:space="0" w:color="auto"/>
              <w:bottom w:val="nil"/>
              <w:right w:val="nil"/>
            </w:tcBorders>
            <w:shd w:val="clear" w:color="auto" w:fill="auto"/>
            <w:noWrap/>
            <w:vAlign w:val="bottom"/>
            <w:hideMark/>
          </w:tcPr>
          <w:p w14:paraId="0E8D6468" w14:textId="77777777" w:rsidR="00C709D9" w:rsidRPr="00C709D9" w:rsidRDefault="00C709D9" w:rsidP="00C709D9">
            <w:pPr>
              <w:rPr>
                <w:rFonts w:cs="Arial"/>
                <w:b/>
                <w:bCs/>
                <w:sz w:val="20"/>
                <w:szCs w:val="20"/>
                <w:lang w:eastAsia="en-GB"/>
              </w:rPr>
            </w:pPr>
            <w:r w:rsidRPr="00C709D9">
              <w:rPr>
                <w:rFonts w:cs="Arial"/>
                <w:b/>
                <w:bCs/>
                <w:sz w:val="20"/>
                <w:szCs w:val="20"/>
                <w:lang w:eastAsia="en-GB"/>
              </w:rPr>
              <w:t>Balance sheet</w:t>
            </w:r>
          </w:p>
        </w:tc>
        <w:tc>
          <w:tcPr>
            <w:tcW w:w="960" w:type="dxa"/>
            <w:tcBorders>
              <w:top w:val="nil"/>
              <w:left w:val="single" w:sz="4" w:space="0" w:color="auto"/>
              <w:bottom w:val="nil"/>
              <w:right w:val="single" w:sz="4" w:space="0" w:color="auto"/>
            </w:tcBorders>
            <w:shd w:val="clear" w:color="auto" w:fill="auto"/>
            <w:noWrap/>
            <w:vAlign w:val="bottom"/>
            <w:hideMark/>
          </w:tcPr>
          <w:p w14:paraId="1155D24F" w14:textId="77777777" w:rsidR="00C709D9" w:rsidRPr="00C709D9" w:rsidRDefault="00C709D9" w:rsidP="00C709D9">
            <w:pPr>
              <w:rPr>
                <w:rFonts w:cs="Arial"/>
                <w:sz w:val="20"/>
                <w:szCs w:val="20"/>
                <w:lang w:eastAsia="en-GB"/>
              </w:rPr>
            </w:pPr>
            <w:r w:rsidRPr="00C709D9">
              <w:rPr>
                <w:rFonts w:cs="Arial"/>
                <w:sz w:val="20"/>
                <w:szCs w:val="20"/>
                <w:lang w:eastAsia="en-GB"/>
              </w:rPr>
              <w:t> </w:t>
            </w:r>
          </w:p>
        </w:tc>
      </w:tr>
      <w:tr w:rsidR="00C709D9" w:rsidRPr="00C709D9" w14:paraId="3388EC5D" w14:textId="77777777" w:rsidTr="00BA62BB">
        <w:trPr>
          <w:trHeight w:val="250"/>
          <w:jc w:val="center"/>
        </w:trPr>
        <w:tc>
          <w:tcPr>
            <w:tcW w:w="4499" w:type="dxa"/>
            <w:tcBorders>
              <w:top w:val="nil"/>
              <w:left w:val="single" w:sz="4" w:space="0" w:color="auto"/>
              <w:bottom w:val="nil"/>
              <w:right w:val="nil"/>
            </w:tcBorders>
            <w:shd w:val="clear" w:color="auto" w:fill="auto"/>
            <w:noWrap/>
            <w:vAlign w:val="bottom"/>
            <w:hideMark/>
          </w:tcPr>
          <w:p w14:paraId="3FB73F12" w14:textId="656F03C3" w:rsidR="00C709D9" w:rsidRPr="00C709D9" w:rsidRDefault="00BA62BB" w:rsidP="00C709D9">
            <w:pPr>
              <w:rPr>
                <w:rFonts w:cs="Arial"/>
                <w:sz w:val="20"/>
                <w:szCs w:val="20"/>
                <w:lang w:eastAsia="en-GB"/>
              </w:rPr>
            </w:pPr>
            <w:r>
              <w:rPr>
                <w:rFonts w:cs="Arial"/>
                <w:sz w:val="20"/>
                <w:szCs w:val="20"/>
                <w:lang w:eastAsia="en-GB"/>
              </w:rPr>
              <w:t xml:space="preserve">Recognition of </w:t>
            </w:r>
            <w:r w:rsidR="00C709D9" w:rsidRPr="00C709D9">
              <w:rPr>
                <w:rFonts w:cs="Arial"/>
                <w:sz w:val="20"/>
                <w:szCs w:val="20"/>
                <w:lang w:eastAsia="en-GB"/>
              </w:rPr>
              <w:t>Right of use asset</w:t>
            </w:r>
          </w:p>
        </w:tc>
        <w:tc>
          <w:tcPr>
            <w:tcW w:w="960" w:type="dxa"/>
            <w:tcBorders>
              <w:top w:val="nil"/>
              <w:left w:val="single" w:sz="4" w:space="0" w:color="auto"/>
              <w:bottom w:val="nil"/>
              <w:right w:val="single" w:sz="4" w:space="0" w:color="auto"/>
            </w:tcBorders>
            <w:shd w:val="clear" w:color="auto" w:fill="auto"/>
            <w:noWrap/>
            <w:vAlign w:val="bottom"/>
            <w:hideMark/>
          </w:tcPr>
          <w:p w14:paraId="0D8B4955" w14:textId="77777777" w:rsidR="00C709D9" w:rsidRPr="00C709D9" w:rsidRDefault="00C709D9" w:rsidP="00C709D9">
            <w:pPr>
              <w:jc w:val="right"/>
              <w:rPr>
                <w:rFonts w:cs="Arial"/>
                <w:sz w:val="20"/>
                <w:szCs w:val="20"/>
                <w:lang w:eastAsia="en-GB"/>
              </w:rPr>
            </w:pPr>
            <w:r w:rsidRPr="00C709D9">
              <w:rPr>
                <w:rFonts w:cs="Arial"/>
                <w:sz w:val="20"/>
                <w:szCs w:val="20"/>
                <w:lang w:eastAsia="en-GB"/>
              </w:rPr>
              <w:t>752</w:t>
            </w:r>
          </w:p>
        </w:tc>
      </w:tr>
      <w:tr w:rsidR="00C709D9" w:rsidRPr="00C709D9" w14:paraId="135746B7" w14:textId="77777777" w:rsidTr="00BA62BB">
        <w:trPr>
          <w:trHeight w:val="250"/>
          <w:jc w:val="center"/>
        </w:trPr>
        <w:tc>
          <w:tcPr>
            <w:tcW w:w="4499" w:type="dxa"/>
            <w:tcBorders>
              <w:top w:val="nil"/>
              <w:left w:val="single" w:sz="4" w:space="0" w:color="auto"/>
              <w:bottom w:val="nil"/>
              <w:right w:val="nil"/>
            </w:tcBorders>
            <w:shd w:val="clear" w:color="auto" w:fill="auto"/>
            <w:noWrap/>
            <w:vAlign w:val="bottom"/>
            <w:hideMark/>
          </w:tcPr>
          <w:p w14:paraId="26E08540" w14:textId="776FA8F7" w:rsidR="00C709D9" w:rsidRPr="00C709D9" w:rsidRDefault="00BA62BB" w:rsidP="00C709D9">
            <w:pPr>
              <w:rPr>
                <w:rFonts w:cs="Arial"/>
                <w:sz w:val="20"/>
                <w:szCs w:val="20"/>
                <w:lang w:eastAsia="en-GB"/>
              </w:rPr>
            </w:pPr>
            <w:r>
              <w:rPr>
                <w:rFonts w:cs="Arial"/>
                <w:sz w:val="20"/>
                <w:szCs w:val="20"/>
                <w:lang w:eastAsia="en-GB"/>
              </w:rPr>
              <w:t xml:space="preserve">Recognition of </w:t>
            </w:r>
            <w:r w:rsidR="00C709D9" w:rsidRPr="00C709D9">
              <w:rPr>
                <w:rFonts w:cs="Arial"/>
                <w:sz w:val="20"/>
                <w:szCs w:val="20"/>
                <w:lang w:eastAsia="en-GB"/>
              </w:rPr>
              <w:t>Lease liability</w:t>
            </w:r>
          </w:p>
        </w:tc>
        <w:tc>
          <w:tcPr>
            <w:tcW w:w="960" w:type="dxa"/>
            <w:tcBorders>
              <w:top w:val="nil"/>
              <w:left w:val="single" w:sz="4" w:space="0" w:color="auto"/>
              <w:bottom w:val="nil"/>
              <w:right w:val="single" w:sz="4" w:space="0" w:color="auto"/>
            </w:tcBorders>
            <w:shd w:val="clear" w:color="auto" w:fill="auto"/>
            <w:noWrap/>
            <w:vAlign w:val="bottom"/>
            <w:hideMark/>
          </w:tcPr>
          <w:p w14:paraId="49C4860C" w14:textId="77777777" w:rsidR="00C709D9" w:rsidRPr="00C709D9" w:rsidRDefault="00C709D9" w:rsidP="00C709D9">
            <w:pPr>
              <w:jc w:val="right"/>
              <w:rPr>
                <w:rFonts w:cs="Arial"/>
                <w:sz w:val="20"/>
                <w:szCs w:val="20"/>
                <w:lang w:eastAsia="en-GB"/>
              </w:rPr>
            </w:pPr>
            <w:r w:rsidRPr="00C709D9">
              <w:rPr>
                <w:rFonts w:cs="Arial"/>
                <w:sz w:val="20"/>
                <w:szCs w:val="20"/>
                <w:lang w:eastAsia="en-GB"/>
              </w:rPr>
              <w:t>-752</w:t>
            </w:r>
          </w:p>
        </w:tc>
      </w:tr>
      <w:tr w:rsidR="00C709D9" w:rsidRPr="00C709D9" w14:paraId="4C4922EA" w14:textId="77777777" w:rsidTr="00BA62BB">
        <w:trPr>
          <w:trHeight w:val="250"/>
          <w:jc w:val="center"/>
        </w:trPr>
        <w:tc>
          <w:tcPr>
            <w:tcW w:w="4499" w:type="dxa"/>
            <w:tcBorders>
              <w:top w:val="nil"/>
              <w:left w:val="single" w:sz="4" w:space="0" w:color="auto"/>
              <w:bottom w:val="nil"/>
              <w:right w:val="nil"/>
            </w:tcBorders>
            <w:shd w:val="clear" w:color="auto" w:fill="auto"/>
            <w:noWrap/>
            <w:vAlign w:val="bottom"/>
            <w:hideMark/>
          </w:tcPr>
          <w:p w14:paraId="1640917B" w14:textId="77777777" w:rsidR="00C709D9" w:rsidRPr="00C709D9" w:rsidRDefault="00C709D9" w:rsidP="00C709D9">
            <w:pPr>
              <w:rPr>
                <w:rFonts w:cs="Arial"/>
                <w:sz w:val="20"/>
                <w:szCs w:val="20"/>
                <w:lang w:eastAsia="en-GB"/>
              </w:rPr>
            </w:pPr>
            <w:r w:rsidRPr="00C709D9">
              <w:rPr>
                <w:rFonts w:cs="Arial"/>
                <w:sz w:val="20"/>
                <w:szCs w:val="20"/>
                <w:lang w:eastAsia="en-GB"/>
              </w:rPr>
              <w:t> </w:t>
            </w:r>
          </w:p>
        </w:tc>
        <w:tc>
          <w:tcPr>
            <w:tcW w:w="960" w:type="dxa"/>
            <w:tcBorders>
              <w:top w:val="nil"/>
              <w:left w:val="single" w:sz="4" w:space="0" w:color="auto"/>
              <w:bottom w:val="nil"/>
              <w:right w:val="single" w:sz="4" w:space="0" w:color="auto"/>
            </w:tcBorders>
            <w:shd w:val="clear" w:color="auto" w:fill="auto"/>
            <w:noWrap/>
            <w:vAlign w:val="bottom"/>
            <w:hideMark/>
          </w:tcPr>
          <w:p w14:paraId="690A5419" w14:textId="77777777" w:rsidR="00C709D9" w:rsidRPr="00C709D9" w:rsidRDefault="00C709D9" w:rsidP="00C709D9">
            <w:pPr>
              <w:rPr>
                <w:rFonts w:cs="Arial"/>
                <w:sz w:val="20"/>
                <w:szCs w:val="20"/>
                <w:lang w:eastAsia="en-GB"/>
              </w:rPr>
            </w:pPr>
            <w:r w:rsidRPr="00C709D9">
              <w:rPr>
                <w:rFonts w:cs="Arial"/>
                <w:sz w:val="20"/>
                <w:szCs w:val="20"/>
                <w:lang w:eastAsia="en-GB"/>
              </w:rPr>
              <w:t> </w:t>
            </w:r>
          </w:p>
        </w:tc>
      </w:tr>
      <w:tr w:rsidR="00C709D9" w:rsidRPr="00C709D9" w14:paraId="186B2CE4" w14:textId="77777777" w:rsidTr="00BA62BB">
        <w:trPr>
          <w:trHeight w:val="260"/>
          <w:jc w:val="center"/>
        </w:trPr>
        <w:tc>
          <w:tcPr>
            <w:tcW w:w="4499" w:type="dxa"/>
            <w:tcBorders>
              <w:top w:val="nil"/>
              <w:left w:val="single" w:sz="4" w:space="0" w:color="auto"/>
              <w:bottom w:val="nil"/>
              <w:right w:val="nil"/>
            </w:tcBorders>
            <w:shd w:val="clear" w:color="auto" w:fill="auto"/>
            <w:noWrap/>
            <w:vAlign w:val="bottom"/>
            <w:hideMark/>
          </w:tcPr>
          <w:p w14:paraId="2CCD5110" w14:textId="77777777" w:rsidR="00C709D9" w:rsidRPr="00C709D9" w:rsidRDefault="00C709D9" w:rsidP="00C709D9">
            <w:pPr>
              <w:rPr>
                <w:rFonts w:cs="Arial"/>
                <w:b/>
                <w:bCs/>
                <w:sz w:val="20"/>
                <w:szCs w:val="20"/>
                <w:lang w:eastAsia="en-GB"/>
              </w:rPr>
            </w:pPr>
            <w:r w:rsidRPr="00C709D9">
              <w:rPr>
                <w:rFonts w:cs="Arial"/>
                <w:b/>
                <w:bCs/>
                <w:sz w:val="20"/>
                <w:szCs w:val="20"/>
                <w:lang w:eastAsia="en-GB"/>
              </w:rPr>
              <w:t>CIES</w:t>
            </w:r>
          </w:p>
        </w:tc>
        <w:tc>
          <w:tcPr>
            <w:tcW w:w="960" w:type="dxa"/>
            <w:tcBorders>
              <w:top w:val="nil"/>
              <w:left w:val="single" w:sz="4" w:space="0" w:color="auto"/>
              <w:bottom w:val="nil"/>
              <w:right w:val="single" w:sz="4" w:space="0" w:color="auto"/>
            </w:tcBorders>
            <w:shd w:val="clear" w:color="auto" w:fill="auto"/>
            <w:noWrap/>
            <w:vAlign w:val="bottom"/>
            <w:hideMark/>
          </w:tcPr>
          <w:p w14:paraId="60903C6E" w14:textId="77777777" w:rsidR="00C709D9" w:rsidRPr="00C709D9" w:rsidRDefault="00C709D9" w:rsidP="00C709D9">
            <w:pPr>
              <w:rPr>
                <w:rFonts w:cs="Arial"/>
                <w:sz w:val="20"/>
                <w:szCs w:val="20"/>
                <w:lang w:eastAsia="en-GB"/>
              </w:rPr>
            </w:pPr>
            <w:r w:rsidRPr="00C709D9">
              <w:rPr>
                <w:rFonts w:cs="Arial"/>
                <w:sz w:val="20"/>
                <w:szCs w:val="20"/>
                <w:lang w:eastAsia="en-GB"/>
              </w:rPr>
              <w:t> </w:t>
            </w:r>
          </w:p>
        </w:tc>
      </w:tr>
      <w:tr w:rsidR="00C709D9" w:rsidRPr="00C709D9" w14:paraId="5780E4AC" w14:textId="77777777" w:rsidTr="00BA62BB">
        <w:trPr>
          <w:trHeight w:val="250"/>
          <w:jc w:val="center"/>
        </w:trPr>
        <w:tc>
          <w:tcPr>
            <w:tcW w:w="4499" w:type="dxa"/>
            <w:tcBorders>
              <w:top w:val="nil"/>
              <w:left w:val="single" w:sz="4" w:space="0" w:color="auto"/>
              <w:bottom w:val="nil"/>
              <w:right w:val="nil"/>
            </w:tcBorders>
            <w:shd w:val="clear" w:color="auto" w:fill="auto"/>
            <w:noWrap/>
            <w:vAlign w:val="bottom"/>
            <w:hideMark/>
          </w:tcPr>
          <w:p w14:paraId="62A5F401" w14:textId="7A26EA06" w:rsidR="00C709D9" w:rsidRPr="00C709D9" w:rsidRDefault="00C709D9" w:rsidP="00C709D9">
            <w:pPr>
              <w:rPr>
                <w:rFonts w:cs="Arial"/>
                <w:sz w:val="20"/>
                <w:szCs w:val="20"/>
                <w:lang w:eastAsia="en-GB"/>
              </w:rPr>
            </w:pPr>
            <w:r w:rsidRPr="00C709D9">
              <w:rPr>
                <w:rFonts w:cs="Arial"/>
                <w:sz w:val="20"/>
                <w:szCs w:val="20"/>
                <w:lang w:eastAsia="en-GB"/>
              </w:rPr>
              <w:t>Removal of rental expense</w:t>
            </w:r>
            <w:r w:rsidR="00BA62BB">
              <w:rPr>
                <w:rFonts w:cs="Arial"/>
                <w:sz w:val="20"/>
                <w:szCs w:val="20"/>
                <w:lang w:eastAsia="en-GB"/>
              </w:rPr>
              <w:t xml:space="preserve"> from cost of services</w:t>
            </w:r>
          </w:p>
        </w:tc>
        <w:tc>
          <w:tcPr>
            <w:tcW w:w="960" w:type="dxa"/>
            <w:tcBorders>
              <w:top w:val="nil"/>
              <w:left w:val="single" w:sz="4" w:space="0" w:color="auto"/>
              <w:bottom w:val="nil"/>
              <w:right w:val="single" w:sz="4" w:space="0" w:color="auto"/>
            </w:tcBorders>
            <w:shd w:val="clear" w:color="auto" w:fill="auto"/>
            <w:noWrap/>
            <w:vAlign w:val="bottom"/>
            <w:hideMark/>
          </w:tcPr>
          <w:p w14:paraId="62C26A9D" w14:textId="77777777" w:rsidR="00C709D9" w:rsidRPr="00C709D9" w:rsidRDefault="00C709D9" w:rsidP="00C709D9">
            <w:pPr>
              <w:jc w:val="right"/>
              <w:rPr>
                <w:rFonts w:cs="Arial"/>
                <w:sz w:val="20"/>
                <w:szCs w:val="20"/>
                <w:lang w:eastAsia="en-GB"/>
              </w:rPr>
            </w:pPr>
            <w:r w:rsidRPr="00C709D9">
              <w:rPr>
                <w:rFonts w:cs="Arial"/>
                <w:sz w:val="20"/>
                <w:szCs w:val="20"/>
                <w:lang w:eastAsia="en-GB"/>
              </w:rPr>
              <w:t>-94</w:t>
            </w:r>
          </w:p>
        </w:tc>
      </w:tr>
      <w:tr w:rsidR="00C709D9" w:rsidRPr="00C709D9" w14:paraId="56E9D86D" w14:textId="77777777" w:rsidTr="00BA62BB">
        <w:trPr>
          <w:trHeight w:val="250"/>
          <w:jc w:val="center"/>
        </w:trPr>
        <w:tc>
          <w:tcPr>
            <w:tcW w:w="4499" w:type="dxa"/>
            <w:tcBorders>
              <w:top w:val="nil"/>
              <w:left w:val="single" w:sz="4" w:space="0" w:color="auto"/>
              <w:bottom w:val="nil"/>
              <w:right w:val="nil"/>
            </w:tcBorders>
            <w:shd w:val="clear" w:color="auto" w:fill="auto"/>
            <w:noWrap/>
            <w:vAlign w:val="bottom"/>
            <w:hideMark/>
          </w:tcPr>
          <w:p w14:paraId="06D179F2" w14:textId="3457A924" w:rsidR="00C709D9" w:rsidRPr="00C709D9" w:rsidRDefault="00C709D9" w:rsidP="00C709D9">
            <w:pPr>
              <w:rPr>
                <w:rFonts w:cs="Arial"/>
                <w:sz w:val="20"/>
                <w:szCs w:val="20"/>
                <w:lang w:eastAsia="en-GB"/>
              </w:rPr>
            </w:pPr>
            <w:r w:rsidRPr="00C709D9">
              <w:rPr>
                <w:rFonts w:cs="Arial"/>
                <w:sz w:val="20"/>
                <w:szCs w:val="20"/>
                <w:lang w:eastAsia="en-GB"/>
              </w:rPr>
              <w:t>Inclusion of MRP expense</w:t>
            </w:r>
            <w:r w:rsidR="00BA62BB">
              <w:rPr>
                <w:rFonts w:cs="Arial"/>
                <w:sz w:val="20"/>
                <w:szCs w:val="20"/>
                <w:lang w:eastAsia="en-GB"/>
              </w:rPr>
              <w:t xml:space="preserve"> in MIRS</w:t>
            </w:r>
          </w:p>
        </w:tc>
        <w:tc>
          <w:tcPr>
            <w:tcW w:w="960" w:type="dxa"/>
            <w:tcBorders>
              <w:top w:val="nil"/>
              <w:left w:val="single" w:sz="4" w:space="0" w:color="auto"/>
              <w:bottom w:val="nil"/>
              <w:right w:val="single" w:sz="4" w:space="0" w:color="auto"/>
            </w:tcBorders>
            <w:shd w:val="clear" w:color="auto" w:fill="auto"/>
            <w:noWrap/>
            <w:vAlign w:val="bottom"/>
            <w:hideMark/>
          </w:tcPr>
          <w:p w14:paraId="0AB82ED8" w14:textId="77777777" w:rsidR="00C709D9" w:rsidRPr="00C709D9" w:rsidRDefault="00C709D9" w:rsidP="00C709D9">
            <w:pPr>
              <w:jc w:val="right"/>
              <w:rPr>
                <w:rFonts w:cs="Arial"/>
                <w:sz w:val="20"/>
                <w:szCs w:val="20"/>
                <w:lang w:eastAsia="en-GB"/>
              </w:rPr>
            </w:pPr>
            <w:r w:rsidRPr="00C709D9">
              <w:rPr>
                <w:rFonts w:cs="Arial"/>
                <w:sz w:val="20"/>
                <w:szCs w:val="20"/>
                <w:lang w:eastAsia="en-GB"/>
              </w:rPr>
              <w:t>55</w:t>
            </w:r>
          </w:p>
        </w:tc>
      </w:tr>
      <w:tr w:rsidR="00C709D9" w:rsidRPr="00C709D9" w14:paraId="7E1BFE72" w14:textId="77777777" w:rsidTr="00BA62BB">
        <w:trPr>
          <w:trHeight w:val="250"/>
          <w:jc w:val="center"/>
        </w:trPr>
        <w:tc>
          <w:tcPr>
            <w:tcW w:w="4499" w:type="dxa"/>
            <w:tcBorders>
              <w:top w:val="nil"/>
              <w:left w:val="single" w:sz="4" w:space="0" w:color="auto"/>
              <w:bottom w:val="nil"/>
              <w:right w:val="nil"/>
            </w:tcBorders>
            <w:shd w:val="clear" w:color="auto" w:fill="auto"/>
            <w:noWrap/>
            <w:vAlign w:val="bottom"/>
            <w:hideMark/>
          </w:tcPr>
          <w:p w14:paraId="6420C422" w14:textId="748E7958" w:rsidR="00C709D9" w:rsidRPr="00C709D9" w:rsidRDefault="00C709D9" w:rsidP="00C709D9">
            <w:pPr>
              <w:rPr>
                <w:rFonts w:cs="Arial"/>
                <w:sz w:val="20"/>
                <w:szCs w:val="20"/>
                <w:lang w:eastAsia="en-GB"/>
              </w:rPr>
            </w:pPr>
            <w:r w:rsidRPr="00C709D9">
              <w:rPr>
                <w:rFonts w:cs="Arial"/>
                <w:sz w:val="20"/>
                <w:szCs w:val="20"/>
                <w:lang w:eastAsia="en-GB"/>
              </w:rPr>
              <w:t>Inclusion of interest expense</w:t>
            </w:r>
            <w:r w:rsidR="00BA62BB">
              <w:rPr>
                <w:rFonts w:cs="Arial"/>
                <w:sz w:val="20"/>
                <w:szCs w:val="20"/>
                <w:lang w:eastAsia="en-GB"/>
              </w:rPr>
              <w:t xml:space="preserve"> in financing costs</w:t>
            </w:r>
          </w:p>
        </w:tc>
        <w:tc>
          <w:tcPr>
            <w:tcW w:w="960" w:type="dxa"/>
            <w:tcBorders>
              <w:top w:val="nil"/>
              <w:left w:val="single" w:sz="4" w:space="0" w:color="auto"/>
              <w:bottom w:val="nil"/>
              <w:right w:val="single" w:sz="4" w:space="0" w:color="auto"/>
            </w:tcBorders>
            <w:shd w:val="clear" w:color="auto" w:fill="auto"/>
            <w:noWrap/>
            <w:vAlign w:val="bottom"/>
            <w:hideMark/>
          </w:tcPr>
          <w:p w14:paraId="26FE1FF0" w14:textId="77777777" w:rsidR="00C709D9" w:rsidRPr="00C709D9" w:rsidRDefault="00C709D9" w:rsidP="00C709D9">
            <w:pPr>
              <w:jc w:val="right"/>
              <w:rPr>
                <w:rFonts w:cs="Arial"/>
                <w:sz w:val="20"/>
                <w:szCs w:val="20"/>
                <w:lang w:eastAsia="en-GB"/>
              </w:rPr>
            </w:pPr>
            <w:r w:rsidRPr="00C709D9">
              <w:rPr>
                <w:rFonts w:cs="Arial"/>
                <w:sz w:val="20"/>
                <w:szCs w:val="20"/>
                <w:lang w:eastAsia="en-GB"/>
              </w:rPr>
              <w:t>39</w:t>
            </w:r>
          </w:p>
        </w:tc>
      </w:tr>
      <w:tr w:rsidR="00C709D9" w:rsidRPr="00C709D9" w14:paraId="754A02EC" w14:textId="77777777" w:rsidTr="00BA62BB">
        <w:trPr>
          <w:trHeight w:val="260"/>
          <w:jc w:val="center"/>
        </w:trPr>
        <w:tc>
          <w:tcPr>
            <w:tcW w:w="4499" w:type="dxa"/>
            <w:tcBorders>
              <w:top w:val="nil"/>
              <w:left w:val="single" w:sz="4" w:space="0" w:color="auto"/>
              <w:bottom w:val="nil"/>
              <w:right w:val="nil"/>
            </w:tcBorders>
            <w:shd w:val="clear" w:color="auto" w:fill="auto"/>
            <w:noWrap/>
            <w:vAlign w:val="bottom"/>
            <w:hideMark/>
          </w:tcPr>
          <w:p w14:paraId="12FD4777" w14:textId="208B614A" w:rsidR="00C709D9" w:rsidRPr="00C709D9" w:rsidRDefault="00C709D9" w:rsidP="00C709D9">
            <w:pPr>
              <w:rPr>
                <w:rFonts w:cs="Arial"/>
                <w:sz w:val="20"/>
                <w:szCs w:val="20"/>
                <w:lang w:eastAsia="en-GB"/>
              </w:rPr>
            </w:pPr>
            <w:r w:rsidRPr="00C709D9">
              <w:rPr>
                <w:rFonts w:cs="Arial"/>
                <w:sz w:val="20"/>
                <w:szCs w:val="20"/>
                <w:lang w:eastAsia="en-GB"/>
              </w:rPr>
              <w:t>Inclusion of deprecation</w:t>
            </w:r>
            <w:r w:rsidR="00BA62BB">
              <w:rPr>
                <w:rFonts w:cs="Arial"/>
                <w:sz w:val="20"/>
                <w:szCs w:val="20"/>
                <w:lang w:eastAsia="en-GB"/>
              </w:rPr>
              <w:t xml:space="preserve"> in cost of services</w:t>
            </w:r>
          </w:p>
        </w:tc>
        <w:tc>
          <w:tcPr>
            <w:tcW w:w="960" w:type="dxa"/>
            <w:tcBorders>
              <w:top w:val="nil"/>
              <w:left w:val="single" w:sz="4" w:space="0" w:color="auto"/>
              <w:bottom w:val="nil"/>
              <w:right w:val="single" w:sz="4" w:space="0" w:color="auto"/>
            </w:tcBorders>
            <w:shd w:val="clear" w:color="auto" w:fill="auto"/>
            <w:noWrap/>
            <w:vAlign w:val="bottom"/>
            <w:hideMark/>
          </w:tcPr>
          <w:p w14:paraId="5C4F9D14" w14:textId="77777777" w:rsidR="00C709D9" w:rsidRPr="00C709D9" w:rsidRDefault="00C709D9" w:rsidP="00C709D9">
            <w:pPr>
              <w:jc w:val="right"/>
              <w:rPr>
                <w:rFonts w:cs="Arial"/>
                <w:sz w:val="20"/>
                <w:szCs w:val="20"/>
                <w:lang w:eastAsia="en-GB"/>
              </w:rPr>
            </w:pPr>
            <w:r w:rsidRPr="00C709D9">
              <w:rPr>
                <w:rFonts w:cs="Arial"/>
                <w:sz w:val="20"/>
                <w:szCs w:val="20"/>
                <w:lang w:eastAsia="en-GB"/>
              </w:rPr>
              <w:t>70</w:t>
            </w:r>
          </w:p>
        </w:tc>
      </w:tr>
      <w:tr w:rsidR="00BA62BB" w:rsidRPr="00C709D9" w14:paraId="5EF3925E" w14:textId="77777777" w:rsidTr="00BA62BB">
        <w:trPr>
          <w:trHeight w:val="260"/>
          <w:jc w:val="center"/>
        </w:trPr>
        <w:tc>
          <w:tcPr>
            <w:tcW w:w="4499" w:type="dxa"/>
            <w:tcBorders>
              <w:top w:val="nil"/>
              <w:left w:val="single" w:sz="4" w:space="0" w:color="auto"/>
              <w:bottom w:val="single" w:sz="4" w:space="0" w:color="auto"/>
              <w:right w:val="nil"/>
            </w:tcBorders>
            <w:shd w:val="clear" w:color="auto" w:fill="auto"/>
            <w:noWrap/>
            <w:vAlign w:val="bottom"/>
          </w:tcPr>
          <w:p w14:paraId="1EF5C70E" w14:textId="45D9EBB1" w:rsidR="00BA62BB" w:rsidRPr="00C709D9" w:rsidRDefault="00BA62BB" w:rsidP="00C709D9">
            <w:pPr>
              <w:rPr>
                <w:rFonts w:cs="Arial"/>
                <w:sz w:val="20"/>
                <w:szCs w:val="20"/>
                <w:lang w:eastAsia="en-GB"/>
              </w:rPr>
            </w:pPr>
            <w:r>
              <w:rPr>
                <w:rFonts w:cs="Arial"/>
                <w:sz w:val="20"/>
                <w:szCs w:val="20"/>
                <w:lang w:eastAsia="en-GB"/>
              </w:rPr>
              <w:t>Inclusion of depreciation contra in MIRS</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55E22007" w14:textId="5C638BF5" w:rsidR="00BA62BB" w:rsidRPr="00C709D9" w:rsidRDefault="00BA62BB" w:rsidP="00C709D9">
            <w:pPr>
              <w:jc w:val="right"/>
              <w:rPr>
                <w:rFonts w:cs="Arial"/>
                <w:sz w:val="20"/>
                <w:szCs w:val="20"/>
                <w:lang w:eastAsia="en-GB"/>
              </w:rPr>
            </w:pPr>
            <w:r>
              <w:rPr>
                <w:rFonts w:cs="Arial"/>
                <w:sz w:val="20"/>
                <w:szCs w:val="20"/>
                <w:lang w:eastAsia="en-GB"/>
              </w:rPr>
              <w:t>-70</w:t>
            </w:r>
          </w:p>
        </w:tc>
      </w:tr>
    </w:tbl>
    <w:p w14:paraId="412D6FBB" w14:textId="754BD87D" w:rsidR="00C709D9" w:rsidRDefault="00C709D9" w:rsidP="0093400D">
      <w:pPr>
        <w:pStyle w:val="Default"/>
        <w:rPr>
          <w:rFonts w:ascii="Arial" w:hAnsi="Arial" w:cs="Arial"/>
        </w:rPr>
      </w:pPr>
    </w:p>
    <w:p w14:paraId="485A45EB" w14:textId="77777777" w:rsidR="00276F53" w:rsidRPr="004D5CA8" w:rsidRDefault="00276F53" w:rsidP="0070459C">
      <w:pPr>
        <w:tabs>
          <w:tab w:val="left" w:pos="567"/>
        </w:tabs>
        <w:rPr>
          <w:highlight w:val="yellow"/>
        </w:rPr>
      </w:pPr>
    </w:p>
    <w:p w14:paraId="485A45EC" w14:textId="232612FE" w:rsidR="00E00863" w:rsidRPr="00C709D9" w:rsidRDefault="00E00863" w:rsidP="0070459C">
      <w:pPr>
        <w:pStyle w:val="Heading2"/>
        <w:numPr>
          <w:ilvl w:val="0"/>
          <w:numId w:val="47"/>
        </w:numPr>
        <w:ind w:left="0" w:firstLine="0"/>
      </w:pPr>
      <w:bookmarkStart w:id="163" w:name="_Toc167965797"/>
      <w:r w:rsidRPr="00C709D9">
        <w:t>Critical Judgements in Applying Accounting Policies</w:t>
      </w:r>
      <w:bookmarkEnd w:id="163"/>
      <w:r w:rsidR="00B60E76" w:rsidRPr="00C709D9">
        <w:t xml:space="preserve"> </w:t>
      </w:r>
    </w:p>
    <w:p w14:paraId="485A45ED" w14:textId="77777777" w:rsidR="00E00863" w:rsidRPr="00556541" w:rsidRDefault="00E00863" w:rsidP="0070459C">
      <w:pPr>
        <w:rPr>
          <w:rFonts w:cs="Arial"/>
          <w:b/>
        </w:rPr>
      </w:pPr>
    </w:p>
    <w:p w14:paraId="485A45EE" w14:textId="77777777" w:rsidR="00E00863" w:rsidRPr="00556541" w:rsidRDefault="00E00863" w:rsidP="0070459C">
      <w:pPr>
        <w:rPr>
          <w:rFonts w:cs="Arial"/>
        </w:rPr>
      </w:pPr>
      <w:r w:rsidRPr="00556541">
        <w:rPr>
          <w:rFonts w:cs="Arial"/>
        </w:rPr>
        <w:t>In applying the accounting policies set out above, the Authority has had to make certain judgements about complex transactions or those involving uncertainty about future events. The critical judgements made in the Statement of Accounts are:</w:t>
      </w:r>
    </w:p>
    <w:p w14:paraId="485A45EF" w14:textId="77777777" w:rsidR="002343D6" w:rsidRPr="00556541" w:rsidRDefault="002343D6" w:rsidP="0070459C">
      <w:pPr>
        <w:rPr>
          <w:rFonts w:cs="Arial"/>
        </w:rPr>
      </w:pPr>
    </w:p>
    <w:p w14:paraId="485A45F0" w14:textId="40F500F4" w:rsidR="002343D6" w:rsidRPr="00556541" w:rsidRDefault="00B05803" w:rsidP="0070459C">
      <w:pPr>
        <w:numPr>
          <w:ilvl w:val="0"/>
          <w:numId w:val="7"/>
        </w:numPr>
        <w:tabs>
          <w:tab w:val="clear" w:pos="1440"/>
          <w:tab w:val="num" w:pos="567"/>
        </w:tabs>
        <w:ind w:left="567" w:hanging="567"/>
        <w:rPr>
          <w:rFonts w:cs="Arial"/>
        </w:rPr>
      </w:pPr>
      <w:r w:rsidRPr="00556541">
        <w:rPr>
          <w:rFonts w:cs="Arial"/>
        </w:rPr>
        <w:t>the macro</w:t>
      </w:r>
      <w:r w:rsidR="00556541" w:rsidRPr="00556541">
        <w:rPr>
          <w:rFonts w:cs="Arial"/>
        </w:rPr>
        <w:t>-</w:t>
      </w:r>
      <w:r w:rsidRPr="00556541">
        <w:rPr>
          <w:rFonts w:cs="Arial"/>
        </w:rPr>
        <w:t>economic climate has been volatile since the COVID-19 pandemic</w:t>
      </w:r>
      <w:r w:rsidR="00227E87">
        <w:rPr>
          <w:rFonts w:cs="Arial"/>
        </w:rPr>
        <w:t xml:space="preserve"> and during 2023/24</w:t>
      </w:r>
      <w:r w:rsidRPr="00556541">
        <w:rPr>
          <w:rFonts w:cs="Arial"/>
        </w:rPr>
        <w:t>; recent cost rises have put pressure on the Authority but the going concern assumption has been used in the application of accounting policies</w:t>
      </w:r>
      <w:r w:rsidR="007B7B41">
        <w:rPr>
          <w:rFonts w:cs="Arial"/>
        </w:rPr>
        <w:t>. This is consistent with the balanced Medium Term Financial Strategy that was approved by Authority in March 202</w:t>
      </w:r>
      <w:r w:rsidR="00227E87">
        <w:rPr>
          <w:rFonts w:cs="Arial"/>
        </w:rPr>
        <w:t>4</w:t>
      </w:r>
      <w:r w:rsidR="007B7B41">
        <w:rPr>
          <w:rFonts w:cs="Arial"/>
        </w:rPr>
        <w:t>.</w:t>
      </w:r>
      <w:r w:rsidR="006C1E2C" w:rsidRPr="00556541">
        <w:rPr>
          <w:rFonts w:cs="Arial"/>
        </w:rPr>
        <w:t xml:space="preserve"> </w:t>
      </w:r>
    </w:p>
    <w:p w14:paraId="485A45F1" w14:textId="77777777" w:rsidR="00781E78" w:rsidRPr="00556541" w:rsidRDefault="00781E78" w:rsidP="0070459C">
      <w:pPr>
        <w:tabs>
          <w:tab w:val="num" w:pos="567"/>
        </w:tabs>
        <w:ind w:left="567" w:hanging="567"/>
        <w:rPr>
          <w:rFonts w:cs="Arial"/>
        </w:rPr>
      </w:pPr>
    </w:p>
    <w:p w14:paraId="485A45F2" w14:textId="77777777" w:rsidR="008D6567" w:rsidRDefault="008D6567" w:rsidP="0070459C">
      <w:pPr>
        <w:numPr>
          <w:ilvl w:val="0"/>
          <w:numId w:val="7"/>
        </w:numPr>
        <w:tabs>
          <w:tab w:val="clear" w:pos="1440"/>
          <w:tab w:val="num" w:pos="567"/>
        </w:tabs>
        <w:ind w:left="567" w:hanging="567"/>
      </w:pPr>
      <w:r w:rsidRPr="00556541">
        <w:t>The Authority owns several properties that are not specifically used to provide services. These properties have been treated as investment properties. It also owns several pieces of woodland that don’t fulfil an operational role and are instead held for capital appreciation or rental income earning purposes. These have also been tr</w:t>
      </w:r>
      <w:r w:rsidR="00BD64CF" w:rsidRPr="00556541">
        <w:t>eated as investment properties in accordance with the Code as interpreted in the context of a National Park Authority.</w:t>
      </w:r>
    </w:p>
    <w:p w14:paraId="2175B8D5" w14:textId="77777777" w:rsidR="00227E87" w:rsidRDefault="00227E87" w:rsidP="00227E87">
      <w:pPr>
        <w:pStyle w:val="ListParagraph"/>
      </w:pPr>
    </w:p>
    <w:p w14:paraId="30AABF32" w14:textId="3E5D5B77" w:rsidR="00227E87" w:rsidRDefault="00227E87" w:rsidP="0070459C">
      <w:pPr>
        <w:numPr>
          <w:ilvl w:val="0"/>
          <w:numId w:val="7"/>
        </w:numPr>
        <w:tabs>
          <w:tab w:val="clear" w:pos="1440"/>
          <w:tab w:val="num" w:pos="567"/>
        </w:tabs>
        <w:ind w:left="567" w:hanging="567"/>
      </w:pPr>
      <w:r>
        <w:t xml:space="preserve">The Authority had submitted a claim of </w:t>
      </w:r>
      <w:r w:rsidR="00C709D9">
        <w:t>c</w:t>
      </w:r>
      <w:r>
        <w:t>£</w:t>
      </w:r>
      <w:r w:rsidR="00C709D9">
        <w:t>500</w:t>
      </w:r>
      <w:r>
        <w:t xml:space="preserve">k of overpaid VAT to HMRC. As at year end none of this had been received. </w:t>
      </w:r>
      <w:r w:rsidR="00BA62BB">
        <w:t xml:space="preserve">The full value of the claim had been agreed by the HMRC case officer with </w:t>
      </w:r>
      <w:r>
        <w:t>£400k authorised for payment</w:t>
      </w:r>
      <w:r w:rsidR="00BA62BB">
        <w:t xml:space="preserve">. Although </w:t>
      </w:r>
      <w:r>
        <w:t xml:space="preserve">the balance </w:t>
      </w:r>
      <w:r w:rsidR="00BA62BB">
        <w:t xml:space="preserve">was </w:t>
      </w:r>
      <w:r>
        <w:t>pending authorisation</w:t>
      </w:r>
      <w:r w:rsidR="00BA62BB">
        <w:t>,</w:t>
      </w:r>
      <w:r>
        <w:t xml:space="preserve"> </w:t>
      </w:r>
      <w:r w:rsidR="00BA62BB">
        <w:t>f</w:t>
      </w:r>
      <w:r>
        <w:t xml:space="preserve">ollowing the income recognition principals for non-exchange </w:t>
      </w:r>
      <w:r>
        <w:lastRenderedPageBreak/>
        <w:t xml:space="preserve">transactions, the full balance was recognised at the balance sheet date, the </w:t>
      </w:r>
      <w:r w:rsidR="00BA62BB">
        <w:t>A</w:t>
      </w:r>
      <w:r>
        <w:t xml:space="preserve">uthority’s judgement being that </w:t>
      </w:r>
      <w:r w:rsidR="00BA62BB">
        <w:t xml:space="preserve">full </w:t>
      </w:r>
      <w:r>
        <w:t>payment was highly likely.</w:t>
      </w:r>
      <w:r w:rsidR="00BA62BB">
        <w:t xml:space="preserve"> The full sum had been received by the date of issuing the unaudited accounts.</w:t>
      </w:r>
    </w:p>
    <w:p w14:paraId="0485521C" w14:textId="77777777" w:rsidR="00227E87" w:rsidRDefault="00227E87" w:rsidP="00227E87">
      <w:pPr>
        <w:pStyle w:val="ListParagraph"/>
      </w:pPr>
    </w:p>
    <w:p w14:paraId="1223DA95" w14:textId="49D664EC" w:rsidR="00227E87" w:rsidRDefault="00227E87" w:rsidP="0070459C">
      <w:pPr>
        <w:numPr>
          <w:ilvl w:val="0"/>
          <w:numId w:val="7"/>
        </w:numPr>
        <w:tabs>
          <w:tab w:val="clear" w:pos="1440"/>
          <w:tab w:val="num" w:pos="567"/>
        </w:tabs>
        <w:ind w:left="567" w:hanging="567"/>
      </w:pPr>
      <w:r>
        <w:t>The Authority has followed the same recognition criteria as the prior year in relation to the defined benefit pension asset/liability</w:t>
      </w:r>
      <w:r w:rsidR="00B60E76">
        <w:t xml:space="preserve"> and the asset ceiling</w:t>
      </w:r>
      <w:r>
        <w:t>. The principals of IFRIC 14 have been applied to assess the potential for reductions in contributions. The</w:t>
      </w:r>
      <w:r w:rsidR="00B60E76">
        <w:t xml:space="preserve"> asset ceiling </w:t>
      </w:r>
      <w:r w:rsidR="00BA62BB">
        <w:t>calculation has been provided by actuary based on</w:t>
      </w:r>
      <w:r w:rsidR="00B60E76">
        <w:t xml:space="preserve"> the present value of the projected future</w:t>
      </w:r>
      <w:r>
        <w:t xml:space="preserve"> service cost less the minimum </w:t>
      </w:r>
      <w:r w:rsidR="00B60E76">
        <w:t>future contributions.</w:t>
      </w:r>
      <w:r>
        <w:t xml:space="preserve"> </w:t>
      </w:r>
      <w:r w:rsidR="00B60E76">
        <w:t>The</w:t>
      </w:r>
      <w:r>
        <w:t xml:space="preserve"> current contribution rate has been judged to be the best indication of a minimum </w:t>
      </w:r>
      <w:r w:rsidR="00B60E76">
        <w:t>funding</w:t>
      </w:r>
      <w:r>
        <w:t xml:space="preserve"> rate with the future service cost being derived from the actuary projections.</w:t>
      </w:r>
      <w:r w:rsidR="00C709D9">
        <w:t xml:space="preserve"> This has resulted in the funded asset being capped at £0.</w:t>
      </w:r>
      <w:r w:rsidR="00BA62BB">
        <w:t xml:space="preserve"> This has no impact on the Authority’s usable reserves.</w:t>
      </w:r>
    </w:p>
    <w:p w14:paraId="485A45F3" w14:textId="77777777" w:rsidR="00276F53" w:rsidRPr="007D5C25" w:rsidRDefault="00276F53" w:rsidP="0070459C">
      <w:pPr>
        <w:rPr>
          <w:highlight w:val="yellow"/>
        </w:rPr>
      </w:pPr>
    </w:p>
    <w:p w14:paraId="485A45F4" w14:textId="77777777" w:rsidR="00E00863" w:rsidRPr="004D5CA8" w:rsidRDefault="00E00863" w:rsidP="0070459C">
      <w:pPr>
        <w:rPr>
          <w:rFonts w:cs="Arial"/>
          <w:highlight w:val="yellow"/>
        </w:rPr>
      </w:pPr>
    </w:p>
    <w:p w14:paraId="485A45F5" w14:textId="189C8C97" w:rsidR="00E00863" w:rsidRPr="00C709D9" w:rsidRDefault="00E00863" w:rsidP="0070459C">
      <w:pPr>
        <w:pStyle w:val="Heading2"/>
        <w:numPr>
          <w:ilvl w:val="0"/>
          <w:numId w:val="47"/>
        </w:numPr>
        <w:ind w:left="567" w:hanging="567"/>
        <w:rPr>
          <w:i/>
          <w:iCs/>
        </w:rPr>
      </w:pPr>
      <w:bookmarkStart w:id="164" w:name="_Toc167965798"/>
      <w:bookmarkStart w:id="165" w:name="_Hlk119919951"/>
      <w:r w:rsidRPr="00C709D9">
        <w:t>Assumptions made about the Future and Other Major Sources of Estimation Uncertainty</w:t>
      </w:r>
      <w:bookmarkEnd w:id="164"/>
      <w:r w:rsidR="00985838" w:rsidRPr="00C709D9">
        <w:t xml:space="preserve"> </w:t>
      </w:r>
    </w:p>
    <w:bookmarkEnd w:id="165"/>
    <w:p w14:paraId="485A45F6" w14:textId="77777777" w:rsidR="00D637C3" w:rsidRPr="00556541" w:rsidRDefault="00D637C3" w:rsidP="0070459C">
      <w:pPr>
        <w:rPr>
          <w:rFonts w:cs="Arial"/>
          <w:b/>
        </w:rPr>
      </w:pPr>
    </w:p>
    <w:p w14:paraId="485A45F7" w14:textId="77777777" w:rsidR="00D637C3" w:rsidRPr="00556541" w:rsidRDefault="00D637C3" w:rsidP="0070459C">
      <w:pPr>
        <w:rPr>
          <w:rFonts w:cs="Arial"/>
        </w:rPr>
      </w:pPr>
      <w:r w:rsidRPr="00556541">
        <w:rPr>
          <w:rFonts w:cs="Arial"/>
        </w:rPr>
        <w:t>The Statement of Accounts contains estimated figures that are based on assumptions made by the Authority about the future or that are otherwise uncertain. Estimates are made taking into account historical experience, current</w:t>
      </w:r>
      <w:r w:rsidRPr="00556541">
        <w:rPr>
          <w:rFonts w:cs="Arial"/>
          <w:b/>
        </w:rPr>
        <w:t xml:space="preserve"> </w:t>
      </w:r>
      <w:r w:rsidRPr="00556541">
        <w:rPr>
          <w:rFonts w:cs="Arial"/>
        </w:rPr>
        <w:t>trends and other relevant factors. However, because balances cannot be determined with certainty, actual results could be materially different from assumptions and estimates. The item</w:t>
      </w:r>
      <w:r w:rsidR="000D7B25" w:rsidRPr="00556541">
        <w:rPr>
          <w:rFonts w:cs="Arial"/>
        </w:rPr>
        <w:t>s</w:t>
      </w:r>
      <w:r w:rsidRPr="00556541">
        <w:rPr>
          <w:rFonts w:cs="Arial"/>
        </w:rPr>
        <w:t xml:space="preserve"> for which there is a significant risk of material adjustment in the forthcoming financial year </w:t>
      </w:r>
      <w:r w:rsidR="000D7B25" w:rsidRPr="00556541">
        <w:rPr>
          <w:rFonts w:cs="Arial"/>
        </w:rPr>
        <w:t>are</w:t>
      </w:r>
      <w:r w:rsidRPr="00556541">
        <w:rPr>
          <w:rFonts w:cs="Arial"/>
        </w:rPr>
        <w:t xml:space="preserve"> as follows:</w:t>
      </w:r>
    </w:p>
    <w:p w14:paraId="485A45F8" w14:textId="77777777" w:rsidR="00AA761E" w:rsidRPr="004D5CA8" w:rsidRDefault="00AA761E" w:rsidP="0070459C">
      <w:pPr>
        <w:rPr>
          <w:rFonts w:cs="Arial"/>
          <w:highlight w:val="yellow"/>
        </w:rPr>
      </w:pPr>
    </w:p>
    <w:p w14:paraId="485A45F9" w14:textId="603F97A3" w:rsidR="0000079C" w:rsidRPr="00AF2B5F" w:rsidRDefault="00D637C3" w:rsidP="00B60E76">
      <w:pPr>
        <w:numPr>
          <w:ilvl w:val="1"/>
          <w:numId w:val="8"/>
        </w:numPr>
        <w:ind w:left="567" w:hanging="567"/>
        <w:rPr>
          <w:rFonts w:cs="Arial"/>
        </w:rPr>
      </w:pPr>
      <w:r w:rsidRPr="00AF2B5F">
        <w:rPr>
          <w:rFonts w:cs="Arial"/>
        </w:rPr>
        <w:t>Pensions Liability – Estimation of the net liability to pay pensions depends on a number of complex judgements relating to the discount rate used, the rate at which salaries are projected to increase, changes in retirement ages, mortality rates and expected returns on pension fund assets. A firm of actuaries is engaged to provide expert advice on the assumptions applied.</w:t>
      </w:r>
      <w:r w:rsidR="00DC6FE7" w:rsidRPr="00AF2B5F">
        <w:rPr>
          <w:rFonts w:cs="Arial"/>
        </w:rPr>
        <w:t xml:space="preserve"> The effects on the net pensions liability of changes in individual assumptions can be measured. </w:t>
      </w:r>
      <w:r w:rsidR="001377F8" w:rsidRPr="00AF2B5F">
        <w:rPr>
          <w:rFonts w:cs="Arial"/>
        </w:rPr>
        <w:t>During 2022/23 the Authority saw a significant movement in the value of the defined benefit pension liability, where this is</w:t>
      </w:r>
      <w:r w:rsidR="003D65F5" w:rsidRPr="00AF2B5F">
        <w:rPr>
          <w:rFonts w:cs="Arial"/>
        </w:rPr>
        <w:t xml:space="preserve"> would have been</w:t>
      </w:r>
      <w:r w:rsidR="001377F8" w:rsidRPr="00AF2B5F">
        <w:rPr>
          <w:rFonts w:cs="Arial"/>
        </w:rPr>
        <w:t xml:space="preserve"> disclosed as </w:t>
      </w:r>
      <w:r w:rsidR="00232487" w:rsidRPr="00AF2B5F">
        <w:rPr>
          <w:rFonts w:cs="Arial"/>
        </w:rPr>
        <w:t>a funded asset</w:t>
      </w:r>
      <w:r w:rsidR="003D65F5" w:rsidRPr="00AF2B5F">
        <w:rPr>
          <w:rFonts w:cs="Arial"/>
        </w:rPr>
        <w:t xml:space="preserve">, but </w:t>
      </w:r>
      <w:r w:rsidR="00B60E76" w:rsidRPr="00AF2B5F">
        <w:rPr>
          <w:rFonts w:cs="Arial"/>
        </w:rPr>
        <w:t>w</w:t>
      </w:r>
      <w:r w:rsidR="003D65F5" w:rsidRPr="00AF2B5F">
        <w:rPr>
          <w:rFonts w:cs="Arial"/>
        </w:rPr>
        <w:t>as</w:t>
      </w:r>
      <w:r w:rsidR="00232487" w:rsidRPr="00AF2B5F">
        <w:rPr>
          <w:rFonts w:cs="Arial"/>
        </w:rPr>
        <w:t xml:space="preserve"> capped at £0 due to the provisions in IAS19 and IFRIC14 around asset ceilings</w:t>
      </w:r>
      <w:r w:rsidR="00B60E76" w:rsidRPr="00AF2B5F">
        <w:rPr>
          <w:rFonts w:cs="Arial"/>
        </w:rPr>
        <w:t xml:space="preserve"> (see also accounting judgements, note 5 above); in</w:t>
      </w:r>
      <w:r w:rsidR="00232487" w:rsidRPr="00AF2B5F">
        <w:rPr>
          <w:rFonts w:cs="Arial"/>
        </w:rPr>
        <w:t xml:space="preserve"> addition an unfunded liability of £852k</w:t>
      </w:r>
      <w:r w:rsidR="00B60E76" w:rsidRPr="00AF2B5F">
        <w:rPr>
          <w:rFonts w:cs="Arial"/>
        </w:rPr>
        <w:t xml:space="preserve"> was split out and recognised</w:t>
      </w:r>
      <w:r w:rsidR="00232487" w:rsidRPr="00AF2B5F">
        <w:rPr>
          <w:rFonts w:cs="Arial"/>
        </w:rPr>
        <w:t>.</w:t>
      </w:r>
      <w:r w:rsidR="00AF2B5F" w:rsidRPr="00AF2B5F">
        <w:rPr>
          <w:rFonts w:cs="Arial"/>
        </w:rPr>
        <w:t xml:space="preserve"> This has been updated for 2023/24; per the actuary’s uncapped valu</w:t>
      </w:r>
      <w:r w:rsidR="00AF2B5F">
        <w:rPr>
          <w:rFonts w:cs="Arial"/>
        </w:rPr>
        <w:t>a</w:t>
      </w:r>
      <w:r w:rsidR="00AF2B5F" w:rsidRPr="00AF2B5F">
        <w:rPr>
          <w:rFonts w:cs="Arial"/>
        </w:rPr>
        <w:t>tion, the net funded asset has increased further; however, the Authority judges that using a consistent method to the prior year, the funded asset is still capped to £0. The unfunded liability has reduced slightly to £809k.</w:t>
      </w:r>
      <w:r w:rsidR="001377F8" w:rsidRPr="00AF2B5F">
        <w:rPr>
          <w:rFonts w:cs="Arial"/>
        </w:rPr>
        <w:t xml:space="preserve"> Although the figures</w:t>
      </w:r>
      <w:r w:rsidR="00AF2B5F" w:rsidRPr="00AF2B5F">
        <w:rPr>
          <w:rFonts w:cs="Arial"/>
        </w:rPr>
        <w:t xml:space="preserve"> relating to the pension scheme</w:t>
      </w:r>
      <w:r w:rsidR="001377F8" w:rsidRPr="00AF2B5F">
        <w:rPr>
          <w:rFonts w:cs="Arial"/>
        </w:rPr>
        <w:t xml:space="preserve"> are large, with a significant </w:t>
      </w:r>
      <w:r w:rsidR="00AF2B5F" w:rsidRPr="00AF2B5F">
        <w:rPr>
          <w:rFonts w:cs="Arial"/>
        </w:rPr>
        <w:t xml:space="preserve">capping as well as </w:t>
      </w:r>
      <w:r w:rsidR="001377F8" w:rsidRPr="00AF2B5F">
        <w:rPr>
          <w:rFonts w:cs="Arial"/>
        </w:rPr>
        <w:t>credit</w:t>
      </w:r>
      <w:r w:rsidR="00B60E76" w:rsidRPr="00AF2B5F">
        <w:rPr>
          <w:rFonts w:cs="Arial"/>
        </w:rPr>
        <w:t>s and debits</w:t>
      </w:r>
      <w:r w:rsidR="001377F8" w:rsidRPr="00AF2B5F">
        <w:rPr>
          <w:rFonts w:cs="Arial"/>
        </w:rPr>
        <w:t xml:space="preserve"> to the Comprehensive Income and Expenditure statement, statutory accounting adjustments mean th</w:t>
      </w:r>
      <w:r w:rsidR="00B60E76" w:rsidRPr="00AF2B5F">
        <w:rPr>
          <w:rFonts w:cs="Arial"/>
        </w:rPr>
        <w:t>ese</w:t>
      </w:r>
      <w:r w:rsidR="001377F8" w:rsidRPr="00AF2B5F">
        <w:rPr>
          <w:rFonts w:cs="Arial"/>
        </w:rPr>
        <w:t xml:space="preserve"> ha</w:t>
      </w:r>
      <w:r w:rsidR="00B60E76" w:rsidRPr="00AF2B5F">
        <w:rPr>
          <w:rFonts w:cs="Arial"/>
        </w:rPr>
        <w:t>ve</w:t>
      </w:r>
      <w:r w:rsidR="001377F8" w:rsidRPr="00AF2B5F">
        <w:rPr>
          <w:rFonts w:cs="Arial"/>
        </w:rPr>
        <w:t xml:space="preserve"> no impact on the Authority’s usable reserves.</w:t>
      </w:r>
    </w:p>
    <w:p w14:paraId="485A45FA" w14:textId="77777777" w:rsidR="00DA5F0B" w:rsidRPr="004D5CA8" w:rsidRDefault="00DA5F0B" w:rsidP="0070459C">
      <w:pPr>
        <w:rPr>
          <w:rFonts w:cs="Arial"/>
          <w:highlight w:val="yellow"/>
        </w:rPr>
      </w:pPr>
    </w:p>
    <w:p w14:paraId="485A45FB" w14:textId="77777777" w:rsidR="00B37882" w:rsidRDefault="00E26CB7" w:rsidP="0070459C">
      <w:pPr>
        <w:numPr>
          <w:ilvl w:val="1"/>
          <w:numId w:val="8"/>
        </w:numPr>
        <w:tabs>
          <w:tab w:val="clear" w:pos="1440"/>
          <w:tab w:val="num" w:pos="851"/>
        </w:tabs>
        <w:ind w:left="567" w:hanging="567"/>
        <w:rPr>
          <w:rFonts w:cs="Arial"/>
        </w:rPr>
      </w:pPr>
      <w:r w:rsidRPr="00556541">
        <w:rPr>
          <w:rFonts w:cs="Arial"/>
        </w:rPr>
        <w:t xml:space="preserve">Fair value measurements – Our investment properties and surplus assets are valued at fair value. The </w:t>
      </w:r>
      <w:r w:rsidR="009F34E8" w:rsidRPr="00556541">
        <w:rPr>
          <w:rFonts w:cs="Arial"/>
        </w:rPr>
        <w:t xml:space="preserve">market </w:t>
      </w:r>
      <w:r w:rsidRPr="00556541">
        <w:rPr>
          <w:rFonts w:cs="Arial"/>
        </w:rPr>
        <w:t xml:space="preserve">valuation technique </w:t>
      </w:r>
      <w:r w:rsidR="009F34E8" w:rsidRPr="00556541">
        <w:rPr>
          <w:rFonts w:cs="Arial"/>
        </w:rPr>
        <w:t xml:space="preserve">has been </w:t>
      </w:r>
      <w:r w:rsidRPr="00556541">
        <w:rPr>
          <w:rFonts w:cs="Arial"/>
        </w:rPr>
        <w:t>used</w:t>
      </w:r>
      <w:r w:rsidR="009F34E8" w:rsidRPr="00556541">
        <w:rPr>
          <w:rFonts w:cs="Arial"/>
        </w:rPr>
        <w:t xml:space="preserve"> to value these assets taking account of the market participant’s ability to generate economic benefits by using the asset in its highest and best use. For most of these assets observable inputs from the sale of similar assets in the local area have been used to inf</w:t>
      </w:r>
      <w:r w:rsidR="002B28BF" w:rsidRPr="00556541">
        <w:rPr>
          <w:rFonts w:cs="Arial"/>
        </w:rPr>
        <w:t>orm t</w:t>
      </w:r>
      <w:r w:rsidR="00473E32" w:rsidRPr="00556541">
        <w:rPr>
          <w:rFonts w:cs="Arial"/>
        </w:rPr>
        <w:t xml:space="preserve">he valuation. </w:t>
      </w:r>
    </w:p>
    <w:p w14:paraId="01539455" w14:textId="77777777" w:rsidR="007B7B41" w:rsidRDefault="007B7B41" w:rsidP="0070459C">
      <w:pPr>
        <w:pStyle w:val="ListParagraph"/>
        <w:tabs>
          <w:tab w:val="num" w:pos="851"/>
        </w:tabs>
        <w:ind w:left="0"/>
        <w:rPr>
          <w:rFonts w:cs="Arial"/>
        </w:rPr>
      </w:pPr>
    </w:p>
    <w:p w14:paraId="68222789" w14:textId="20EF9321" w:rsidR="007B7B41" w:rsidRPr="00556541" w:rsidRDefault="007B7B41" w:rsidP="00EF494F">
      <w:pPr>
        <w:numPr>
          <w:ilvl w:val="1"/>
          <w:numId w:val="8"/>
        </w:numPr>
        <w:tabs>
          <w:tab w:val="num" w:pos="851"/>
        </w:tabs>
        <w:ind w:left="567" w:hanging="567"/>
        <w:rPr>
          <w:rFonts w:cs="Arial"/>
        </w:rPr>
      </w:pPr>
      <w:r>
        <w:rPr>
          <w:rFonts w:cs="Arial"/>
        </w:rPr>
        <w:t xml:space="preserve">Operational Land and Buildings – these form a significant part of the total balance sheet value and a small movement in estimation inputs can lead to a significant movement in value. To mitigate the risk of mis-statement, a significant element of operational properties are now subject to annual valuation. </w:t>
      </w:r>
    </w:p>
    <w:p w14:paraId="17A29BE1" w14:textId="77777777" w:rsidR="0024555E" w:rsidRPr="00612CB7" w:rsidRDefault="0024555E" w:rsidP="0070459C">
      <w:pPr>
        <w:tabs>
          <w:tab w:val="num" w:pos="851"/>
        </w:tabs>
        <w:rPr>
          <w:rFonts w:cs="Arial"/>
          <w:szCs w:val="24"/>
          <w:highlight w:val="yellow"/>
        </w:rPr>
      </w:pPr>
    </w:p>
    <w:p w14:paraId="77A9FD3A" w14:textId="6BCA2FE2" w:rsidR="0024555E" w:rsidRPr="00BA62BB" w:rsidRDefault="00556541" w:rsidP="00BA62BB">
      <w:pPr>
        <w:pStyle w:val="ListParagraph"/>
        <w:numPr>
          <w:ilvl w:val="0"/>
          <w:numId w:val="55"/>
        </w:numPr>
        <w:tabs>
          <w:tab w:val="num" w:pos="851"/>
        </w:tabs>
        <w:rPr>
          <w:rFonts w:cs="Arial"/>
          <w:szCs w:val="24"/>
          <w:u w:val="none"/>
        </w:rPr>
      </w:pPr>
      <w:r w:rsidRPr="00BA62BB">
        <w:rPr>
          <w:rFonts w:cs="Arial"/>
          <w:u w:val="none"/>
        </w:rPr>
        <w:lastRenderedPageBreak/>
        <w:t>The UK economy experienc</w:t>
      </w:r>
      <w:r w:rsidR="00B60E76" w:rsidRPr="00BA62BB">
        <w:rPr>
          <w:rFonts w:cs="Arial"/>
          <w:u w:val="none"/>
        </w:rPr>
        <w:t>ed</w:t>
      </w:r>
      <w:r w:rsidRPr="00BA62BB">
        <w:rPr>
          <w:rFonts w:cs="Arial"/>
          <w:u w:val="none"/>
        </w:rPr>
        <w:t xml:space="preserve"> </w:t>
      </w:r>
      <w:r w:rsidR="00B60E76" w:rsidRPr="00BA62BB">
        <w:rPr>
          <w:rFonts w:cs="Arial"/>
          <w:u w:val="none"/>
        </w:rPr>
        <w:t xml:space="preserve">periods of </w:t>
      </w:r>
      <w:r w:rsidRPr="00BA62BB">
        <w:rPr>
          <w:rFonts w:cs="Arial"/>
          <w:u w:val="none"/>
        </w:rPr>
        <w:t>high inflation</w:t>
      </w:r>
      <w:r w:rsidR="00B60E76" w:rsidRPr="00BA62BB">
        <w:rPr>
          <w:rFonts w:cs="Arial"/>
          <w:u w:val="none"/>
        </w:rPr>
        <w:t xml:space="preserve"> during 2023/24, although this had reduced significantly by the reporting date.</w:t>
      </w:r>
      <w:r w:rsidRPr="00BA62BB">
        <w:rPr>
          <w:rFonts w:cs="Arial"/>
          <w:u w:val="none"/>
        </w:rPr>
        <w:t xml:space="preserve"> </w:t>
      </w:r>
      <w:r w:rsidR="0024555E" w:rsidRPr="00BA62BB">
        <w:rPr>
          <w:rFonts w:cs="Arial"/>
          <w:u w:val="none"/>
        </w:rPr>
        <w:t xml:space="preserve">We are satisfied that the wider economic conditions at the balance sheet date are reflected in the values within the statement of accounts. However, we note that </w:t>
      </w:r>
      <w:r w:rsidR="00B60E76" w:rsidRPr="00BA62BB">
        <w:rPr>
          <w:rFonts w:cs="Arial"/>
          <w:u w:val="none"/>
        </w:rPr>
        <w:t xml:space="preserve">inflation remains above the Bank of England target balance of 2% and given the magnitude of non-current assets, </w:t>
      </w:r>
      <w:r w:rsidR="0024555E" w:rsidRPr="00BA62BB">
        <w:rPr>
          <w:rFonts w:cs="Arial"/>
          <w:u w:val="none"/>
        </w:rPr>
        <w:t>there</w:t>
      </w:r>
      <w:r w:rsidR="00B60E76" w:rsidRPr="00BA62BB">
        <w:rPr>
          <w:rFonts w:cs="Arial"/>
          <w:u w:val="none"/>
        </w:rPr>
        <w:t xml:space="preserve"> is still potential for material changes </w:t>
      </w:r>
      <w:r w:rsidR="0024555E" w:rsidRPr="00BA62BB">
        <w:rPr>
          <w:rFonts w:cs="Arial"/>
          <w:u w:val="none"/>
        </w:rPr>
        <w:t>in the value of assets and liabilities at the next reporting date. It is not practicable to project what these impacts may be. Statutory overrides exist to prevent fluctuations in the value of the net defined benefit pension liability and non-current assets from impacting on the General Fund balance.</w:t>
      </w:r>
    </w:p>
    <w:p w14:paraId="485A4603" w14:textId="6F57E77F" w:rsidR="001B7EF5" w:rsidRPr="004D5CA8" w:rsidRDefault="001B7EF5" w:rsidP="0070459C">
      <w:pPr>
        <w:pStyle w:val="ListParagraph"/>
        <w:tabs>
          <w:tab w:val="num" w:pos="851"/>
        </w:tabs>
        <w:autoSpaceDE w:val="0"/>
        <w:autoSpaceDN w:val="0"/>
        <w:spacing w:before="120"/>
        <w:ind w:left="0"/>
        <w:rPr>
          <w:rFonts w:cs="Arial"/>
          <w:highlight w:val="yellow"/>
        </w:rPr>
      </w:pPr>
    </w:p>
    <w:p w14:paraId="1A58DF7C" w14:textId="77777777" w:rsidR="00D1443A" w:rsidRPr="004D5CA8" w:rsidRDefault="00D1443A" w:rsidP="0070459C">
      <w:pPr>
        <w:pStyle w:val="ListParagraph"/>
        <w:tabs>
          <w:tab w:val="num" w:pos="851"/>
        </w:tabs>
        <w:autoSpaceDE w:val="0"/>
        <w:autoSpaceDN w:val="0"/>
        <w:spacing w:before="120"/>
        <w:ind w:left="0"/>
        <w:rPr>
          <w:rFonts w:cs="Arial"/>
          <w:highlight w:val="yellow"/>
        </w:rPr>
      </w:pPr>
    </w:p>
    <w:p w14:paraId="485A4604" w14:textId="03EBD7E7" w:rsidR="00FC7127" w:rsidRPr="00C709D9" w:rsidRDefault="00FC7127" w:rsidP="0070459C">
      <w:pPr>
        <w:pStyle w:val="Heading2"/>
        <w:numPr>
          <w:ilvl w:val="0"/>
          <w:numId w:val="47"/>
        </w:numPr>
        <w:tabs>
          <w:tab w:val="num" w:pos="851"/>
        </w:tabs>
        <w:ind w:left="0" w:firstLine="0"/>
      </w:pPr>
      <w:bookmarkStart w:id="166" w:name="_Toc167965799"/>
      <w:r w:rsidRPr="00C709D9">
        <w:t>Impact of Changes to the Code of Practice</w:t>
      </w:r>
      <w:bookmarkEnd w:id="166"/>
      <w:r w:rsidR="006F75A2" w:rsidRPr="00C709D9">
        <w:t xml:space="preserve"> </w:t>
      </w:r>
    </w:p>
    <w:p w14:paraId="485A4612" w14:textId="77777777" w:rsidR="00FC7127" w:rsidRPr="00556541" w:rsidRDefault="00FC7127" w:rsidP="0070459C">
      <w:pPr>
        <w:tabs>
          <w:tab w:val="num" w:pos="851"/>
        </w:tabs>
      </w:pPr>
    </w:p>
    <w:p w14:paraId="485A4613" w14:textId="01463D31" w:rsidR="00FC7127" w:rsidRPr="00556541" w:rsidRDefault="00D34FFC" w:rsidP="0070459C">
      <w:pPr>
        <w:tabs>
          <w:tab w:val="num" w:pos="851"/>
        </w:tabs>
      </w:pPr>
      <w:r w:rsidRPr="00556541">
        <w:t xml:space="preserve">There are no </w:t>
      </w:r>
      <w:r w:rsidR="00FC7127" w:rsidRPr="00556541">
        <w:t xml:space="preserve">changes </w:t>
      </w:r>
      <w:r w:rsidRPr="00556541">
        <w:t>to the 202</w:t>
      </w:r>
      <w:r w:rsidR="006F75A2">
        <w:t>3</w:t>
      </w:r>
      <w:r w:rsidRPr="00556541">
        <w:t>/2</w:t>
      </w:r>
      <w:r w:rsidR="006F75A2">
        <w:t>4</w:t>
      </w:r>
      <w:r w:rsidRPr="00556541">
        <w:t xml:space="preserve"> Code that </w:t>
      </w:r>
      <w:r w:rsidR="00FC7127" w:rsidRPr="00556541">
        <w:t>have a material impact on the information reported in these financial statements.</w:t>
      </w:r>
      <w:r w:rsidR="001377F8">
        <w:t xml:space="preserve"> The Accounting policies for 202</w:t>
      </w:r>
      <w:r w:rsidR="006F75A2">
        <w:t>3</w:t>
      </w:r>
      <w:r w:rsidR="001377F8">
        <w:t>/2</w:t>
      </w:r>
      <w:r w:rsidR="006F75A2">
        <w:t>4</w:t>
      </w:r>
      <w:r w:rsidR="001377F8">
        <w:t xml:space="preserve"> were approved by Governance Committee o</w:t>
      </w:r>
      <w:r w:rsidR="006F75A2">
        <w:t>n 17 April 2024</w:t>
      </w:r>
      <w:r w:rsidR="001377F8">
        <w:t>.</w:t>
      </w:r>
    </w:p>
    <w:p w14:paraId="485A4614" w14:textId="77777777" w:rsidR="00276F53" w:rsidRPr="004D5CA8" w:rsidRDefault="00276F53" w:rsidP="0070459C">
      <w:pPr>
        <w:tabs>
          <w:tab w:val="num" w:pos="851"/>
        </w:tabs>
        <w:rPr>
          <w:highlight w:val="yellow"/>
        </w:rPr>
      </w:pPr>
    </w:p>
    <w:p w14:paraId="485A4615" w14:textId="77777777" w:rsidR="00276F53" w:rsidRPr="00C709D9" w:rsidRDefault="00276F53" w:rsidP="0070459C">
      <w:pPr>
        <w:tabs>
          <w:tab w:val="num" w:pos="851"/>
        </w:tabs>
      </w:pPr>
    </w:p>
    <w:p w14:paraId="485A4616" w14:textId="774DB30A" w:rsidR="00FC7127" w:rsidRPr="00C709D9" w:rsidRDefault="00FC7127" w:rsidP="0070459C">
      <w:pPr>
        <w:pStyle w:val="Heading2"/>
        <w:numPr>
          <w:ilvl w:val="0"/>
          <w:numId w:val="47"/>
        </w:numPr>
        <w:tabs>
          <w:tab w:val="num" w:pos="851"/>
        </w:tabs>
        <w:ind w:left="0" w:firstLine="0"/>
      </w:pPr>
      <w:bookmarkStart w:id="167" w:name="_Toc167965800"/>
      <w:r w:rsidRPr="00C709D9">
        <w:t>Material Items of Income and Expense</w:t>
      </w:r>
      <w:bookmarkEnd w:id="167"/>
    </w:p>
    <w:p w14:paraId="485A4617" w14:textId="77777777" w:rsidR="00FC7127" w:rsidRPr="00C709D9" w:rsidRDefault="00FC7127" w:rsidP="0070459C">
      <w:pPr>
        <w:pStyle w:val="BlockText"/>
        <w:tabs>
          <w:tab w:val="num" w:pos="851"/>
        </w:tabs>
        <w:ind w:left="0" w:right="0"/>
        <w:rPr>
          <w:rFonts w:cs="Arial"/>
        </w:rPr>
      </w:pPr>
    </w:p>
    <w:p w14:paraId="4CE9352F" w14:textId="5C04A9E4" w:rsidR="001377F8" w:rsidRPr="00C709D9" w:rsidRDefault="00745235" w:rsidP="0070459C">
      <w:pPr>
        <w:tabs>
          <w:tab w:val="num" w:pos="851"/>
          <w:tab w:val="left" w:pos="4320"/>
        </w:tabs>
      </w:pPr>
      <w:r w:rsidRPr="00C709D9">
        <w:t>Significant transactions relating to non-current assets include revaluations, depreciation and disposals</w:t>
      </w:r>
      <w:r w:rsidR="00AF2B5F" w:rsidRPr="00C709D9">
        <w:t>; these</w:t>
      </w:r>
      <w:r w:rsidRPr="00C709D9">
        <w:t xml:space="preserve"> are set out in detail in the non-current asset note. </w:t>
      </w:r>
    </w:p>
    <w:p w14:paraId="4967EA0C" w14:textId="0A04F97E" w:rsidR="006F75A2" w:rsidRPr="00C709D9" w:rsidRDefault="006F75A2" w:rsidP="0070459C">
      <w:pPr>
        <w:tabs>
          <w:tab w:val="num" w:pos="851"/>
          <w:tab w:val="left" w:pos="4320"/>
        </w:tabs>
      </w:pPr>
    </w:p>
    <w:p w14:paraId="746D41CF" w14:textId="05D31A44" w:rsidR="006F75A2" w:rsidRPr="00745235" w:rsidRDefault="006F75A2" w:rsidP="0070459C">
      <w:pPr>
        <w:tabs>
          <w:tab w:val="num" w:pos="851"/>
          <w:tab w:val="left" w:pos="4320"/>
        </w:tabs>
      </w:pPr>
      <w:r w:rsidRPr="00C709D9">
        <w:t>During the year</w:t>
      </w:r>
      <w:r>
        <w:t xml:space="preserve"> work was undertaken to recover £5</w:t>
      </w:r>
      <w:r w:rsidR="00AF2B5F">
        <w:t>21</w:t>
      </w:r>
      <w:r>
        <w:t xml:space="preserve">k from HMRC following a change in interpretation of the VAT guidance around supplies by Local Authorities of sports and leisure. This was recognised in full in 2023/24 and appears within the Visitor Services income line in the CIES. </w:t>
      </w:r>
    </w:p>
    <w:p w14:paraId="6B3B0BEB" w14:textId="77777777" w:rsidR="00745235" w:rsidRPr="00745235" w:rsidRDefault="00745235" w:rsidP="0070459C">
      <w:pPr>
        <w:tabs>
          <w:tab w:val="num" w:pos="851"/>
          <w:tab w:val="left" w:pos="4320"/>
        </w:tabs>
      </w:pPr>
    </w:p>
    <w:p w14:paraId="1C85CE31" w14:textId="3E59AB0D" w:rsidR="00745235" w:rsidRPr="00745235" w:rsidRDefault="00745235" w:rsidP="0070459C">
      <w:pPr>
        <w:tabs>
          <w:tab w:val="num" w:pos="851"/>
          <w:tab w:val="left" w:pos="4320"/>
        </w:tabs>
      </w:pPr>
      <w:r w:rsidRPr="00745235">
        <w:t>There have been significant movements on the defined benefit pension liability, these are disclosed in the pension note.</w:t>
      </w:r>
    </w:p>
    <w:p w14:paraId="485A4619" w14:textId="77777777" w:rsidR="00FC7127" w:rsidRPr="00745235" w:rsidRDefault="00FC7127" w:rsidP="0070459C">
      <w:pPr>
        <w:tabs>
          <w:tab w:val="num" w:pos="851"/>
          <w:tab w:val="left" w:pos="4320"/>
        </w:tabs>
      </w:pPr>
    </w:p>
    <w:p w14:paraId="485A461A" w14:textId="16E406B6" w:rsidR="00FC7127" w:rsidRPr="00745235" w:rsidRDefault="00FC7127" w:rsidP="0070459C">
      <w:pPr>
        <w:tabs>
          <w:tab w:val="num" w:pos="851"/>
          <w:tab w:val="left" w:pos="4320"/>
        </w:tabs>
      </w:pPr>
      <w:r w:rsidRPr="00745235">
        <w:t>Total capital expenditure for 20</w:t>
      </w:r>
      <w:r w:rsidR="00945395" w:rsidRPr="00745235">
        <w:t>2</w:t>
      </w:r>
      <w:r w:rsidR="006F75A2">
        <w:t>3</w:t>
      </w:r>
      <w:r w:rsidRPr="00745235">
        <w:t>/</w:t>
      </w:r>
      <w:r w:rsidRPr="00AF2B5F">
        <w:t>2</w:t>
      </w:r>
      <w:r w:rsidR="006F75A2" w:rsidRPr="00AF2B5F">
        <w:t>4</w:t>
      </w:r>
      <w:r w:rsidRPr="00AF2B5F">
        <w:t xml:space="preserve"> was </w:t>
      </w:r>
      <w:r w:rsidR="00A22526" w:rsidRPr="00AF2B5F">
        <w:t>£</w:t>
      </w:r>
      <w:r w:rsidR="00AF2B5F" w:rsidRPr="00AF2B5F">
        <w:t>8</w:t>
      </w:r>
      <w:r w:rsidR="002472C3">
        <w:t>44</w:t>
      </w:r>
      <w:r w:rsidR="00AF2B5F" w:rsidRPr="00AF2B5F">
        <w:t>k</w:t>
      </w:r>
      <w:r w:rsidR="00A22526" w:rsidRPr="00745235">
        <w:t xml:space="preserve"> </w:t>
      </w:r>
      <w:r w:rsidR="005C7B53" w:rsidRPr="00745235">
        <w:t>(</w:t>
      </w:r>
      <w:r w:rsidRPr="00745235">
        <w:t>£</w:t>
      </w:r>
      <w:r w:rsidR="00745235" w:rsidRPr="00745235">
        <w:t>1.</w:t>
      </w:r>
      <w:r w:rsidR="006F75A2">
        <w:t>9</w:t>
      </w:r>
      <w:r w:rsidRPr="00745235">
        <w:t>m</w:t>
      </w:r>
      <w:r w:rsidR="005C7B53" w:rsidRPr="00745235">
        <w:t xml:space="preserve"> in 202</w:t>
      </w:r>
      <w:r w:rsidR="006F75A2">
        <w:t>2</w:t>
      </w:r>
      <w:r w:rsidR="005C7B53" w:rsidRPr="00745235">
        <w:t>/2</w:t>
      </w:r>
      <w:r w:rsidR="006F75A2">
        <w:t>3</w:t>
      </w:r>
      <w:r w:rsidR="005C7B53" w:rsidRPr="00745235">
        <w:t xml:space="preserve">). </w:t>
      </w:r>
      <w:r w:rsidR="00745235" w:rsidRPr="00745235">
        <w:t>A further split of this capital expenditure is provided in the capital expenditure note.</w:t>
      </w:r>
    </w:p>
    <w:p w14:paraId="485A461B" w14:textId="77777777" w:rsidR="0095291D" w:rsidRPr="00745235" w:rsidRDefault="0095291D" w:rsidP="0070459C">
      <w:pPr>
        <w:tabs>
          <w:tab w:val="num" w:pos="851"/>
          <w:tab w:val="left" w:pos="4320"/>
        </w:tabs>
      </w:pPr>
    </w:p>
    <w:p w14:paraId="485A4620" w14:textId="468F172B" w:rsidR="00BC15E3" w:rsidRDefault="00A22526" w:rsidP="0070459C">
      <w:pPr>
        <w:tabs>
          <w:tab w:val="num" w:pos="851"/>
          <w:tab w:val="left" w:pos="4320"/>
        </w:tabs>
      </w:pPr>
      <w:r w:rsidRPr="00745235">
        <w:t>The core grant settlement from Defra was £5,5</w:t>
      </w:r>
      <w:r w:rsidR="001377F8">
        <w:t>90k</w:t>
      </w:r>
      <w:r w:rsidR="00745235" w:rsidRPr="00745235">
        <w:t>. This is within the non-specific grant income line in the CIES.</w:t>
      </w:r>
    </w:p>
    <w:p w14:paraId="2CCEC1A2" w14:textId="77777777" w:rsidR="00AF2B5F" w:rsidRDefault="00AF2B5F" w:rsidP="0070459C">
      <w:pPr>
        <w:tabs>
          <w:tab w:val="num" w:pos="851"/>
          <w:tab w:val="left" w:pos="4320"/>
        </w:tabs>
      </w:pPr>
    </w:p>
    <w:p w14:paraId="48D547E6" w14:textId="755CB2C3" w:rsidR="00AF2B5F" w:rsidRDefault="00AF2B5F" w:rsidP="0070459C">
      <w:pPr>
        <w:tabs>
          <w:tab w:val="num" w:pos="851"/>
          <w:tab w:val="left" w:pos="4320"/>
        </w:tabs>
      </w:pPr>
      <w:r>
        <w:t>Further details around individually material grant income amounts are disclosed in note 15 (grants).</w:t>
      </w:r>
    </w:p>
    <w:p w14:paraId="248A208F" w14:textId="77777777" w:rsidR="00BA62BB" w:rsidRDefault="00BA62BB" w:rsidP="0070459C">
      <w:pPr>
        <w:tabs>
          <w:tab w:val="num" w:pos="851"/>
          <w:tab w:val="left" w:pos="4320"/>
        </w:tabs>
      </w:pPr>
    </w:p>
    <w:p w14:paraId="11F7DEB6" w14:textId="77777777" w:rsidR="00BA62BB" w:rsidRDefault="00BA62BB" w:rsidP="0070459C">
      <w:pPr>
        <w:tabs>
          <w:tab w:val="num" w:pos="851"/>
          <w:tab w:val="left" w:pos="4320"/>
        </w:tabs>
      </w:pPr>
    </w:p>
    <w:p w14:paraId="2641A373" w14:textId="77777777" w:rsidR="00BA62BB" w:rsidRDefault="00BA62BB" w:rsidP="0070459C">
      <w:pPr>
        <w:tabs>
          <w:tab w:val="num" w:pos="851"/>
          <w:tab w:val="left" w:pos="4320"/>
        </w:tabs>
      </w:pPr>
    </w:p>
    <w:p w14:paraId="06442FC4" w14:textId="77777777" w:rsidR="00BA62BB" w:rsidRDefault="00BA62BB" w:rsidP="0070459C">
      <w:pPr>
        <w:tabs>
          <w:tab w:val="num" w:pos="851"/>
          <w:tab w:val="left" w:pos="4320"/>
        </w:tabs>
      </w:pPr>
    </w:p>
    <w:p w14:paraId="0C5A0A3F" w14:textId="77777777" w:rsidR="00BA62BB" w:rsidRDefault="00BA62BB" w:rsidP="0070459C">
      <w:pPr>
        <w:tabs>
          <w:tab w:val="num" w:pos="851"/>
          <w:tab w:val="left" w:pos="4320"/>
        </w:tabs>
      </w:pPr>
    </w:p>
    <w:p w14:paraId="5F6925BF" w14:textId="77777777" w:rsidR="00BA62BB" w:rsidRDefault="00BA62BB" w:rsidP="0070459C">
      <w:pPr>
        <w:tabs>
          <w:tab w:val="num" w:pos="851"/>
          <w:tab w:val="left" w:pos="4320"/>
        </w:tabs>
      </w:pPr>
    </w:p>
    <w:p w14:paraId="4A5112D2" w14:textId="77777777" w:rsidR="00BA62BB" w:rsidRDefault="00BA62BB" w:rsidP="0070459C">
      <w:pPr>
        <w:tabs>
          <w:tab w:val="num" w:pos="851"/>
          <w:tab w:val="left" w:pos="4320"/>
        </w:tabs>
      </w:pPr>
    </w:p>
    <w:p w14:paraId="334B0D00" w14:textId="77777777" w:rsidR="00BA62BB" w:rsidRDefault="00BA62BB" w:rsidP="0070459C">
      <w:pPr>
        <w:tabs>
          <w:tab w:val="num" w:pos="851"/>
          <w:tab w:val="left" w:pos="4320"/>
        </w:tabs>
      </w:pPr>
    </w:p>
    <w:p w14:paraId="39B94696" w14:textId="77777777" w:rsidR="00BA62BB" w:rsidRDefault="00BA62BB" w:rsidP="0070459C">
      <w:pPr>
        <w:tabs>
          <w:tab w:val="num" w:pos="851"/>
          <w:tab w:val="left" w:pos="4320"/>
        </w:tabs>
      </w:pPr>
    </w:p>
    <w:p w14:paraId="0ABB067C" w14:textId="77777777" w:rsidR="00BA62BB" w:rsidRDefault="00BA62BB" w:rsidP="0070459C">
      <w:pPr>
        <w:tabs>
          <w:tab w:val="num" w:pos="851"/>
          <w:tab w:val="left" w:pos="4320"/>
        </w:tabs>
      </w:pPr>
    </w:p>
    <w:p w14:paraId="16007282" w14:textId="77777777" w:rsidR="00BA62BB" w:rsidRDefault="00BA62BB" w:rsidP="0070459C">
      <w:pPr>
        <w:tabs>
          <w:tab w:val="num" w:pos="851"/>
          <w:tab w:val="left" w:pos="4320"/>
        </w:tabs>
      </w:pPr>
    </w:p>
    <w:p w14:paraId="66217832" w14:textId="77777777" w:rsidR="00BA62BB" w:rsidRDefault="00BA62BB" w:rsidP="0070459C">
      <w:pPr>
        <w:tabs>
          <w:tab w:val="num" w:pos="851"/>
          <w:tab w:val="left" w:pos="4320"/>
        </w:tabs>
      </w:pPr>
    </w:p>
    <w:p w14:paraId="5CB6CA5A" w14:textId="77777777" w:rsidR="009F03E4" w:rsidRDefault="009F03E4" w:rsidP="0070459C">
      <w:pPr>
        <w:tabs>
          <w:tab w:val="num" w:pos="851"/>
          <w:tab w:val="left" w:pos="4320"/>
        </w:tabs>
      </w:pPr>
    </w:p>
    <w:p w14:paraId="35F45405" w14:textId="77777777" w:rsidR="00BA62BB" w:rsidRPr="00BA62BB" w:rsidRDefault="00BA62BB" w:rsidP="00BA62BB">
      <w:pPr>
        <w:pStyle w:val="Heading2"/>
        <w:rPr>
          <w:i/>
          <w:iCs/>
        </w:rPr>
      </w:pPr>
      <w:bookmarkStart w:id="168" w:name="_Toc167965801"/>
    </w:p>
    <w:p w14:paraId="485A4621" w14:textId="787B86EE" w:rsidR="00FC7127" w:rsidRPr="00243083" w:rsidRDefault="00FC7127" w:rsidP="0070459C">
      <w:pPr>
        <w:pStyle w:val="Heading2"/>
        <w:numPr>
          <w:ilvl w:val="0"/>
          <w:numId w:val="47"/>
        </w:numPr>
        <w:tabs>
          <w:tab w:val="num" w:pos="851"/>
        </w:tabs>
        <w:ind w:left="0" w:firstLine="0"/>
        <w:rPr>
          <w:i/>
          <w:iCs/>
        </w:rPr>
      </w:pPr>
      <w:r w:rsidRPr="00243083">
        <w:t>Expenditure and Income Analysed by Nature</w:t>
      </w:r>
      <w:bookmarkEnd w:id="168"/>
      <w:r w:rsidR="009F03E4">
        <w:t xml:space="preserve"> </w:t>
      </w:r>
    </w:p>
    <w:p w14:paraId="5D3B9B74" w14:textId="52C78A4F" w:rsidR="00BF70F4" w:rsidRPr="004D5CA8" w:rsidRDefault="00BF70F4" w:rsidP="0070459C">
      <w:pPr>
        <w:tabs>
          <w:tab w:val="num" w:pos="851"/>
        </w:tabs>
        <w:rPr>
          <w:highlight w:val="yellow"/>
        </w:rPr>
      </w:pPr>
    </w:p>
    <w:tbl>
      <w:tblPr>
        <w:tblW w:w="10415" w:type="dxa"/>
        <w:tblInd w:w="-577" w:type="dxa"/>
        <w:tblLayout w:type="fixed"/>
        <w:tblLook w:val="04A0" w:firstRow="1" w:lastRow="0" w:firstColumn="1" w:lastColumn="0" w:noHBand="0" w:noVBand="1"/>
      </w:tblPr>
      <w:tblGrid>
        <w:gridCol w:w="961"/>
        <w:gridCol w:w="1120"/>
        <w:gridCol w:w="1038"/>
        <w:gridCol w:w="4111"/>
        <w:gridCol w:w="961"/>
        <w:gridCol w:w="1165"/>
        <w:gridCol w:w="1059"/>
      </w:tblGrid>
      <w:tr w:rsidR="00B967AB" w:rsidRPr="00B967AB" w14:paraId="6B9A77C9" w14:textId="77777777" w:rsidTr="00B967AB">
        <w:trPr>
          <w:trHeight w:val="290"/>
        </w:trPr>
        <w:tc>
          <w:tcPr>
            <w:tcW w:w="961" w:type="dxa"/>
            <w:tcBorders>
              <w:top w:val="single" w:sz="8" w:space="0" w:color="auto"/>
              <w:left w:val="single" w:sz="8" w:space="0" w:color="auto"/>
              <w:bottom w:val="nil"/>
              <w:right w:val="nil"/>
            </w:tcBorders>
            <w:shd w:val="clear" w:color="000000" w:fill="000000"/>
            <w:vAlign w:val="center"/>
            <w:hideMark/>
          </w:tcPr>
          <w:p w14:paraId="2C94002B" w14:textId="77777777"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 </w:t>
            </w:r>
          </w:p>
        </w:tc>
        <w:tc>
          <w:tcPr>
            <w:tcW w:w="1120" w:type="dxa"/>
            <w:tcBorders>
              <w:top w:val="single" w:sz="8" w:space="0" w:color="auto"/>
              <w:left w:val="single" w:sz="4" w:space="0" w:color="auto"/>
              <w:bottom w:val="nil"/>
              <w:right w:val="nil"/>
            </w:tcBorders>
            <w:shd w:val="clear" w:color="000000" w:fill="000000"/>
            <w:vAlign w:val="center"/>
            <w:hideMark/>
          </w:tcPr>
          <w:p w14:paraId="44D74431" w14:textId="196EA638" w:rsidR="00B967AB" w:rsidRPr="00B967AB" w:rsidRDefault="00B967AB" w:rsidP="0070459C">
            <w:pPr>
              <w:tabs>
                <w:tab w:val="num" w:pos="851"/>
              </w:tabs>
              <w:jc w:val="center"/>
              <w:rPr>
                <w:rFonts w:cs="Arial"/>
                <w:b/>
                <w:bCs/>
                <w:color w:val="FFFFFF"/>
                <w:sz w:val="20"/>
                <w:szCs w:val="20"/>
                <w:lang w:eastAsia="en-GB"/>
              </w:rPr>
            </w:pPr>
          </w:p>
        </w:tc>
        <w:tc>
          <w:tcPr>
            <w:tcW w:w="1038" w:type="dxa"/>
            <w:tcBorders>
              <w:top w:val="single" w:sz="8" w:space="0" w:color="auto"/>
              <w:left w:val="single" w:sz="4" w:space="0" w:color="auto"/>
              <w:bottom w:val="nil"/>
              <w:right w:val="nil"/>
            </w:tcBorders>
            <w:shd w:val="clear" w:color="000000" w:fill="000000"/>
            <w:vAlign w:val="center"/>
            <w:hideMark/>
          </w:tcPr>
          <w:p w14:paraId="115FEC16" w14:textId="77777777"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 </w:t>
            </w:r>
          </w:p>
        </w:tc>
        <w:tc>
          <w:tcPr>
            <w:tcW w:w="4111" w:type="dxa"/>
            <w:tcBorders>
              <w:top w:val="single" w:sz="8" w:space="0" w:color="auto"/>
              <w:left w:val="single" w:sz="4" w:space="0" w:color="auto"/>
              <w:bottom w:val="nil"/>
              <w:right w:val="nil"/>
            </w:tcBorders>
            <w:shd w:val="clear" w:color="000000" w:fill="000000"/>
            <w:vAlign w:val="center"/>
            <w:hideMark/>
          </w:tcPr>
          <w:p w14:paraId="27F0CB21" w14:textId="77777777"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 </w:t>
            </w:r>
          </w:p>
        </w:tc>
        <w:tc>
          <w:tcPr>
            <w:tcW w:w="961" w:type="dxa"/>
            <w:tcBorders>
              <w:top w:val="single" w:sz="8" w:space="0" w:color="auto"/>
              <w:left w:val="single" w:sz="4" w:space="0" w:color="auto"/>
              <w:bottom w:val="nil"/>
              <w:right w:val="nil"/>
            </w:tcBorders>
            <w:shd w:val="clear" w:color="000000" w:fill="000000"/>
            <w:vAlign w:val="center"/>
            <w:hideMark/>
          </w:tcPr>
          <w:p w14:paraId="5BAD813C" w14:textId="77777777"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 </w:t>
            </w:r>
          </w:p>
        </w:tc>
        <w:tc>
          <w:tcPr>
            <w:tcW w:w="1165" w:type="dxa"/>
            <w:tcBorders>
              <w:top w:val="single" w:sz="8" w:space="0" w:color="auto"/>
              <w:left w:val="single" w:sz="4" w:space="0" w:color="auto"/>
              <w:bottom w:val="nil"/>
              <w:right w:val="nil"/>
            </w:tcBorders>
            <w:shd w:val="clear" w:color="000000" w:fill="000000"/>
            <w:vAlign w:val="center"/>
            <w:hideMark/>
          </w:tcPr>
          <w:p w14:paraId="2A43C93E" w14:textId="77777777"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 </w:t>
            </w:r>
          </w:p>
        </w:tc>
        <w:tc>
          <w:tcPr>
            <w:tcW w:w="1059" w:type="dxa"/>
            <w:tcBorders>
              <w:top w:val="single" w:sz="8" w:space="0" w:color="auto"/>
              <w:left w:val="single" w:sz="4" w:space="0" w:color="auto"/>
              <w:bottom w:val="nil"/>
              <w:right w:val="single" w:sz="8" w:space="0" w:color="auto"/>
            </w:tcBorders>
            <w:shd w:val="clear" w:color="000000" w:fill="000000"/>
            <w:vAlign w:val="center"/>
            <w:hideMark/>
          </w:tcPr>
          <w:p w14:paraId="058C1F53" w14:textId="77777777"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 </w:t>
            </w:r>
          </w:p>
        </w:tc>
      </w:tr>
      <w:tr w:rsidR="00B967AB" w:rsidRPr="00B967AB" w14:paraId="53E47789" w14:textId="77777777" w:rsidTr="00B967AB">
        <w:trPr>
          <w:trHeight w:val="840"/>
        </w:trPr>
        <w:tc>
          <w:tcPr>
            <w:tcW w:w="961" w:type="dxa"/>
            <w:tcBorders>
              <w:top w:val="single" w:sz="4" w:space="0" w:color="auto"/>
              <w:left w:val="single" w:sz="8" w:space="0" w:color="auto"/>
              <w:bottom w:val="nil"/>
              <w:right w:val="nil"/>
            </w:tcBorders>
            <w:shd w:val="clear" w:color="000000" w:fill="000000"/>
            <w:vAlign w:val="center"/>
            <w:hideMark/>
          </w:tcPr>
          <w:p w14:paraId="1FF2428C" w14:textId="38E8A552"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202</w:t>
            </w:r>
            <w:r w:rsidR="00857C1C">
              <w:rPr>
                <w:rFonts w:cs="Arial"/>
                <w:b/>
                <w:bCs/>
                <w:color w:val="FFFFFF"/>
                <w:sz w:val="20"/>
                <w:szCs w:val="20"/>
                <w:lang w:eastAsia="en-GB"/>
              </w:rPr>
              <w:t>2</w:t>
            </w:r>
            <w:r w:rsidRPr="00B967AB">
              <w:rPr>
                <w:rFonts w:cs="Arial"/>
                <w:b/>
                <w:bCs/>
                <w:color w:val="FFFFFF"/>
                <w:sz w:val="20"/>
                <w:szCs w:val="20"/>
                <w:lang w:eastAsia="en-GB"/>
              </w:rPr>
              <w:t>/2</w:t>
            </w:r>
            <w:r w:rsidR="00857C1C">
              <w:rPr>
                <w:rFonts w:cs="Arial"/>
                <w:b/>
                <w:bCs/>
                <w:color w:val="FFFFFF"/>
                <w:sz w:val="20"/>
                <w:szCs w:val="20"/>
                <w:lang w:eastAsia="en-GB"/>
              </w:rPr>
              <w:t>3</w:t>
            </w:r>
            <w:r w:rsidRPr="00B967AB">
              <w:rPr>
                <w:rFonts w:cs="Arial"/>
                <w:b/>
                <w:bCs/>
                <w:color w:val="FFFFFF"/>
                <w:sz w:val="20"/>
                <w:szCs w:val="20"/>
                <w:lang w:eastAsia="en-GB"/>
              </w:rPr>
              <w:t xml:space="preserve"> General Fund</w:t>
            </w:r>
          </w:p>
        </w:tc>
        <w:tc>
          <w:tcPr>
            <w:tcW w:w="1120" w:type="dxa"/>
            <w:tcBorders>
              <w:top w:val="single" w:sz="4" w:space="0" w:color="auto"/>
              <w:left w:val="nil"/>
              <w:bottom w:val="nil"/>
              <w:right w:val="nil"/>
            </w:tcBorders>
            <w:shd w:val="clear" w:color="000000" w:fill="000000"/>
            <w:vAlign w:val="center"/>
            <w:hideMark/>
          </w:tcPr>
          <w:p w14:paraId="2BEFB753" w14:textId="2D6EA43D"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202</w:t>
            </w:r>
            <w:r w:rsidR="00857C1C">
              <w:rPr>
                <w:rFonts w:cs="Arial"/>
                <w:b/>
                <w:bCs/>
                <w:color w:val="FFFFFF"/>
                <w:sz w:val="20"/>
                <w:szCs w:val="20"/>
                <w:lang w:eastAsia="en-GB"/>
              </w:rPr>
              <w:t>2</w:t>
            </w:r>
            <w:r w:rsidRPr="00B967AB">
              <w:rPr>
                <w:rFonts w:cs="Arial"/>
                <w:b/>
                <w:bCs/>
                <w:color w:val="FFFFFF"/>
                <w:sz w:val="20"/>
                <w:szCs w:val="20"/>
                <w:lang w:eastAsia="en-GB"/>
              </w:rPr>
              <w:t>/2</w:t>
            </w:r>
            <w:r w:rsidR="00857C1C">
              <w:rPr>
                <w:rFonts w:cs="Arial"/>
                <w:b/>
                <w:bCs/>
                <w:color w:val="FFFFFF"/>
                <w:sz w:val="20"/>
                <w:szCs w:val="20"/>
                <w:lang w:eastAsia="en-GB"/>
              </w:rPr>
              <w:t>3</w:t>
            </w:r>
            <w:r w:rsidRPr="00B967AB">
              <w:rPr>
                <w:rFonts w:cs="Arial"/>
                <w:b/>
                <w:bCs/>
                <w:color w:val="FFFFFF"/>
                <w:sz w:val="20"/>
                <w:szCs w:val="20"/>
                <w:lang w:eastAsia="en-GB"/>
              </w:rPr>
              <w:t xml:space="preserve"> Other Reserves</w:t>
            </w:r>
          </w:p>
        </w:tc>
        <w:tc>
          <w:tcPr>
            <w:tcW w:w="1038" w:type="dxa"/>
            <w:tcBorders>
              <w:top w:val="single" w:sz="4" w:space="0" w:color="auto"/>
              <w:left w:val="nil"/>
              <w:bottom w:val="nil"/>
              <w:right w:val="nil"/>
            </w:tcBorders>
            <w:shd w:val="clear" w:color="000000" w:fill="000000"/>
            <w:vAlign w:val="center"/>
            <w:hideMark/>
          </w:tcPr>
          <w:p w14:paraId="2658A30D" w14:textId="5886E36D"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202</w:t>
            </w:r>
            <w:r w:rsidR="00857C1C">
              <w:rPr>
                <w:rFonts w:cs="Arial"/>
                <w:b/>
                <w:bCs/>
                <w:color w:val="FFFFFF"/>
                <w:sz w:val="20"/>
                <w:szCs w:val="20"/>
                <w:lang w:eastAsia="en-GB"/>
              </w:rPr>
              <w:t>2</w:t>
            </w:r>
            <w:r w:rsidRPr="00B967AB">
              <w:rPr>
                <w:rFonts w:cs="Arial"/>
                <w:b/>
                <w:bCs/>
                <w:color w:val="FFFFFF"/>
                <w:sz w:val="20"/>
                <w:szCs w:val="20"/>
                <w:lang w:eastAsia="en-GB"/>
              </w:rPr>
              <w:t>/2</w:t>
            </w:r>
            <w:r w:rsidR="00857C1C">
              <w:rPr>
                <w:rFonts w:cs="Arial"/>
                <w:b/>
                <w:bCs/>
                <w:color w:val="FFFFFF"/>
                <w:sz w:val="20"/>
                <w:szCs w:val="20"/>
                <w:lang w:eastAsia="en-GB"/>
              </w:rPr>
              <w:t>3</w:t>
            </w:r>
            <w:r w:rsidRPr="00B967AB">
              <w:rPr>
                <w:rFonts w:cs="Arial"/>
                <w:b/>
                <w:bCs/>
                <w:color w:val="FFFFFF"/>
                <w:sz w:val="20"/>
                <w:szCs w:val="20"/>
                <w:lang w:eastAsia="en-GB"/>
              </w:rPr>
              <w:t xml:space="preserve"> Total</w:t>
            </w:r>
          </w:p>
        </w:tc>
        <w:tc>
          <w:tcPr>
            <w:tcW w:w="4111" w:type="dxa"/>
            <w:tcBorders>
              <w:top w:val="single" w:sz="4" w:space="0" w:color="auto"/>
              <w:left w:val="nil"/>
              <w:bottom w:val="nil"/>
              <w:right w:val="nil"/>
            </w:tcBorders>
            <w:shd w:val="clear" w:color="000000" w:fill="000000"/>
            <w:noWrap/>
            <w:vAlign w:val="center"/>
            <w:hideMark/>
          </w:tcPr>
          <w:p w14:paraId="3173F088" w14:textId="77777777"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 </w:t>
            </w:r>
          </w:p>
        </w:tc>
        <w:tc>
          <w:tcPr>
            <w:tcW w:w="961" w:type="dxa"/>
            <w:tcBorders>
              <w:top w:val="single" w:sz="4" w:space="0" w:color="auto"/>
              <w:left w:val="nil"/>
              <w:bottom w:val="nil"/>
              <w:right w:val="nil"/>
            </w:tcBorders>
            <w:shd w:val="clear" w:color="000000" w:fill="000000"/>
            <w:vAlign w:val="center"/>
            <w:hideMark/>
          </w:tcPr>
          <w:p w14:paraId="47DF5DD5" w14:textId="4FDD675B"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202</w:t>
            </w:r>
            <w:r w:rsidR="00C709D9">
              <w:rPr>
                <w:rFonts w:cs="Arial"/>
                <w:b/>
                <w:bCs/>
                <w:color w:val="FFFFFF"/>
                <w:sz w:val="20"/>
                <w:szCs w:val="20"/>
                <w:lang w:eastAsia="en-GB"/>
              </w:rPr>
              <w:t>3</w:t>
            </w:r>
            <w:r w:rsidRPr="00B967AB">
              <w:rPr>
                <w:rFonts w:cs="Arial"/>
                <w:b/>
                <w:bCs/>
                <w:color w:val="FFFFFF"/>
                <w:sz w:val="20"/>
                <w:szCs w:val="20"/>
                <w:lang w:eastAsia="en-GB"/>
              </w:rPr>
              <w:t>/2</w:t>
            </w:r>
            <w:r w:rsidR="00C709D9">
              <w:rPr>
                <w:rFonts w:cs="Arial"/>
                <w:b/>
                <w:bCs/>
                <w:color w:val="FFFFFF"/>
                <w:sz w:val="20"/>
                <w:szCs w:val="20"/>
                <w:lang w:eastAsia="en-GB"/>
              </w:rPr>
              <w:t>4</w:t>
            </w:r>
            <w:r w:rsidRPr="00B967AB">
              <w:rPr>
                <w:rFonts w:cs="Arial"/>
                <w:b/>
                <w:bCs/>
                <w:color w:val="FFFFFF"/>
                <w:sz w:val="20"/>
                <w:szCs w:val="20"/>
                <w:lang w:eastAsia="en-GB"/>
              </w:rPr>
              <w:t xml:space="preserve"> General Fund</w:t>
            </w:r>
          </w:p>
        </w:tc>
        <w:tc>
          <w:tcPr>
            <w:tcW w:w="1165" w:type="dxa"/>
            <w:tcBorders>
              <w:top w:val="single" w:sz="4" w:space="0" w:color="auto"/>
              <w:left w:val="nil"/>
              <w:bottom w:val="nil"/>
              <w:right w:val="nil"/>
            </w:tcBorders>
            <w:shd w:val="clear" w:color="000000" w:fill="000000"/>
            <w:vAlign w:val="center"/>
            <w:hideMark/>
          </w:tcPr>
          <w:p w14:paraId="5F1F98B5" w14:textId="6B8609D6"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202</w:t>
            </w:r>
            <w:r w:rsidR="00C709D9">
              <w:rPr>
                <w:rFonts w:cs="Arial"/>
                <w:b/>
                <w:bCs/>
                <w:color w:val="FFFFFF"/>
                <w:sz w:val="20"/>
                <w:szCs w:val="20"/>
                <w:lang w:eastAsia="en-GB"/>
              </w:rPr>
              <w:t>3</w:t>
            </w:r>
            <w:r w:rsidRPr="00B967AB">
              <w:rPr>
                <w:rFonts w:cs="Arial"/>
                <w:b/>
                <w:bCs/>
                <w:color w:val="FFFFFF"/>
                <w:sz w:val="20"/>
                <w:szCs w:val="20"/>
                <w:lang w:eastAsia="en-GB"/>
              </w:rPr>
              <w:t>/2</w:t>
            </w:r>
            <w:r w:rsidR="00C709D9">
              <w:rPr>
                <w:rFonts w:cs="Arial"/>
                <w:b/>
                <w:bCs/>
                <w:color w:val="FFFFFF"/>
                <w:sz w:val="20"/>
                <w:szCs w:val="20"/>
                <w:lang w:eastAsia="en-GB"/>
              </w:rPr>
              <w:t>4</w:t>
            </w:r>
            <w:r w:rsidRPr="00B967AB">
              <w:rPr>
                <w:rFonts w:cs="Arial"/>
                <w:b/>
                <w:bCs/>
                <w:color w:val="FFFFFF"/>
                <w:sz w:val="20"/>
                <w:szCs w:val="20"/>
                <w:lang w:eastAsia="en-GB"/>
              </w:rPr>
              <w:t xml:space="preserve"> Other Reserves</w:t>
            </w:r>
          </w:p>
        </w:tc>
        <w:tc>
          <w:tcPr>
            <w:tcW w:w="1059" w:type="dxa"/>
            <w:tcBorders>
              <w:top w:val="single" w:sz="4" w:space="0" w:color="auto"/>
              <w:left w:val="nil"/>
              <w:bottom w:val="nil"/>
              <w:right w:val="single" w:sz="8" w:space="0" w:color="auto"/>
            </w:tcBorders>
            <w:shd w:val="clear" w:color="000000" w:fill="000000"/>
            <w:vAlign w:val="center"/>
            <w:hideMark/>
          </w:tcPr>
          <w:p w14:paraId="5A3239E9" w14:textId="799BF866"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202</w:t>
            </w:r>
            <w:r w:rsidR="00C709D9">
              <w:rPr>
                <w:rFonts w:cs="Arial"/>
                <w:b/>
                <w:bCs/>
                <w:color w:val="FFFFFF"/>
                <w:sz w:val="20"/>
                <w:szCs w:val="20"/>
                <w:lang w:eastAsia="en-GB"/>
              </w:rPr>
              <w:t>3</w:t>
            </w:r>
            <w:r w:rsidRPr="00B967AB">
              <w:rPr>
                <w:rFonts w:cs="Arial"/>
                <w:b/>
                <w:bCs/>
                <w:color w:val="FFFFFF"/>
                <w:sz w:val="20"/>
                <w:szCs w:val="20"/>
                <w:lang w:eastAsia="en-GB"/>
              </w:rPr>
              <w:t>/2</w:t>
            </w:r>
            <w:r w:rsidR="00C709D9">
              <w:rPr>
                <w:rFonts w:cs="Arial"/>
                <w:b/>
                <w:bCs/>
                <w:color w:val="FFFFFF"/>
                <w:sz w:val="20"/>
                <w:szCs w:val="20"/>
                <w:lang w:eastAsia="en-GB"/>
              </w:rPr>
              <w:t>4</w:t>
            </w:r>
            <w:r w:rsidRPr="00B967AB">
              <w:rPr>
                <w:rFonts w:cs="Arial"/>
                <w:b/>
                <w:bCs/>
                <w:color w:val="FFFFFF"/>
                <w:sz w:val="20"/>
                <w:szCs w:val="20"/>
                <w:lang w:eastAsia="en-GB"/>
              </w:rPr>
              <w:t xml:space="preserve"> Total</w:t>
            </w:r>
          </w:p>
        </w:tc>
      </w:tr>
      <w:tr w:rsidR="00B967AB" w:rsidRPr="00B967AB" w14:paraId="74980168" w14:textId="77777777" w:rsidTr="00B967AB">
        <w:trPr>
          <w:trHeight w:val="290"/>
        </w:trPr>
        <w:tc>
          <w:tcPr>
            <w:tcW w:w="961" w:type="dxa"/>
            <w:tcBorders>
              <w:top w:val="nil"/>
              <w:left w:val="single" w:sz="8" w:space="0" w:color="auto"/>
              <w:bottom w:val="nil"/>
              <w:right w:val="nil"/>
            </w:tcBorders>
            <w:shd w:val="clear" w:color="000000" w:fill="000000"/>
            <w:noWrap/>
            <w:vAlign w:val="center"/>
            <w:hideMark/>
          </w:tcPr>
          <w:p w14:paraId="7ECA9F14" w14:textId="77777777"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£000s</w:t>
            </w:r>
          </w:p>
        </w:tc>
        <w:tc>
          <w:tcPr>
            <w:tcW w:w="1120" w:type="dxa"/>
            <w:tcBorders>
              <w:top w:val="nil"/>
              <w:left w:val="single" w:sz="4" w:space="0" w:color="auto"/>
              <w:bottom w:val="nil"/>
              <w:right w:val="nil"/>
            </w:tcBorders>
            <w:shd w:val="clear" w:color="000000" w:fill="000000"/>
            <w:noWrap/>
            <w:vAlign w:val="center"/>
            <w:hideMark/>
          </w:tcPr>
          <w:p w14:paraId="3E45BA14" w14:textId="77777777"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£000s</w:t>
            </w:r>
          </w:p>
        </w:tc>
        <w:tc>
          <w:tcPr>
            <w:tcW w:w="1038" w:type="dxa"/>
            <w:tcBorders>
              <w:top w:val="nil"/>
              <w:left w:val="single" w:sz="4" w:space="0" w:color="auto"/>
              <w:bottom w:val="nil"/>
              <w:right w:val="nil"/>
            </w:tcBorders>
            <w:shd w:val="clear" w:color="000000" w:fill="000000"/>
            <w:noWrap/>
            <w:vAlign w:val="center"/>
            <w:hideMark/>
          </w:tcPr>
          <w:p w14:paraId="140055D4" w14:textId="77777777"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£000s</w:t>
            </w:r>
          </w:p>
        </w:tc>
        <w:tc>
          <w:tcPr>
            <w:tcW w:w="4111" w:type="dxa"/>
            <w:tcBorders>
              <w:top w:val="nil"/>
              <w:left w:val="nil"/>
              <w:bottom w:val="nil"/>
              <w:right w:val="nil"/>
            </w:tcBorders>
            <w:shd w:val="clear" w:color="000000" w:fill="000000"/>
            <w:noWrap/>
            <w:vAlign w:val="center"/>
            <w:hideMark/>
          </w:tcPr>
          <w:p w14:paraId="6BE96135" w14:textId="77777777"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 </w:t>
            </w:r>
          </w:p>
        </w:tc>
        <w:tc>
          <w:tcPr>
            <w:tcW w:w="961" w:type="dxa"/>
            <w:tcBorders>
              <w:top w:val="nil"/>
              <w:left w:val="nil"/>
              <w:bottom w:val="nil"/>
              <w:right w:val="nil"/>
            </w:tcBorders>
            <w:shd w:val="clear" w:color="000000" w:fill="000000"/>
            <w:noWrap/>
            <w:vAlign w:val="center"/>
            <w:hideMark/>
          </w:tcPr>
          <w:p w14:paraId="73431B1F" w14:textId="77777777"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£000s</w:t>
            </w:r>
          </w:p>
        </w:tc>
        <w:tc>
          <w:tcPr>
            <w:tcW w:w="1165" w:type="dxa"/>
            <w:tcBorders>
              <w:top w:val="nil"/>
              <w:left w:val="nil"/>
              <w:bottom w:val="nil"/>
              <w:right w:val="nil"/>
            </w:tcBorders>
            <w:shd w:val="clear" w:color="000000" w:fill="000000"/>
            <w:noWrap/>
            <w:vAlign w:val="center"/>
            <w:hideMark/>
          </w:tcPr>
          <w:p w14:paraId="7074719D" w14:textId="77777777"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£000s</w:t>
            </w:r>
          </w:p>
        </w:tc>
        <w:tc>
          <w:tcPr>
            <w:tcW w:w="1059" w:type="dxa"/>
            <w:tcBorders>
              <w:top w:val="nil"/>
              <w:left w:val="nil"/>
              <w:bottom w:val="nil"/>
              <w:right w:val="single" w:sz="8" w:space="0" w:color="auto"/>
            </w:tcBorders>
            <w:shd w:val="clear" w:color="000000" w:fill="000000"/>
            <w:noWrap/>
            <w:vAlign w:val="center"/>
            <w:hideMark/>
          </w:tcPr>
          <w:p w14:paraId="3E378FE4" w14:textId="77777777" w:rsidR="00B967AB" w:rsidRPr="00B967AB" w:rsidRDefault="00B967AB" w:rsidP="0070459C">
            <w:pPr>
              <w:tabs>
                <w:tab w:val="num" w:pos="851"/>
              </w:tabs>
              <w:jc w:val="center"/>
              <w:rPr>
                <w:rFonts w:cs="Arial"/>
                <w:b/>
                <w:bCs/>
                <w:color w:val="FFFFFF"/>
                <w:sz w:val="20"/>
                <w:szCs w:val="20"/>
                <w:lang w:eastAsia="en-GB"/>
              </w:rPr>
            </w:pPr>
            <w:r w:rsidRPr="00B967AB">
              <w:rPr>
                <w:rFonts w:cs="Arial"/>
                <w:b/>
                <w:bCs/>
                <w:color w:val="FFFFFF"/>
                <w:sz w:val="20"/>
                <w:szCs w:val="20"/>
                <w:lang w:eastAsia="en-GB"/>
              </w:rPr>
              <w:t>£000s</w:t>
            </w:r>
          </w:p>
        </w:tc>
      </w:tr>
      <w:tr w:rsidR="00B967AB" w:rsidRPr="00B967AB" w14:paraId="293860A2" w14:textId="77777777" w:rsidTr="00B967AB">
        <w:trPr>
          <w:trHeight w:val="290"/>
        </w:trPr>
        <w:tc>
          <w:tcPr>
            <w:tcW w:w="961" w:type="dxa"/>
            <w:tcBorders>
              <w:top w:val="nil"/>
              <w:left w:val="single" w:sz="8" w:space="0" w:color="auto"/>
              <w:bottom w:val="nil"/>
              <w:right w:val="nil"/>
            </w:tcBorders>
            <w:shd w:val="clear" w:color="000000" w:fill="FFFFFF"/>
            <w:noWrap/>
            <w:vAlign w:val="center"/>
            <w:hideMark/>
          </w:tcPr>
          <w:p w14:paraId="067ADBFC" w14:textId="77777777" w:rsidR="00B967AB" w:rsidRPr="00B967AB" w:rsidRDefault="00B967AB" w:rsidP="0070459C">
            <w:pPr>
              <w:tabs>
                <w:tab w:val="num" w:pos="851"/>
              </w:tabs>
              <w:rPr>
                <w:rFonts w:cs="Arial"/>
                <w:color w:val="000000"/>
                <w:sz w:val="20"/>
                <w:szCs w:val="20"/>
                <w:lang w:eastAsia="en-GB"/>
              </w:rPr>
            </w:pPr>
            <w:r w:rsidRPr="00B967AB">
              <w:rPr>
                <w:rFonts w:cs="Arial"/>
                <w:color w:val="000000"/>
                <w:sz w:val="20"/>
                <w:szCs w:val="20"/>
                <w:lang w:eastAsia="en-GB"/>
              </w:rPr>
              <w:t> </w:t>
            </w:r>
          </w:p>
        </w:tc>
        <w:tc>
          <w:tcPr>
            <w:tcW w:w="1120" w:type="dxa"/>
            <w:tcBorders>
              <w:top w:val="nil"/>
              <w:left w:val="nil"/>
              <w:bottom w:val="nil"/>
              <w:right w:val="nil"/>
            </w:tcBorders>
            <w:shd w:val="clear" w:color="000000" w:fill="FFFFFF"/>
            <w:noWrap/>
            <w:vAlign w:val="center"/>
            <w:hideMark/>
          </w:tcPr>
          <w:p w14:paraId="325606EC" w14:textId="77777777" w:rsidR="00B967AB" w:rsidRPr="00B967AB" w:rsidRDefault="00B967AB" w:rsidP="0070459C">
            <w:pPr>
              <w:tabs>
                <w:tab w:val="num" w:pos="851"/>
              </w:tabs>
              <w:rPr>
                <w:rFonts w:cs="Arial"/>
                <w:color w:val="000000"/>
                <w:sz w:val="20"/>
                <w:szCs w:val="20"/>
                <w:lang w:eastAsia="en-GB"/>
              </w:rPr>
            </w:pPr>
            <w:r w:rsidRPr="00B967AB">
              <w:rPr>
                <w:rFonts w:cs="Arial"/>
                <w:color w:val="000000"/>
                <w:sz w:val="20"/>
                <w:szCs w:val="20"/>
                <w:lang w:eastAsia="en-GB"/>
              </w:rPr>
              <w:t> </w:t>
            </w:r>
          </w:p>
        </w:tc>
        <w:tc>
          <w:tcPr>
            <w:tcW w:w="1038" w:type="dxa"/>
            <w:tcBorders>
              <w:top w:val="nil"/>
              <w:left w:val="nil"/>
              <w:bottom w:val="nil"/>
              <w:right w:val="nil"/>
            </w:tcBorders>
            <w:shd w:val="clear" w:color="000000" w:fill="FFFFFF"/>
            <w:noWrap/>
            <w:vAlign w:val="center"/>
            <w:hideMark/>
          </w:tcPr>
          <w:p w14:paraId="2954644D" w14:textId="77777777" w:rsidR="00B967AB" w:rsidRPr="00B967AB" w:rsidRDefault="00B967AB" w:rsidP="0070459C">
            <w:pPr>
              <w:tabs>
                <w:tab w:val="num" w:pos="851"/>
              </w:tabs>
              <w:rPr>
                <w:rFonts w:cs="Arial"/>
                <w:color w:val="000000"/>
                <w:sz w:val="20"/>
                <w:szCs w:val="20"/>
                <w:lang w:eastAsia="en-GB"/>
              </w:rPr>
            </w:pPr>
            <w:r w:rsidRPr="00B967AB">
              <w:rPr>
                <w:rFonts w:cs="Arial"/>
                <w:color w:val="000000"/>
                <w:sz w:val="20"/>
                <w:szCs w:val="20"/>
                <w:lang w:eastAsia="en-GB"/>
              </w:rPr>
              <w:t> </w:t>
            </w:r>
          </w:p>
        </w:tc>
        <w:tc>
          <w:tcPr>
            <w:tcW w:w="4111" w:type="dxa"/>
            <w:tcBorders>
              <w:top w:val="nil"/>
              <w:left w:val="nil"/>
              <w:bottom w:val="nil"/>
              <w:right w:val="nil"/>
            </w:tcBorders>
            <w:shd w:val="clear" w:color="000000" w:fill="FFFFFF"/>
            <w:noWrap/>
            <w:vAlign w:val="center"/>
            <w:hideMark/>
          </w:tcPr>
          <w:p w14:paraId="2598AC46" w14:textId="77777777" w:rsidR="00B967AB" w:rsidRPr="00B967AB" w:rsidRDefault="00B967AB" w:rsidP="0070459C">
            <w:pPr>
              <w:tabs>
                <w:tab w:val="num" w:pos="851"/>
              </w:tabs>
              <w:rPr>
                <w:rFonts w:cs="Arial"/>
                <w:color w:val="000000"/>
                <w:sz w:val="20"/>
                <w:szCs w:val="20"/>
                <w:lang w:eastAsia="en-GB"/>
              </w:rPr>
            </w:pPr>
            <w:r w:rsidRPr="00B967AB">
              <w:rPr>
                <w:rFonts w:cs="Arial"/>
                <w:color w:val="000000"/>
                <w:sz w:val="20"/>
                <w:szCs w:val="20"/>
                <w:lang w:eastAsia="en-GB"/>
              </w:rPr>
              <w:t> </w:t>
            </w:r>
          </w:p>
        </w:tc>
        <w:tc>
          <w:tcPr>
            <w:tcW w:w="961" w:type="dxa"/>
            <w:tcBorders>
              <w:top w:val="nil"/>
              <w:left w:val="nil"/>
              <w:bottom w:val="nil"/>
              <w:right w:val="nil"/>
            </w:tcBorders>
            <w:shd w:val="clear" w:color="000000" w:fill="FFFFFF"/>
            <w:noWrap/>
            <w:vAlign w:val="center"/>
            <w:hideMark/>
          </w:tcPr>
          <w:p w14:paraId="6D15CC26" w14:textId="77777777" w:rsidR="00B967AB" w:rsidRPr="00B967AB" w:rsidRDefault="00B967AB" w:rsidP="0070459C">
            <w:pPr>
              <w:tabs>
                <w:tab w:val="num" w:pos="851"/>
              </w:tabs>
              <w:rPr>
                <w:rFonts w:cs="Arial"/>
                <w:color w:val="000000"/>
                <w:sz w:val="20"/>
                <w:szCs w:val="20"/>
                <w:lang w:eastAsia="en-GB"/>
              </w:rPr>
            </w:pPr>
            <w:r w:rsidRPr="00B967AB">
              <w:rPr>
                <w:rFonts w:cs="Arial"/>
                <w:color w:val="000000"/>
                <w:sz w:val="20"/>
                <w:szCs w:val="20"/>
                <w:lang w:eastAsia="en-GB"/>
              </w:rPr>
              <w:t> </w:t>
            </w:r>
          </w:p>
        </w:tc>
        <w:tc>
          <w:tcPr>
            <w:tcW w:w="1165" w:type="dxa"/>
            <w:tcBorders>
              <w:top w:val="nil"/>
              <w:left w:val="nil"/>
              <w:bottom w:val="nil"/>
              <w:right w:val="nil"/>
            </w:tcBorders>
            <w:shd w:val="clear" w:color="000000" w:fill="FFFFFF"/>
            <w:noWrap/>
            <w:vAlign w:val="center"/>
            <w:hideMark/>
          </w:tcPr>
          <w:p w14:paraId="7845BC05" w14:textId="77777777" w:rsidR="00B967AB" w:rsidRPr="00B967AB" w:rsidRDefault="00B967AB" w:rsidP="0070459C">
            <w:pPr>
              <w:tabs>
                <w:tab w:val="num" w:pos="851"/>
              </w:tabs>
              <w:rPr>
                <w:rFonts w:cs="Arial"/>
                <w:color w:val="000000"/>
                <w:sz w:val="20"/>
                <w:szCs w:val="20"/>
                <w:lang w:eastAsia="en-GB"/>
              </w:rPr>
            </w:pPr>
            <w:r w:rsidRPr="00B967AB">
              <w:rPr>
                <w:rFonts w:cs="Arial"/>
                <w:color w:val="000000"/>
                <w:sz w:val="20"/>
                <w:szCs w:val="20"/>
                <w:lang w:eastAsia="en-GB"/>
              </w:rPr>
              <w:t> </w:t>
            </w:r>
          </w:p>
        </w:tc>
        <w:tc>
          <w:tcPr>
            <w:tcW w:w="1059" w:type="dxa"/>
            <w:tcBorders>
              <w:top w:val="nil"/>
              <w:left w:val="nil"/>
              <w:bottom w:val="nil"/>
              <w:right w:val="single" w:sz="8" w:space="0" w:color="auto"/>
            </w:tcBorders>
            <w:shd w:val="clear" w:color="000000" w:fill="FFFFFF"/>
            <w:noWrap/>
            <w:vAlign w:val="center"/>
            <w:hideMark/>
          </w:tcPr>
          <w:p w14:paraId="264B1383" w14:textId="77777777" w:rsidR="00B967AB" w:rsidRPr="00B967AB" w:rsidRDefault="00B967AB" w:rsidP="0070459C">
            <w:pPr>
              <w:tabs>
                <w:tab w:val="num" w:pos="851"/>
              </w:tabs>
              <w:rPr>
                <w:rFonts w:cs="Arial"/>
                <w:color w:val="000000"/>
                <w:sz w:val="20"/>
                <w:szCs w:val="20"/>
                <w:lang w:eastAsia="en-GB"/>
              </w:rPr>
            </w:pPr>
            <w:r w:rsidRPr="00B967AB">
              <w:rPr>
                <w:rFonts w:cs="Arial"/>
                <w:color w:val="000000"/>
                <w:sz w:val="20"/>
                <w:szCs w:val="20"/>
                <w:lang w:eastAsia="en-GB"/>
              </w:rPr>
              <w:t> </w:t>
            </w:r>
          </w:p>
        </w:tc>
      </w:tr>
      <w:tr w:rsidR="00B967AB" w:rsidRPr="00B960FF" w14:paraId="777C335C" w14:textId="77777777" w:rsidTr="00B967AB">
        <w:trPr>
          <w:trHeight w:val="290"/>
        </w:trPr>
        <w:tc>
          <w:tcPr>
            <w:tcW w:w="961" w:type="dxa"/>
            <w:tcBorders>
              <w:top w:val="nil"/>
              <w:left w:val="single" w:sz="8" w:space="0" w:color="auto"/>
              <w:bottom w:val="nil"/>
              <w:right w:val="nil"/>
            </w:tcBorders>
            <w:shd w:val="clear" w:color="000000" w:fill="FFFFFF"/>
            <w:noWrap/>
            <w:vAlign w:val="center"/>
            <w:hideMark/>
          </w:tcPr>
          <w:p w14:paraId="72DFEABC" w14:textId="77777777" w:rsidR="00B967AB" w:rsidRPr="00B967AB" w:rsidRDefault="00B967AB" w:rsidP="0070459C">
            <w:pPr>
              <w:tabs>
                <w:tab w:val="num" w:pos="851"/>
              </w:tabs>
              <w:rPr>
                <w:rFonts w:cs="Arial"/>
                <w:b/>
                <w:bCs/>
                <w:color w:val="000000"/>
                <w:sz w:val="20"/>
                <w:szCs w:val="20"/>
                <w:lang w:eastAsia="en-GB"/>
              </w:rPr>
            </w:pPr>
            <w:r w:rsidRPr="00B967AB">
              <w:rPr>
                <w:rFonts w:cs="Arial"/>
                <w:b/>
                <w:bCs/>
                <w:color w:val="000000"/>
                <w:sz w:val="20"/>
                <w:szCs w:val="20"/>
                <w:lang w:eastAsia="en-GB"/>
              </w:rPr>
              <w:t> </w:t>
            </w:r>
          </w:p>
        </w:tc>
        <w:tc>
          <w:tcPr>
            <w:tcW w:w="1120" w:type="dxa"/>
            <w:tcBorders>
              <w:top w:val="nil"/>
              <w:left w:val="nil"/>
              <w:bottom w:val="nil"/>
              <w:right w:val="nil"/>
            </w:tcBorders>
            <w:shd w:val="clear" w:color="000000" w:fill="FFFFFF"/>
            <w:noWrap/>
            <w:vAlign w:val="center"/>
            <w:hideMark/>
          </w:tcPr>
          <w:p w14:paraId="133D1DDE" w14:textId="77777777" w:rsidR="00B967AB" w:rsidRPr="00B967AB" w:rsidRDefault="00B967AB" w:rsidP="0070459C">
            <w:pPr>
              <w:tabs>
                <w:tab w:val="num" w:pos="851"/>
              </w:tabs>
              <w:rPr>
                <w:rFonts w:cs="Arial"/>
                <w:b/>
                <w:bCs/>
                <w:color w:val="000000"/>
                <w:sz w:val="20"/>
                <w:szCs w:val="20"/>
                <w:lang w:eastAsia="en-GB"/>
              </w:rPr>
            </w:pPr>
            <w:r w:rsidRPr="00B967AB">
              <w:rPr>
                <w:rFonts w:cs="Arial"/>
                <w:b/>
                <w:bCs/>
                <w:color w:val="000000"/>
                <w:sz w:val="20"/>
                <w:szCs w:val="20"/>
                <w:lang w:eastAsia="en-GB"/>
              </w:rPr>
              <w:t> </w:t>
            </w:r>
          </w:p>
        </w:tc>
        <w:tc>
          <w:tcPr>
            <w:tcW w:w="1038" w:type="dxa"/>
            <w:tcBorders>
              <w:top w:val="nil"/>
              <w:left w:val="nil"/>
              <w:bottom w:val="nil"/>
              <w:right w:val="nil"/>
            </w:tcBorders>
            <w:shd w:val="clear" w:color="000000" w:fill="FFFFFF"/>
            <w:noWrap/>
            <w:vAlign w:val="center"/>
            <w:hideMark/>
          </w:tcPr>
          <w:p w14:paraId="2AAF92F5" w14:textId="77777777" w:rsidR="00B967AB" w:rsidRPr="00B967AB" w:rsidRDefault="00B967AB" w:rsidP="0070459C">
            <w:pPr>
              <w:tabs>
                <w:tab w:val="num" w:pos="851"/>
              </w:tabs>
              <w:rPr>
                <w:rFonts w:cs="Arial"/>
                <w:color w:val="000000"/>
                <w:sz w:val="20"/>
                <w:szCs w:val="20"/>
                <w:lang w:eastAsia="en-GB"/>
              </w:rPr>
            </w:pPr>
            <w:r w:rsidRPr="00B967AB">
              <w:rPr>
                <w:rFonts w:cs="Arial"/>
                <w:color w:val="000000"/>
                <w:sz w:val="20"/>
                <w:szCs w:val="20"/>
                <w:lang w:eastAsia="en-GB"/>
              </w:rPr>
              <w:t> </w:t>
            </w:r>
          </w:p>
        </w:tc>
        <w:tc>
          <w:tcPr>
            <w:tcW w:w="4111" w:type="dxa"/>
            <w:tcBorders>
              <w:top w:val="nil"/>
              <w:left w:val="nil"/>
              <w:bottom w:val="nil"/>
              <w:right w:val="nil"/>
            </w:tcBorders>
            <w:shd w:val="clear" w:color="000000" w:fill="FFFFFF"/>
            <w:noWrap/>
            <w:vAlign w:val="center"/>
            <w:hideMark/>
          </w:tcPr>
          <w:p w14:paraId="2CA59B85" w14:textId="77777777" w:rsidR="00B967AB" w:rsidRPr="00B960FF" w:rsidRDefault="00B967AB" w:rsidP="0070459C">
            <w:pPr>
              <w:tabs>
                <w:tab w:val="num" w:pos="851"/>
              </w:tabs>
              <w:rPr>
                <w:rFonts w:cs="Arial"/>
                <w:b/>
                <w:bCs/>
                <w:color w:val="000000"/>
                <w:sz w:val="20"/>
                <w:szCs w:val="20"/>
                <w:lang w:eastAsia="en-GB"/>
              </w:rPr>
            </w:pPr>
            <w:r w:rsidRPr="00B960FF">
              <w:rPr>
                <w:rFonts w:cs="Arial"/>
                <w:b/>
                <w:bCs/>
                <w:color w:val="000000"/>
                <w:sz w:val="20"/>
                <w:szCs w:val="20"/>
                <w:lang w:eastAsia="en-GB"/>
              </w:rPr>
              <w:t>Expenditure</w:t>
            </w:r>
          </w:p>
        </w:tc>
        <w:tc>
          <w:tcPr>
            <w:tcW w:w="961" w:type="dxa"/>
            <w:tcBorders>
              <w:top w:val="nil"/>
              <w:left w:val="nil"/>
              <w:bottom w:val="nil"/>
              <w:right w:val="nil"/>
            </w:tcBorders>
            <w:shd w:val="clear" w:color="000000" w:fill="FFFFFF"/>
            <w:noWrap/>
            <w:vAlign w:val="center"/>
            <w:hideMark/>
          </w:tcPr>
          <w:p w14:paraId="684C00F9" w14:textId="77777777" w:rsidR="00B967AB" w:rsidRPr="00B960FF" w:rsidRDefault="00B967AB" w:rsidP="0070459C">
            <w:pPr>
              <w:tabs>
                <w:tab w:val="num" w:pos="851"/>
              </w:tabs>
              <w:rPr>
                <w:rFonts w:cs="Arial"/>
                <w:b/>
                <w:bCs/>
                <w:color w:val="000000"/>
                <w:sz w:val="20"/>
                <w:szCs w:val="20"/>
                <w:lang w:eastAsia="en-GB"/>
              </w:rPr>
            </w:pPr>
            <w:r w:rsidRPr="00B960FF">
              <w:rPr>
                <w:rFonts w:cs="Arial"/>
                <w:b/>
                <w:bCs/>
                <w:color w:val="000000"/>
                <w:sz w:val="20"/>
                <w:szCs w:val="20"/>
                <w:lang w:eastAsia="en-GB"/>
              </w:rPr>
              <w:t> </w:t>
            </w:r>
          </w:p>
        </w:tc>
        <w:tc>
          <w:tcPr>
            <w:tcW w:w="1165" w:type="dxa"/>
            <w:tcBorders>
              <w:top w:val="nil"/>
              <w:left w:val="nil"/>
              <w:bottom w:val="nil"/>
              <w:right w:val="nil"/>
            </w:tcBorders>
            <w:shd w:val="clear" w:color="000000" w:fill="FFFFFF"/>
            <w:noWrap/>
            <w:vAlign w:val="center"/>
            <w:hideMark/>
          </w:tcPr>
          <w:p w14:paraId="46CE517C" w14:textId="77777777" w:rsidR="00B967AB" w:rsidRPr="00B960FF" w:rsidRDefault="00B967AB" w:rsidP="0070459C">
            <w:pPr>
              <w:tabs>
                <w:tab w:val="num" w:pos="851"/>
              </w:tabs>
              <w:rPr>
                <w:rFonts w:cs="Arial"/>
                <w:b/>
                <w:bCs/>
                <w:color w:val="000000"/>
                <w:sz w:val="20"/>
                <w:szCs w:val="20"/>
                <w:lang w:eastAsia="en-GB"/>
              </w:rPr>
            </w:pPr>
            <w:r w:rsidRPr="00B960FF">
              <w:rPr>
                <w:rFonts w:cs="Arial"/>
                <w:b/>
                <w:bCs/>
                <w:color w:val="000000"/>
                <w:sz w:val="20"/>
                <w:szCs w:val="20"/>
                <w:lang w:eastAsia="en-GB"/>
              </w:rPr>
              <w:t> </w:t>
            </w:r>
          </w:p>
        </w:tc>
        <w:tc>
          <w:tcPr>
            <w:tcW w:w="1059" w:type="dxa"/>
            <w:tcBorders>
              <w:top w:val="nil"/>
              <w:left w:val="nil"/>
              <w:bottom w:val="nil"/>
              <w:right w:val="single" w:sz="8" w:space="0" w:color="auto"/>
            </w:tcBorders>
            <w:shd w:val="clear" w:color="000000" w:fill="FFFFFF"/>
            <w:noWrap/>
            <w:vAlign w:val="center"/>
            <w:hideMark/>
          </w:tcPr>
          <w:p w14:paraId="7418D3A4"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r>
      <w:tr w:rsidR="00B967AB" w:rsidRPr="00B960FF" w14:paraId="6A7B78A6" w14:textId="77777777" w:rsidTr="00B967AB">
        <w:trPr>
          <w:trHeight w:val="290"/>
        </w:trPr>
        <w:tc>
          <w:tcPr>
            <w:tcW w:w="961" w:type="dxa"/>
            <w:tcBorders>
              <w:top w:val="nil"/>
              <w:left w:val="single" w:sz="8" w:space="0" w:color="auto"/>
              <w:bottom w:val="nil"/>
              <w:right w:val="nil"/>
            </w:tcBorders>
            <w:shd w:val="clear" w:color="000000" w:fill="FFFFFF"/>
            <w:noWrap/>
            <w:vAlign w:val="center"/>
            <w:hideMark/>
          </w:tcPr>
          <w:p w14:paraId="72CB4921" w14:textId="3A0BDC34" w:rsidR="00B967AB" w:rsidRPr="00B960FF" w:rsidRDefault="00857C1C" w:rsidP="0070459C">
            <w:pPr>
              <w:tabs>
                <w:tab w:val="num" w:pos="851"/>
              </w:tabs>
              <w:jc w:val="right"/>
              <w:rPr>
                <w:rFonts w:cs="Arial"/>
                <w:color w:val="000000"/>
                <w:sz w:val="20"/>
                <w:szCs w:val="20"/>
                <w:lang w:eastAsia="en-GB"/>
              </w:rPr>
            </w:pPr>
            <w:r w:rsidRPr="00B960FF">
              <w:rPr>
                <w:rFonts w:cs="Arial"/>
                <w:color w:val="000000"/>
                <w:sz w:val="20"/>
                <w:szCs w:val="20"/>
                <w:lang w:eastAsia="en-GB"/>
              </w:rPr>
              <w:t>8,394</w:t>
            </w:r>
          </w:p>
        </w:tc>
        <w:tc>
          <w:tcPr>
            <w:tcW w:w="1120" w:type="dxa"/>
            <w:tcBorders>
              <w:top w:val="nil"/>
              <w:left w:val="nil"/>
              <w:bottom w:val="nil"/>
              <w:right w:val="nil"/>
            </w:tcBorders>
            <w:shd w:val="clear" w:color="000000" w:fill="FFFFFF"/>
            <w:noWrap/>
            <w:vAlign w:val="center"/>
            <w:hideMark/>
          </w:tcPr>
          <w:p w14:paraId="7BC168CD" w14:textId="3956A931" w:rsidR="00B967AB" w:rsidRPr="00B960FF" w:rsidRDefault="00857C1C" w:rsidP="0070459C">
            <w:pPr>
              <w:tabs>
                <w:tab w:val="num" w:pos="851"/>
              </w:tabs>
              <w:jc w:val="right"/>
              <w:rPr>
                <w:rFonts w:cs="Arial"/>
                <w:color w:val="000000"/>
                <w:sz w:val="20"/>
                <w:szCs w:val="20"/>
                <w:lang w:eastAsia="en-GB"/>
              </w:rPr>
            </w:pPr>
            <w:r w:rsidRPr="00B960FF">
              <w:rPr>
                <w:rFonts w:cs="Arial"/>
                <w:color w:val="000000"/>
                <w:sz w:val="20"/>
                <w:szCs w:val="20"/>
                <w:lang w:eastAsia="en-GB"/>
              </w:rPr>
              <w:t>1,339</w:t>
            </w:r>
          </w:p>
        </w:tc>
        <w:tc>
          <w:tcPr>
            <w:tcW w:w="1038" w:type="dxa"/>
            <w:tcBorders>
              <w:top w:val="nil"/>
              <w:left w:val="nil"/>
              <w:bottom w:val="nil"/>
              <w:right w:val="nil"/>
            </w:tcBorders>
            <w:shd w:val="clear" w:color="000000" w:fill="FFFFFF"/>
            <w:noWrap/>
            <w:vAlign w:val="center"/>
            <w:hideMark/>
          </w:tcPr>
          <w:p w14:paraId="45DE7D61" w14:textId="2D754471" w:rsidR="00B967AB" w:rsidRPr="00B960FF" w:rsidRDefault="00857C1C" w:rsidP="0070459C">
            <w:pPr>
              <w:tabs>
                <w:tab w:val="num" w:pos="851"/>
              </w:tabs>
              <w:jc w:val="right"/>
              <w:rPr>
                <w:rFonts w:cs="Arial"/>
                <w:color w:val="000000"/>
                <w:sz w:val="20"/>
                <w:szCs w:val="20"/>
                <w:lang w:eastAsia="en-GB"/>
              </w:rPr>
            </w:pPr>
            <w:r w:rsidRPr="00B960FF">
              <w:rPr>
                <w:rFonts w:cs="Arial"/>
                <w:color w:val="000000"/>
                <w:sz w:val="20"/>
                <w:szCs w:val="20"/>
                <w:lang w:eastAsia="en-GB"/>
              </w:rPr>
              <w:t>9,733</w:t>
            </w:r>
          </w:p>
        </w:tc>
        <w:tc>
          <w:tcPr>
            <w:tcW w:w="4111" w:type="dxa"/>
            <w:tcBorders>
              <w:top w:val="nil"/>
              <w:left w:val="nil"/>
              <w:bottom w:val="nil"/>
              <w:right w:val="nil"/>
            </w:tcBorders>
            <w:shd w:val="clear" w:color="000000" w:fill="FFFFFF"/>
            <w:noWrap/>
            <w:vAlign w:val="center"/>
            <w:hideMark/>
          </w:tcPr>
          <w:p w14:paraId="037CC44A"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Employee benefits expenses *</w:t>
            </w:r>
          </w:p>
        </w:tc>
        <w:tc>
          <w:tcPr>
            <w:tcW w:w="961" w:type="dxa"/>
            <w:tcBorders>
              <w:top w:val="nil"/>
              <w:left w:val="nil"/>
              <w:bottom w:val="nil"/>
              <w:right w:val="nil"/>
            </w:tcBorders>
            <w:shd w:val="clear" w:color="000000" w:fill="FFFFFF"/>
            <w:noWrap/>
            <w:vAlign w:val="center"/>
            <w:hideMark/>
          </w:tcPr>
          <w:p w14:paraId="6482FA63" w14:textId="4C65E43E"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8,</w:t>
            </w:r>
            <w:r w:rsidR="00B960FF">
              <w:rPr>
                <w:rFonts w:cs="Arial"/>
                <w:color w:val="000000"/>
                <w:sz w:val="20"/>
                <w:szCs w:val="20"/>
                <w:lang w:eastAsia="en-GB"/>
              </w:rPr>
              <w:t>588</w:t>
            </w:r>
          </w:p>
        </w:tc>
        <w:tc>
          <w:tcPr>
            <w:tcW w:w="1165" w:type="dxa"/>
            <w:tcBorders>
              <w:top w:val="nil"/>
              <w:left w:val="nil"/>
              <w:bottom w:val="nil"/>
              <w:right w:val="nil"/>
            </w:tcBorders>
            <w:shd w:val="clear" w:color="000000" w:fill="FFFFFF"/>
            <w:noWrap/>
            <w:vAlign w:val="center"/>
            <w:hideMark/>
          </w:tcPr>
          <w:p w14:paraId="0FCC87F4" w14:textId="614D5715" w:rsidR="00B967AB" w:rsidRPr="00B960FF" w:rsidRDefault="00B960FF" w:rsidP="0070459C">
            <w:pPr>
              <w:tabs>
                <w:tab w:val="num" w:pos="851"/>
              </w:tabs>
              <w:jc w:val="right"/>
              <w:rPr>
                <w:rFonts w:cs="Arial"/>
                <w:color w:val="000000"/>
                <w:sz w:val="20"/>
                <w:szCs w:val="20"/>
                <w:lang w:eastAsia="en-GB"/>
              </w:rPr>
            </w:pPr>
            <w:r>
              <w:rPr>
                <w:rFonts w:cs="Arial"/>
                <w:color w:val="000000"/>
                <w:sz w:val="20"/>
                <w:szCs w:val="20"/>
                <w:lang w:eastAsia="en-GB"/>
              </w:rPr>
              <w:t>(5)</w:t>
            </w:r>
          </w:p>
        </w:tc>
        <w:tc>
          <w:tcPr>
            <w:tcW w:w="1059" w:type="dxa"/>
            <w:tcBorders>
              <w:top w:val="nil"/>
              <w:left w:val="nil"/>
              <w:bottom w:val="nil"/>
              <w:right w:val="single" w:sz="8" w:space="0" w:color="auto"/>
            </w:tcBorders>
            <w:shd w:val="clear" w:color="000000" w:fill="FFFFFF"/>
            <w:noWrap/>
            <w:vAlign w:val="center"/>
            <w:hideMark/>
          </w:tcPr>
          <w:p w14:paraId="348842E7" w14:textId="1678CA62" w:rsidR="00B967AB" w:rsidRPr="00B960FF" w:rsidRDefault="00B960FF" w:rsidP="0070459C">
            <w:pPr>
              <w:tabs>
                <w:tab w:val="num" w:pos="851"/>
              </w:tabs>
              <w:jc w:val="right"/>
              <w:rPr>
                <w:rFonts w:cs="Arial"/>
                <w:color w:val="000000"/>
                <w:sz w:val="20"/>
                <w:szCs w:val="20"/>
                <w:lang w:eastAsia="en-GB"/>
              </w:rPr>
            </w:pPr>
            <w:r>
              <w:rPr>
                <w:rFonts w:cs="Arial"/>
                <w:color w:val="000000"/>
                <w:sz w:val="20"/>
                <w:szCs w:val="20"/>
                <w:lang w:eastAsia="en-GB"/>
              </w:rPr>
              <w:t>8,583</w:t>
            </w:r>
          </w:p>
        </w:tc>
      </w:tr>
      <w:tr w:rsidR="00B967AB" w:rsidRPr="00B960FF" w14:paraId="597D94D5" w14:textId="77777777" w:rsidTr="00B967AB">
        <w:trPr>
          <w:trHeight w:val="290"/>
        </w:trPr>
        <w:tc>
          <w:tcPr>
            <w:tcW w:w="961" w:type="dxa"/>
            <w:tcBorders>
              <w:top w:val="nil"/>
              <w:left w:val="single" w:sz="8" w:space="0" w:color="auto"/>
              <w:bottom w:val="nil"/>
              <w:right w:val="nil"/>
            </w:tcBorders>
            <w:shd w:val="clear" w:color="000000" w:fill="FFFFFF"/>
            <w:noWrap/>
            <w:vAlign w:val="center"/>
            <w:hideMark/>
          </w:tcPr>
          <w:p w14:paraId="1DD06541" w14:textId="78A7900A"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6,</w:t>
            </w:r>
            <w:r w:rsidR="00857C1C" w:rsidRPr="00B960FF">
              <w:rPr>
                <w:rFonts w:cs="Arial"/>
                <w:color w:val="000000"/>
                <w:sz w:val="20"/>
                <w:szCs w:val="20"/>
                <w:lang w:eastAsia="en-GB"/>
              </w:rPr>
              <w:t>495</w:t>
            </w:r>
          </w:p>
        </w:tc>
        <w:tc>
          <w:tcPr>
            <w:tcW w:w="1120" w:type="dxa"/>
            <w:tcBorders>
              <w:top w:val="nil"/>
              <w:left w:val="nil"/>
              <w:bottom w:val="nil"/>
              <w:right w:val="nil"/>
            </w:tcBorders>
            <w:shd w:val="clear" w:color="000000" w:fill="FFFFFF"/>
            <w:noWrap/>
            <w:vAlign w:val="center"/>
            <w:hideMark/>
          </w:tcPr>
          <w:p w14:paraId="5EC92622" w14:textId="4D09884E" w:rsidR="00B967AB" w:rsidRPr="00B960FF" w:rsidRDefault="00857C1C" w:rsidP="0070459C">
            <w:pPr>
              <w:tabs>
                <w:tab w:val="num" w:pos="851"/>
              </w:tabs>
              <w:jc w:val="right"/>
              <w:rPr>
                <w:rFonts w:cs="Arial"/>
                <w:color w:val="000000"/>
                <w:sz w:val="20"/>
                <w:szCs w:val="20"/>
                <w:lang w:eastAsia="en-GB"/>
              </w:rPr>
            </w:pPr>
            <w:r w:rsidRPr="00B960FF">
              <w:rPr>
                <w:rFonts w:cs="Arial"/>
                <w:color w:val="000000"/>
                <w:sz w:val="20"/>
                <w:szCs w:val="20"/>
                <w:lang w:eastAsia="en-GB"/>
              </w:rPr>
              <w:t>1,293</w:t>
            </w:r>
          </w:p>
        </w:tc>
        <w:tc>
          <w:tcPr>
            <w:tcW w:w="1038" w:type="dxa"/>
            <w:tcBorders>
              <w:top w:val="nil"/>
              <w:left w:val="nil"/>
              <w:bottom w:val="nil"/>
              <w:right w:val="nil"/>
            </w:tcBorders>
            <w:shd w:val="clear" w:color="000000" w:fill="FFFFFF"/>
            <w:noWrap/>
            <w:vAlign w:val="center"/>
            <w:hideMark/>
          </w:tcPr>
          <w:p w14:paraId="65C8D70B" w14:textId="7A24F64E" w:rsidR="00B967AB" w:rsidRPr="00B960FF" w:rsidRDefault="00857C1C" w:rsidP="0070459C">
            <w:pPr>
              <w:tabs>
                <w:tab w:val="num" w:pos="851"/>
              </w:tabs>
              <w:jc w:val="right"/>
              <w:rPr>
                <w:rFonts w:cs="Arial"/>
                <w:color w:val="000000"/>
                <w:sz w:val="20"/>
                <w:szCs w:val="20"/>
                <w:lang w:eastAsia="en-GB"/>
              </w:rPr>
            </w:pPr>
            <w:r w:rsidRPr="00B960FF">
              <w:rPr>
                <w:rFonts w:cs="Arial"/>
                <w:color w:val="000000"/>
                <w:sz w:val="20"/>
                <w:szCs w:val="20"/>
                <w:lang w:eastAsia="en-GB"/>
              </w:rPr>
              <w:t>7,788</w:t>
            </w:r>
          </w:p>
        </w:tc>
        <w:tc>
          <w:tcPr>
            <w:tcW w:w="4111" w:type="dxa"/>
            <w:tcBorders>
              <w:top w:val="nil"/>
              <w:left w:val="nil"/>
              <w:bottom w:val="nil"/>
              <w:right w:val="nil"/>
            </w:tcBorders>
            <w:shd w:val="clear" w:color="000000" w:fill="FFFFFF"/>
            <w:noWrap/>
            <w:vAlign w:val="center"/>
            <w:hideMark/>
          </w:tcPr>
          <w:p w14:paraId="64EEA207"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Other service expenses *</w:t>
            </w:r>
          </w:p>
        </w:tc>
        <w:tc>
          <w:tcPr>
            <w:tcW w:w="961" w:type="dxa"/>
            <w:tcBorders>
              <w:top w:val="nil"/>
              <w:left w:val="nil"/>
              <w:bottom w:val="nil"/>
              <w:right w:val="nil"/>
            </w:tcBorders>
            <w:shd w:val="clear" w:color="000000" w:fill="FFFFFF"/>
            <w:noWrap/>
            <w:vAlign w:val="center"/>
            <w:hideMark/>
          </w:tcPr>
          <w:p w14:paraId="31CAC900" w14:textId="699091EA" w:rsidR="00B967AB" w:rsidRPr="00B960FF" w:rsidRDefault="00B960FF" w:rsidP="0070459C">
            <w:pPr>
              <w:tabs>
                <w:tab w:val="num" w:pos="851"/>
              </w:tabs>
              <w:jc w:val="right"/>
              <w:rPr>
                <w:rFonts w:cs="Arial"/>
                <w:color w:val="000000"/>
                <w:sz w:val="20"/>
                <w:szCs w:val="20"/>
                <w:lang w:eastAsia="en-GB"/>
              </w:rPr>
            </w:pPr>
            <w:r>
              <w:rPr>
                <w:rFonts w:cs="Arial"/>
                <w:color w:val="000000"/>
                <w:sz w:val="20"/>
                <w:szCs w:val="20"/>
                <w:lang w:eastAsia="en-GB"/>
              </w:rPr>
              <w:t>7,613</w:t>
            </w:r>
          </w:p>
        </w:tc>
        <w:tc>
          <w:tcPr>
            <w:tcW w:w="1165" w:type="dxa"/>
            <w:tcBorders>
              <w:top w:val="nil"/>
              <w:left w:val="nil"/>
              <w:bottom w:val="nil"/>
              <w:right w:val="nil"/>
            </w:tcBorders>
            <w:shd w:val="clear" w:color="000000" w:fill="FFFFFF"/>
            <w:noWrap/>
            <w:vAlign w:val="center"/>
            <w:hideMark/>
          </w:tcPr>
          <w:p w14:paraId="4B8DD267" w14:textId="0E2B0FFD" w:rsidR="00B967AB" w:rsidRPr="00B960FF" w:rsidRDefault="00B960FF" w:rsidP="0070459C">
            <w:pPr>
              <w:tabs>
                <w:tab w:val="num" w:pos="851"/>
              </w:tabs>
              <w:jc w:val="right"/>
              <w:rPr>
                <w:rFonts w:cs="Arial"/>
                <w:color w:val="000000"/>
                <w:sz w:val="20"/>
                <w:szCs w:val="20"/>
                <w:lang w:eastAsia="en-GB"/>
              </w:rPr>
            </w:pPr>
            <w:r>
              <w:rPr>
                <w:rFonts w:cs="Arial"/>
                <w:color w:val="000000"/>
                <w:sz w:val="20"/>
                <w:szCs w:val="20"/>
                <w:lang w:eastAsia="en-GB"/>
              </w:rPr>
              <w:t>314</w:t>
            </w:r>
          </w:p>
        </w:tc>
        <w:tc>
          <w:tcPr>
            <w:tcW w:w="1059" w:type="dxa"/>
            <w:tcBorders>
              <w:top w:val="nil"/>
              <w:left w:val="nil"/>
              <w:bottom w:val="nil"/>
              <w:right w:val="single" w:sz="8" w:space="0" w:color="auto"/>
            </w:tcBorders>
            <w:shd w:val="clear" w:color="000000" w:fill="FFFFFF"/>
            <w:noWrap/>
            <w:vAlign w:val="center"/>
            <w:hideMark/>
          </w:tcPr>
          <w:p w14:paraId="1ACD853F" w14:textId="277CE1E0" w:rsidR="00B967AB" w:rsidRPr="00B960FF" w:rsidRDefault="00B960FF" w:rsidP="0070459C">
            <w:pPr>
              <w:tabs>
                <w:tab w:val="num" w:pos="851"/>
              </w:tabs>
              <w:jc w:val="right"/>
              <w:rPr>
                <w:rFonts w:cs="Arial"/>
                <w:color w:val="000000"/>
                <w:sz w:val="20"/>
                <w:szCs w:val="20"/>
                <w:lang w:eastAsia="en-GB"/>
              </w:rPr>
            </w:pPr>
            <w:r>
              <w:rPr>
                <w:rFonts w:cs="Arial"/>
                <w:color w:val="000000"/>
                <w:sz w:val="20"/>
                <w:szCs w:val="20"/>
                <w:lang w:eastAsia="en-GB"/>
              </w:rPr>
              <w:t>7,927</w:t>
            </w:r>
          </w:p>
        </w:tc>
      </w:tr>
      <w:tr w:rsidR="00B967AB" w:rsidRPr="00B960FF" w14:paraId="19B62602" w14:textId="77777777" w:rsidTr="00B967AB">
        <w:trPr>
          <w:trHeight w:val="290"/>
        </w:trPr>
        <w:tc>
          <w:tcPr>
            <w:tcW w:w="961" w:type="dxa"/>
            <w:tcBorders>
              <w:top w:val="nil"/>
              <w:left w:val="single" w:sz="8" w:space="0" w:color="auto"/>
              <w:bottom w:val="nil"/>
              <w:right w:val="nil"/>
            </w:tcBorders>
            <w:shd w:val="clear" w:color="000000" w:fill="FFFFFF"/>
            <w:noWrap/>
            <w:vAlign w:val="center"/>
            <w:hideMark/>
          </w:tcPr>
          <w:p w14:paraId="41C38C24" w14:textId="55EE2C1F" w:rsidR="00B967AB" w:rsidRPr="00B960FF" w:rsidRDefault="00857C1C" w:rsidP="0070459C">
            <w:pPr>
              <w:tabs>
                <w:tab w:val="num" w:pos="851"/>
              </w:tabs>
              <w:jc w:val="right"/>
              <w:rPr>
                <w:rFonts w:cs="Arial"/>
                <w:color w:val="000000"/>
                <w:sz w:val="20"/>
                <w:szCs w:val="20"/>
                <w:lang w:eastAsia="en-GB"/>
              </w:rPr>
            </w:pPr>
            <w:r w:rsidRPr="00B960FF">
              <w:rPr>
                <w:rFonts w:cs="Arial"/>
                <w:color w:val="000000"/>
                <w:sz w:val="20"/>
                <w:szCs w:val="20"/>
                <w:lang w:eastAsia="en-GB"/>
              </w:rPr>
              <w:t>0</w:t>
            </w:r>
          </w:p>
        </w:tc>
        <w:tc>
          <w:tcPr>
            <w:tcW w:w="1120" w:type="dxa"/>
            <w:tcBorders>
              <w:top w:val="nil"/>
              <w:left w:val="nil"/>
              <w:bottom w:val="nil"/>
              <w:right w:val="nil"/>
            </w:tcBorders>
            <w:shd w:val="clear" w:color="000000" w:fill="FFFFFF"/>
            <w:noWrap/>
            <w:vAlign w:val="center"/>
            <w:hideMark/>
          </w:tcPr>
          <w:p w14:paraId="05E415FA" w14:textId="33DBF3D7" w:rsidR="00B967AB" w:rsidRPr="00B960FF" w:rsidRDefault="00883600" w:rsidP="0070459C">
            <w:pPr>
              <w:tabs>
                <w:tab w:val="num" w:pos="851"/>
              </w:tabs>
              <w:jc w:val="right"/>
              <w:rPr>
                <w:rFonts w:cs="Arial"/>
                <w:color w:val="000000"/>
                <w:sz w:val="20"/>
                <w:szCs w:val="20"/>
                <w:lang w:eastAsia="en-GB"/>
              </w:rPr>
            </w:pPr>
            <w:r w:rsidRPr="00B960FF">
              <w:rPr>
                <w:rFonts w:cs="Arial"/>
                <w:color w:val="000000"/>
                <w:sz w:val="20"/>
                <w:szCs w:val="20"/>
                <w:lang w:eastAsia="en-GB"/>
              </w:rPr>
              <w:t>1,003</w:t>
            </w:r>
          </w:p>
        </w:tc>
        <w:tc>
          <w:tcPr>
            <w:tcW w:w="1038" w:type="dxa"/>
            <w:tcBorders>
              <w:top w:val="nil"/>
              <w:left w:val="nil"/>
              <w:bottom w:val="nil"/>
              <w:right w:val="nil"/>
            </w:tcBorders>
            <w:shd w:val="clear" w:color="000000" w:fill="FFFFFF"/>
            <w:noWrap/>
            <w:vAlign w:val="center"/>
            <w:hideMark/>
          </w:tcPr>
          <w:p w14:paraId="1A2BC395" w14:textId="2A1BEB56" w:rsidR="00B967AB" w:rsidRPr="00B960FF" w:rsidRDefault="00883600" w:rsidP="0070459C">
            <w:pPr>
              <w:tabs>
                <w:tab w:val="num" w:pos="851"/>
              </w:tabs>
              <w:jc w:val="right"/>
              <w:rPr>
                <w:rFonts w:cs="Arial"/>
                <w:color w:val="000000"/>
                <w:sz w:val="20"/>
                <w:szCs w:val="20"/>
                <w:lang w:eastAsia="en-GB"/>
              </w:rPr>
            </w:pPr>
            <w:r w:rsidRPr="00B960FF">
              <w:rPr>
                <w:rFonts w:cs="Arial"/>
                <w:color w:val="000000"/>
                <w:sz w:val="20"/>
                <w:szCs w:val="20"/>
                <w:lang w:eastAsia="en-GB"/>
              </w:rPr>
              <w:t>1,003</w:t>
            </w:r>
          </w:p>
        </w:tc>
        <w:tc>
          <w:tcPr>
            <w:tcW w:w="4111" w:type="dxa"/>
            <w:tcBorders>
              <w:top w:val="nil"/>
              <w:left w:val="nil"/>
              <w:bottom w:val="nil"/>
              <w:right w:val="nil"/>
            </w:tcBorders>
            <w:shd w:val="clear" w:color="000000" w:fill="FFFFFF"/>
            <w:noWrap/>
            <w:vAlign w:val="center"/>
            <w:hideMark/>
          </w:tcPr>
          <w:p w14:paraId="1BFAE19B"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Depreciation, amortisation and revaluation *</w:t>
            </w:r>
          </w:p>
        </w:tc>
        <w:tc>
          <w:tcPr>
            <w:tcW w:w="961" w:type="dxa"/>
            <w:tcBorders>
              <w:top w:val="nil"/>
              <w:left w:val="nil"/>
              <w:bottom w:val="nil"/>
              <w:right w:val="nil"/>
            </w:tcBorders>
            <w:shd w:val="clear" w:color="000000" w:fill="FFFFFF"/>
            <w:noWrap/>
            <w:vAlign w:val="center"/>
            <w:hideMark/>
          </w:tcPr>
          <w:p w14:paraId="02ADACD0" w14:textId="77777777"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0</w:t>
            </w:r>
          </w:p>
        </w:tc>
        <w:tc>
          <w:tcPr>
            <w:tcW w:w="1165" w:type="dxa"/>
            <w:tcBorders>
              <w:top w:val="nil"/>
              <w:left w:val="nil"/>
              <w:bottom w:val="nil"/>
              <w:right w:val="nil"/>
            </w:tcBorders>
            <w:shd w:val="clear" w:color="000000" w:fill="FFFFFF"/>
            <w:noWrap/>
            <w:vAlign w:val="center"/>
            <w:hideMark/>
          </w:tcPr>
          <w:p w14:paraId="5BCB4F33" w14:textId="6469C1E6"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1,</w:t>
            </w:r>
            <w:r w:rsidR="00B960FF">
              <w:rPr>
                <w:rFonts w:cs="Arial"/>
                <w:color w:val="000000"/>
                <w:sz w:val="20"/>
                <w:szCs w:val="20"/>
                <w:lang w:eastAsia="en-GB"/>
              </w:rPr>
              <w:t>468</w:t>
            </w:r>
          </w:p>
        </w:tc>
        <w:tc>
          <w:tcPr>
            <w:tcW w:w="1059" w:type="dxa"/>
            <w:tcBorders>
              <w:top w:val="nil"/>
              <w:left w:val="nil"/>
              <w:bottom w:val="nil"/>
              <w:right w:val="single" w:sz="8" w:space="0" w:color="auto"/>
            </w:tcBorders>
            <w:shd w:val="clear" w:color="000000" w:fill="FFFFFF"/>
            <w:noWrap/>
            <w:vAlign w:val="center"/>
            <w:hideMark/>
          </w:tcPr>
          <w:p w14:paraId="21AA34BE" w14:textId="6355DA2E"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1,</w:t>
            </w:r>
            <w:r w:rsidR="00B960FF">
              <w:rPr>
                <w:rFonts w:cs="Arial"/>
                <w:color w:val="000000"/>
                <w:sz w:val="20"/>
                <w:szCs w:val="20"/>
                <w:lang w:eastAsia="en-GB"/>
              </w:rPr>
              <w:t>468</w:t>
            </w:r>
          </w:p>
        </w:tc>
      </w:tr>
      <w:tr w:rsidR="00B967AB" w:rsidRPr="00B960FF" w14:paraId="441CC4E7" w14:textId="77777777" w:rsidTr="00B967AB">
        <w:trPr>
          <w:trHeight w:val="290"/>
        </w:trPr>
        <w:tc>
          <w:tcPr>
            <w:tcW w:w="961" w:type="dxa"/>
            <w:tcBorders>
              <w:top w:val="nil"/>
              <w:left w:val="single" w:sz="8" w:space="0" w:color="auto"/>
              <w:bottom w:val="nil"/>
              <w:right w:val="nil"/>
            </w:tcBorders>
            <w:shd w:val="clear" w:color="000000" w:fill="FFFFFF"/>
            <w:noWrap/>
            <w:vAlign w:val="center"/>
            <w:hideMark/>
          </w:tcPr>
          <w:p w14:paraId="7BDCCB0D" w14:textId="45837314" w:rsidR="00B967AB" w:rsidRPr="00B960FF" w:rsidRDefault="00883600" w:rsidP="0070459C">
            <w:pPr>
              <w:tabs>
                <w:tab w:val="num" w:pos="851"/>
              </w:tabs>
              <w:jc w:val="right"/>
              <w:rPr>
                <w:rFonts w:cs="Arial"/>
                <w:color w:val="000000"/>
                <w:sz w:val="20"/>
                <w:szCs w:val="20"/>
                <w:lang w:eastAsia="en-GB"/>
              </w:rPr>
            </w:pPr>
            <w:r w:rsidRPr="00B960FF">
              <w:rPr>
                <w:rFonts w:cs="Arial"/>
                <w:color w:val="000000"/>
                <w:sz w:val="20"/>
                <w:szCs w:val="20"/>
                <w:lang w:eastAsia="en-GB"/>
              </w:rPr>
              <w:t>0</w:t>
            </w:r>
          </w:p>
        </w:tc>
        <w:tc>
          <w:tcPr>
            <w:tcW w:w="1120" w:type="dxa"/>
            <w:tcBorders>
              <w:top w:val="nil"/>
              <w:left w:val="nil"/>
              <w:bottom w:val="nil"/>
              <w:right w:val="nil"/>
            </w:tcBorders>
            <w:shd w:val="clear" w:color="000000" w:fill="FFFFFF"/>
            <w:noWrap/>
            <w:vAlign w:val="center"/>
            <w:hideMark/>
          </w:tcPr>
          <w:p w14:paraId="6066B7FE" w14:textId="163F7DDD" w:rsidR="00B967AB" w:rsidRPr="00B960FF" w:rsidRDefault="00883600" w:rsidP="0070459C">
            <w:pPr>
              <w:tabs>
                <w:tab w:val="num" w:pos="851"/>
              </w:tabs>
              <w:jc w:val="right"/>
              <w:rPr>
                <w:rFonts w:cs="Arial"/>
                <w:color w:val="000000"/>
                <w:sz w:val="20"/>
                <w:szCs w:val="20"/>
                <w:lang w:eastAsia="en-GB"/>
              </w:rPr>
            </w:pPr>
            <w:r w:rsidRPr="00B960FF">
              <w:rPr>
                <w:rFonts w:cs="Arial"/>
                <w:color w:val="000000"/>
                <w:sz w:val="20"/>
                <w:szCs w:val="20"/>
                <w:lang w:eastAsia="en-GB"/>
              </w:rPr>
              <w:t>64</w:t>
            </w:r>
          </w:p>
        </w:tc>
        <w:tc>
          <w:tcPr>
            <w:tcW w:w="1038" w:type="dxa"/>
            <w:tcBorders>
              <w:top w:val="nil"/>
              <w:left w:val="nil"/>
              <w:bottom w:val="nil"/>
              <w:right w:val="nil"/>
            </w:tcBorders>
            <w:shd w:val="clear" w:color="000000" w:fill="FFFFFF"/>
            <w:noWrap/>
            <w:vAlign w:val="center"/>
            <w:hideMark/>
          </w:tcPr>
          <w:p w14:paraId="5FAD784B" w14:textId="056010EF" w:rsidR="00B967AB" w:rsidRPr="00B960FF" w:rsidRDefault="00883600" w:rsidP="0070459C">
            <w:pPr>
              <w:tabs>
                <w:tab w:val="num" w:pos="851"/>
              </w:tabs>
              <w:jc w:val="right"/>
              <w:rPr>
                <w:rFonts w:cs="Arial"/>
                <w:color w:val="000000"/>
                <w:sz w:val="20"/>
                <w:szCs w:val="20"/>
                <w:lang w:eastAsia="en-GB"/>
              </w:rPr>
            </w:pPr>
            <w:r w:rsidRPr="00B960FF">
              <w:rPr>
                <w:rFonts w:cs="Arial"/>
                <w:color w:val="000000"/>
                <w:sz w:val="20"/>
                <w:szCs w:val="20"/>
                <w:lang w:eastAsia="en-GB"/>
              </w:rPr>
              <w:t>64</w:t>
            </w:r>
          </w:p>
        </w:tc>
        <w:tc>
          <w:tcPr>
            <w:tcW w:w="4111" w:type="dxa"/>
            <w:tcBorders>
              <w:top w:val="nil"/>
              <w:left w:val="nil"/>
              <w:bottom w:val="nil"/>
              <w:right w:val="nil"/>
            </w:tcBorders>
            <w:shd w:val="clear" w:color="000000" w:fill="FFFFFF"/>
            <w:noWrap/>
            <w:vAlign w:val="center"/>
            <w:hideMark/>
          </w:tcPr>
          <w:p w14:paraId="1CECBA1A"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Loss on disposal of non current assets</w:t>
            </w:r>
          </w:p>
        </w:tc>
        <w:tc>
          <w:tcPr>
            <w:tcW w:w="961" w:type="dxa"/>
            <w:tcBorders>
              <w:top w:val="nil"/>
              <w:left w:val="nil"/>
              <w:bottom w:val="nil"/>
              <w:right w:val="nil"/>
            </w:tcBorders>
            <w:shd w:val="clear" w:color="000000" w:fill="FFFFFF"/>
            <w:noWrap/>
            <w:vAlign w:val="center"/>
            <w:hideMark/>
          </w:tcPr>
          <w:p w14:paraId="40AC3DA7" w14:textId="77777777"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0</w:t>
            </w:r>
          </w:p>
        </w:tc>
        <w:tc>
          <w:tcPr>
            <w:tcW w:w="1165" w:type="dxa"/>
            <w:tcBorders>
              <w:top w:val="nil"/>
              <w:left w:val="nil"/>
              <w:bottom w:val="nil"/>
              <w:right w:val="nil"/>
            </w:tcBorders>
            <w:shd w:val="clear" w:color="000000" w:fill="FFFFFF"/>
            <w:noWrap/>
            <w:vAlign w:val="center"/>
            <w:hideMark/>
          </w:tcPr>
          <w:p w14:paraId="2AC61114" w14:textId="453E491C" w:rsidR="00B967AB" w:rsidRPr="00B960FF" w:rsidRDefault="00B960FF" w:rsidP="0070459C">
            <w:pPr>
              <w:tabs>
                <w:tab w:val="num" w:pos="851"/>
              </w:tabs>
              <w:jc w:val="right"/>
              <w:rPr>
                <w:rFonts w:cs="Arial"/>
                <w:color w:val="000000"/>
                <w:sz w:val="20"/>
                <w:szCs w:val="20"/>
                <w:lang w:eastAsia="en-GB"/>
              </w:rPr>
            </w:pPr>
            <w:r>
              <w:rPr>
                <w:rFonts w:cs="Arial"/>
                <w:color w:val="000000"/>
                <w:sz w:val="20"/>
                <w:szCs w:val="20"/>
                <w:lang w:eastAsia="en-GB"/>
              </w:rPr>
              <w:t>139</w:t>
            </w:r>
          </w:p>
        </w:tc>
        <w:tc>
          <w:tcPr>
            <w:tcW w:w="1059" w:type="dxa"/>
            <w:tcBorders>
              <w:top w:val="nil"/>
              <w:left w:val="nil"/>
              <w:bottom w:val="nil"/>
              <w:right w:val="single" w:sz="8" w:space="0" w:color="auto"/>
            </w:tcBorders>
            <w:shd w:val="clear" w:color="000000" w:fill="FFFFFF"/>
            <w:noWrap/>
            <w:vAlign w:val="center"/>
            <w:hideMark/>
          </w:tcPr>
          <w:p w14:paraId="0B89E4D7" w14:textId="2B7D6A92" w:rsidR="00B967AB" w:rsidRPr="00B960FF" w:rsidRDefault="00B960FF" w:rsidP="0070459C">
            <w:pPr>
              <w:tabs>
                <w:tab w:val="num" w:pos="851"/>
              </w:tabs>
              <w:jc w:val="right"/>
              <w:rPr>
                <w:rFonts w:cs="Arial"/>
                <w:color w:val="000000"/>
                <w:sz w:val="20"/>
                <w:szCs w:val="20"/>
                <w:lang w:eastAsia="en-GB"/>
              </w:rPr>
            </w:pPr>
            <w:r>
              <w:rPr>
                <w:rFonts w:cs="Arial"/>
                <w:color w:val="000000"/>
                <w:sz w:val="20"/>
                <w:szCs w:val="20"/>
                <w:lang w:eastAsia="en-GB"/>
              </w:rPr>
              <w:t>139</w:t>
            </w:r>
          </w:p>
        </w:tc>
      </w:tr>
      <w:tr w:rsidR="00B967AB" w:rsidRPr="00B960FF" w14:paraId="7742DC59" w14:textId="77777777" w:rsidTr="00B967AB">
        <w:trPr>
          <w:trHeight w:val="290"/>
        </w:trPr>
        <w:tc>
          <w:tcPr>
            <w:tcW w:w="961" w:type="dxa"/>
            <w:tcBorders>
              <w:top w:val="nil"/>
              <w:left w:val="single" w:sz="8" w:space="0" w:color="auto"/>
              <w:bottom w:val="nil"/>
              <w:right w:val="nil"/>
            </w:tcBorders>
            <w:shd w:val="clear" w:color="000000" w:fill="FFFFFF"/>
            <w:noWrap/>
            <w:vAlign w:val="center"/>
            <w:hideMark/>
          </w:tcPr>
          <w:p w14:paraId="1EBA9F9F" w14:textId="77777777"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0</w:t>
            </w:r>
          </w:p>
        </w:tc>
        <w:tc>
          <w:tcPr>
            <w:tcW w:w="1120" w:type="dxa"/>
            <w:tcBorders>
              <w:top w:val="nil"/>
              <w:left w:val="nil"/>
              <w:bottom w:val="nil"/>
              <w:right w:val="nil"/>
            </w:tcBorders>
            <w:shd w:val="clear" w:color="000000" w:fill="FFFFFF"/>
            <w:noWrap/>
            <w:vAlign w:val="center"/>
            <w:hideMark/>
          </w:tcPr>
          <w:p w14:paraId="788A5819" w14:textId="43F4750A" w:rsidR="00B967AB" w:rsidRPr="00B960FF" w:rsidRDefault="00883600" w:rsidP="0070459C">
            <w:pPr>
              <w:tabs>
                <w:tab w:val="num" w:pos="851"/>
              </w:tabs>
              <w:jc w:val="right"/>
              <w:rPr>
                <w:rFonts w:cs="Arial"/>
                <w:color w:val="000000"/>
                <w:sz w:val="20"/>
                <w:szCs w:val="20"/>
                <w:lang w:eastAsia="en-GB"/>
              </w:rPr>
            </w:pPr>
            <w:r w:rsidRPr="00B960FF">
              <w:rPr>
                <w:rFonts w:cs="Arial"/>
                <w:color w:val="000000"/>
                <w:sz w:val="20"/>
                <w:szCs w:val="20"/>
                <w:lang w:eastAsia="en-GB"/>
              </w:rPr>
              <w:t>477</w:t>
            </w:r>
          </w:p>
        </w:tc>
        <w:tc>
          <w:tcPr>
            <w:tcW w:w="1038" w:type="dxa"/>
            <w:tcBorders>
              <w:top w:val="nil"/>
              <w:left w:val="nil"/>
              <w:bottom w:val="nil"/>
              <w:right w:val="nil"/>
            </w:tcBorders>
            <w:shd w:val="clear" w:color="000000" w:fill="FFFFFF"/>
            <w:noWrap/>
            <w:vAlign w:val="center"/>
            <w:hideMark/>
          </w:tcPr>
          <w:p w14:paraId="6E629FE7" w14:textId="1DFBE4C2" w:rsidR="00B967AB" w:rsidRPr="00B960FF" w:rsidRDefault="00883600" w:rsidP="0070459C">
            <w:pPr>
              <w:tabs>
                <w:tab w:val="num" w:pos="851"/>
              </w:tabs>
              <w:jc w:val="right"/>
              <w:rPr>
                <w:rFonts w:cs="Arial"/>
                <w:color w:val="000000"/>
                <w:sz w:val="20"/>
                <w:szCs w:val="20"/>
                <w:lang w:eastAsia="en-GB"/>
              </w:rPr>
            </w:pPr>
            <w:r w:rsidRPr="00B960FF">
              <w:rPr>
                <w:rFonts w:cs="Arial"/>
                <w:color w:val="000000"/>
                <w:sz w:val="20"/>
                <w:szCs w:val="20"/>
                <w:lang w:eastAsia="en-GB"/>
              </w:rPr>
              <w:t>477</w:t>
            </w:r>
          </w:p>
        </w:tc>
        <w:tc>
          <w:tcPr>
            <w:tcW w:w="4111" w:type="dxa"/>
            <w:tcBorders>
              <w:top w:val="nil"/>
              <w:left w:val="nil"/>
              <w:bottom w:val="nil"/>
              <w:right w:val="nil"/>
            </w:tcBorders>
            <w:shd w:val="clear" w:color="000000" w:fill="FFFFFF"/>
            <w:noWrap/>
            <w:vAlign w:val="center"/>
            <w:hideMark/>
          </w:tcPr>
          <w:p w14:paraId="589D659D"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Interest payments (IAS 19 - non cash)</w:t>
            </w:r>
          </w:p>
        </w:tc>
        <w:tc>
          <w:tcPr>
            <w:tcW w:w="961" w:type="dxa"/>
            <w:tcBorders>
              <w:top w:val="nil"/>
              <w:left w:val="nil"/>
              <w:bottom w:val="nil"/>
              <w:right w:val="nil"/>
            </w:tcBorders>
            <w:shd w:val="clear" w:color="000000" w:fill="FFFFFF"/>
            <w:noWrap/>
            <w:vAlign w:val="center"/>
            <w:hideMark/>
          </w:tcPr>
          <w:p w14:paraId="29502C40" w14:textId="77777777"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0</w:t>
            </w:r>
          </w:p>
        </w:tc>
        <w:tc>
          <w:tcPr>
            <w:tcW w:w="1165" w:type="dxa"/>
            <w:tcBorders>
              <w:top w:val="nil"/>
              <w:left w:val="nil"/>
              <w:bottom w:val="nil"/>
              <w:right w:val="nil"/>
            </w:tcBorders>
            <w:shd w:val="clear" w:color="000000" w:fill="FFFFFF"/>
            <w:noWrap/>
            <w:vAlign w:val="center"/>
            <w:hideMark/>
          </w:tcPr>
          <w:p w14:paraId="03BE6287" w14:textId="4A9C299D" w:rsidR="00B967AB" w:rsidRPr="00B960FF" w:rsidRDefault="00B960FF" w:rsidP="0070459C">
            <w:pPr>
              <w:tabs>
                <w:tab w:val="num" w:pos="851"/>
              </w:tabs>
              <w:jc w:val="right"/>
              <w:rPr>
                <w:rFonts w:cs="Arial"/>
                <w:color w:val="000000"/>
                <w:sz w:val="20"/>
                <w:szCs w:val="20"/>
                <w:lang w:eastAsia="en-GB"/>
              </w:rPr>
            </w:pPr>
            <w:r>
              <w:rPr>
                <w:rFonts w:cs="Arial"/>
                <w:color w:val="000000"/>
                <w:sz w:val="20"/>
                <w:szCs w:val="20"/>
                <w:lang w:eastAsia="en-GB"/>
              </w:rPr>
              <w:t>(257)</w:t>
            </w:r>
          </w:p>
        </w:tc>
        <w:tc>
          <w:tcPr>
            <w:tcW w:w="1059" w:type="dxa"/>
            <w:tcBorders>
              <w:top w:val="nil"/>
              <w:left w:val="nil"/>
              <w:bottom w:val="nil"/>
              <w:right w:val="single" w:sz="8" w:space="0" w:color="auto"/>
            </w:tcBorders>
            <w:shd w:val="clear" w:color="000000" w:fill="FFFFFF"/>
            <w:noWrap/>
            <w:vAlign w:val="center"/>
            <w:hideMark/>
          </w:tcPr>
          <w:p w14:paraId="39D68F43" w14:textId="5D563E53" w:rsidR="00B967AB" w:rsidRPr="00B960FF" w:rsidRDefault="00B960FF" w:rsidP="0070459C">
            <w:pPr>
              <w:tabs>
                <w:tab w:val="num" w:pos="851"/>
              </w:tabs>
              <w:jc w:val="right"/>
              <w:rPr>
                <w:rFonts w:cs="Arial"/>
                <w:color w:val="000000"/>
                <w:sz w:val="20"/>
                <w:szCs w:val="20"/>
                <w:lang w:eastAsia="en-GB"/>
              </w:rPr>
            </w:pPr>
            <w:r>
              <w:rPr>
                <w:rFonts w:cs="Arial"/>
                <w:color w:val="000000"/>
                <w:sz w:val="20"/>
                <w:szCs w:val="20"/>
                <w:lang w:eastAsia="en-GB"/>
              </w:rPr>
              <w:t>(257)</w:t>
            </w:r>
          </w:p>
        </w:tc>
      </w:tr>
      <w:tr w:rsidR="00B967AB" w:rsidRPr="00B960FF" w14:paraId="4F01474C" w14:textId="77777777" w:rsidTr="00B967AB">
        <w:trPr>
          <w:trHeight w:val="290"/>
        </w:trPr>
        <w:tc>
          <w:tcPr>
            <w:tcW w:w="961" w:type="dxa"/>
            <w:tcBorders>
              <w:top w:val="single" w:sz="4" w:space="0" w:color="auto"/>
              <w:left w:val="single" w:sz="8" w:space="0" w:color="auto"/>
              <w:bottom w:val="single" w:sz="4" w:space="0" w:color="auto"/>
              <w:right w:val="nil"/>
            </w:tcBorders>
            <w:shd w:val="clear" w:color="000000" w:fill="FFFFFF"/>
            <w:noWrap/>
            <w:vAlign w:val="center"/>
            <w:hideMark/>
          </w:tcPr>
          <w:p w14:paraId="5B0C2875" w14:textId="635BBEA3"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1</w:t>
            </w:r>
            <w:r w:rsidR="00883600" w:rsidRPr="00B960FF">
              <w:rPr>
                <w:rFonts w:cs="Arial"/>
                <w:color w:val="000000"/>
                <w:sz w:val="20"/>
                <w:szCs w:val="20"/>
                <w:lang w:eastAsia="en-GB"/>
              </w:rPr>
              <w:t>4,889</w:t>
            </w:r>
          </w:p>
        </w:tc>
        <w:tc>
          <w:tcPr>
            <w:tcW w:w="1120" w:type="dxa"/>
            <w:tcBorders>
              <w:top w:val="single" w:sz="4" w:space="0" w:color="auto"/>
              <w:left w:val="nil"/>
              <w:bottom w:val="single" w:sz="4" w:space="0" w:color="auto"/>
              <w:right w:val="nil"/>
            </w:tcBorders>
            <w:shd w:val="clear" w:color="000000" w:fill="FFFFFF"/>
            <w:noWrap/>
            <w:vAlign w:val="center"/>
            <w:hideMark/>
          </w:tcPr>
          <w:p w14:paraId="7C790085" w14:textId="2D681F1A" w:rsidR="00B967AB" w:rsidRPr="00B960FF" w:rsidRDefault="00883600" w:rsidP="0070459C">
            <w:pPr>
              <w:tabs>
                <w:tab w:val="num" w:pos="851"/>
              </w:tabs>
              <w:jc w:val="right"/>
              <w:rPr>
                <w:rFonts w:cs="Arial"/>
                <w:color w:val="000000"/>
                <w:sz w:val="20"/>
                <w:szCs w:val="20"/>
                <w:lang w:eastAsia="en-GB"/>
              </w:rPr>
            </w:pPr>
            <w:r w:rsidRPr="00B960FF">
              <w:rPr>
                <w:rFonts w:cs="Arial"/>
                <w:color w:val="000000"/>
                <w:sz w:val="20"/>
                <w:szCs w:val="20"/>
                <w:lang w:eastAsia="en-GB"/>
              </w:rPr>
              <w:t>4,176</w:t>
            </w:r>
          </w:p>
        </w:tc>
        <w:tc>
          <w:tcPr>
            <w:tcW w:w="1038" w:type="dxa"/>
            <w:tcBorders>
              <w:top w:val="single" w:sz="4" w:space="0" w:color="auto"/>
              <w:left w:val="nil"/>
              <w:bottom w:val="single" w:sz="4" w:space="0" w:color="auto"/>
              <w:right w:val="nil"/>
            </w:tcBorders>
            <w:shd w:val="clear" w:color="000000" w:fill="FFFFFF"/>
            <w:noWrap/>
            <w:vAlign w:val="center"/>
            <w:hideMark/>
          </w:tcPr>
          <w:p w14:paraId="4915DD5C" w14:textId="7421708C" w:rsidR="00B967AB" w:rsidRPr="00B960FF" w:rsidRDefault="00883600" w:rsidP="0070459C">
            <w:pPr>
              <w:tabs>
                <w:tab w:val="num" w:pos="851"/>
              </w:tabs>
              <w:jc w:val="right"/>
              <w:rPr>
                <w:rFonts w:cs="Arial"/>
                <w:color w:val="000000"/>
                <w:sz w:val="20"/>
                <w:szCs w:val="20"/>
                <w:lang w:eastAsia="en-GB"/>
              </w:rPr>
            </w:pPr>
            <w:r w:rsidRPr="00B960FF">
              <w:rPr>
                <w:rFonts w:cs="Arial"/>
                <w:color w:val="000000"/>
                <w:sz w:val="20"/>
                <w:szCs w:val="20"/>
                <w:lang w:eastAsia="en-GB"/>
              </w:rPr>
              <w:t>19,065</w:t>
            </w:r>
          </w:p>
        </w:tc>
        <w:tc>
          <w:tcPr>
            <w:tcW w:w="4111" w:type="dxa"/>
            <w:tcBorders>
              <w:top w:val="single" w:sz="4" w:space="0" w:color="auto"/>
              <w:left w:val="nil"/>
              <w:bottom w:val="single" w:sz="4" w:space="0" w:color="auto"/>
              <w:right w:val="nil"/>
            </w:tcBorders>
            <w:shd w:val="clear" w:color="000000" w:fill="FFFFFF"/>
            <w:noWrap/>
            <w:vAlign w:val="center"/>
            <w:hideMark/>
          </w:tcPr>
          <w:p w14:paraId="66D9F3C0"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c>
          <w:tcPr>
            <w:tcW w:w="961" w:type="dxa"/>
            <w:tcBorders>
              <w:top w:val="single" w:sz="4" w:space="0" w:color="auto"/>
              <w:left w:val="nil"/>
              <w:bottom w:val="single" w:sz="4" w:space="0" w:color="auto"/>
              <w:right w:val="nil"/>
            </w:tcBorders>
            <w:shd w:val="clear" w:color="000000" w:fill="FFFFFF"/>
            <w:noWrap/>
            <w:vAlign w:val="center"/>
            <w:hideMark/>
          </w:tcPr>
          <w:p w14:paraId="52690B14" w14:textId="7F6D970D" w:rsidR="00B967AB" w:rsidRPr="00B960FF" w:rsidRDefault="00B960FF" w:rsidP="0070459C">
            <w:pPr>
              <w:tabs>
                <w:tab w:val="num" w:pos="851"/>
              </w:tabs>
              <w:jc w:val="right"/>
              <w:rPr>
                <w:rFonts w:cs="Arial"/>
                <w:color w:val="000000"/>
                <w:sz w:val="20"/>
                <w:szCs w:val="20"/>
                <w:lang w:eastAsia="en-GB"/>
              </w:rPr>
            </w:pPr>
            <w:r>
              <w:rPr>
                <w:rFonts w:cs="Arial"/>
                <w:color w:val="000000"/>
                <w:sz w:val="20"/>
                <w:szCs w:val="20"/>
                <w:lang w:eastAsia="en-GB"/>
              </w:rPr>
              <w:t>16,201</w:t>
            </w:r>
          </w:p>
        </w:tc>
        <w:tc>
          <w:tcPr>
            <w:tcW w:w="1165" w:type="dxa"/>
            <w:tcBorders>
              <w:top w:val="single" w:sz="4" w:space="0" w:color="auto"/>
              <w:left w:val="nil"/>
              <w:bottom w:val="single" w:sz="4" w:space="0" w:color="auto"/>
              <w:right w:val="nil"/>
            </w:tcBorders>
            <w:shd w:val="clear" w:color="000000" w:fill="FFFFFF"/>
            <w:noWrap/>
            <w:vAlign w:val="center"/>
            <w:hideMark/>
          </w:tcPr>
          <w:p w14:paraId="22DAE18C" w14:textId="0E88C5F7" w:rsidR="00B967AB" w:rsidRPr="00B960FF" w:rsidRDefault="00B960FF" w:rsidP="0070459C">
            <w:pPr>
              <w:tabs>
                <w:tab w:val="num" w:pos="851"/>
              </w:tabs>
              <w:jc w:val="right"/>
              <w:rPr>
                <w:rFonts w:cs="Arial"/>
                <w:color w:val="000000"/>
                <w:sz w:val="20"/>
                <w:szCs w:val="20"/>
                <w:lang w:eastAsia="en-GB"/>
              </w:rPr>
            </w:pPr>
            <w:r>
              <w:rPr>
                <w:rFonts w:cs="Arial"/>
                <w:color w:val="000000"/>
                <w:sz w:val="20"/>
                <w:szCs w:val="20"/>
                <w:lang w:eastAsia="en-GB"/>
              </w:rPr>
              <w:t>1,659</w:t>
            </w:r>
          </w:p>
        </w:tc>
        <w:tc>
          <w:tcPr>
            <w:tcW w:w="1059" w:type="dxa"/>
            <w:tcBorders>
              <w:top w:val="single" w:sz="4" w:space="0" w:color="auto"/>
              <w:left w:val="nil"/>
              <w:bottom w:val="single" w:sz="4" w:space="0" w:color="auto"/>
              <w:right w:val="single" w:sz="8" w:space="0" w:color="auto"/>
            </w:tcBorders>
            <w:shd w:val="clear" w:color="000000" w:fill="FFFFFF"/>
            <w:noWrap/>
            <w:vAlign w:val="center"/>
            <w:hideMark/>
          </w:tcPr>
          <w:p w14:paraId="420B8530" w14:textId="1C2489D4" w:rsidR="00B967AB" w:rsidRPr="00B960FF" w:rsidRDefault="00B960FF" w:rsidP="0070459C">
            <w:pPr>
              <w:tabs>
                <w:tab w:val="num" w:pos="851"/>
              </w:tabs>
              <w:jc w:val="right"/>
              <w:rPr>
                <w:rFonts w:cs="Arial"/>
                <w:color w:val="000000"/>
                <w:sz w:val="20"/>
                <w:szCs w:val="20"/>
                <w:lang w:eastAsia="en-GB"/>
              </w:rPr>
            </w:pPr>
            <w:r>
              <w:rPr>
                <w:rFonts w:cs="Arial"/>
                <w:color w:val="000000"/>
                <w:sz w:val="20"/>
                <w:szCs w:val="20"/>
                <w:lang w:eastAsia="en-GB"/>
              </w:rPr>
              <w:t>17,860</w:t>
            </w:r>
          </w:p>
        </w:tc>
      </w:tr>
      <w:tr w:rsidR="00B967AB" w:rsidRPr="00B960FF" w14:paraId="1ADF57D5" w14:textId="77777777" w:rsidTr="00B967AB">
        <w:trPr>
          <w:trHeight w:val="290"/>
        </w:trPr>
        <w:tc>
          <w:tcPr>
            <w:tcW w:w="961" w:type="dxa"/>
            <w:tcBorders>
              <w:top w:val="nil"/>
              <w:left w:val="single" w:sz="8" w:space="0" w:color="auto"/>
              <w:bottom w:val="nil"/>
              <w:right w:val="nil"/>
            </w:tcBorders>
            <w:shd w:val="clear" w:color="000000" w:fill="FFFFFF"/>
            <w:noWrap/>
            <w:vAlign w:val="center"/>
            <w:hideMark/>
          </w:tcPr>
          <w:p w14:paraId="7F1905AC" w14:textId="77777777" w:rsidR="00B967AB" w:rsidRPr="00B960FF" w:rsidRDefault="00B967AB" w:rsidP="0070459C">
            <w:pPr>
              <w:tabs>
                <w:tab w:val="num" w:pos="851"/>
              </w:tabs>
              <w:rPr>
                <w:rFonts w:cs="Arial"/>
                <w:b/>
                <w:bCs/>
                <w:color w:val="000000"/>
                <w:sz w:val="20"/>
                <w:szCs w:val="20"/>
                <w:lang w:eastAsia="en-GB"/>
              </w:rPr>
            </w:pPr>
            <w:r w:rsidRPr="00B960FF">
              <w:rPr>
                <w:rFonts w:cs="Arial"/>
                <w:b/>
                <w:bCs/>
                <w:color w:val="000000"/>
                <w:sz w:val="20"/>
                <w:szCs w:val="20"/>
                <w:lang w:eastAsia="en-GB"/>
              </w:rPr>
              <w:t> </w:t>
            </w:r>
          </w:p>
        </w:tc>
        <w:tc>
          <w:tcPr>
            <w:tcW w:w="1120" w:type="dxa"/>
            <w:tcBorders>
              <w:top w:val="nil"/>
              <w:left w:val="nil"/>
              <w:bottom w:val="nil"/>
              <w:right w:val="nil"/>
            </w:tcBorders>
            <w:shd w:val="clear" w:color="000000" w:fill="FFFFFF"/>
            <w:noWrap/>
            <w:vAlign w:val="center"/>
            <w:hideMark/>
          </w:tcPr>
          <w:p w14:paraId="7DFB9A3B" w14:textId="77777777" w:rsidR="00B967AB" w:rsidRPr="00B960FF" w:rsidRDefault="00B967AB" w:rsidP="0070459C">
            <w:pPr>
              <w:tabs>
                <w:tab w:val="num" w:pos="851"/>
              </w:tabs>
              <w:rPr>
                <w:rFonts w:cs="Arial"/>
                <w:b/>
                <w:bCs/>
                <w:color w:val="000000"/>
                <w:sz w:val="20"/>
                <w:szCs w:val="20"/>
                <w:lang w:eastAsia="en-GB"/>
              </w:rPr>
            </w:pPr>
            <w:r w:rsidRPr="00B960FF">
              <w:rPr>
                <w:rFonts w:cs="Arial"/>
                <w:b/>
                <w:bCs/>
                <w:color w:val="000000"/>
                <w:sz w:val="20"/>
                <w:szCs w:val="20"/>
                <w:lang w:eastAsia="en-GB"/>
              </w:rPr>
              <w:t> </w:t>
            </w:r>
          </w:p>
        </w:tc>
        <w:tc>
          <w:tcPr>
            <w:tcW w:w="1038" w:type="dxa"/>
            <w:tcBorders>
              <w:top w:val="nil"/>
              <w:left w:val="nil"/>
              <w:bottom w:val="nil"/>
              <w:right w:val="nil"/>
            </w:tcBorders>
            <w:shd w:val="clear" w:color="000000" w:fill="FFFFFF"/>
            <w:noWrap/>
            <w:vAlign w:val="center"/>
            <w:hideMark/>
          </w:tcPr>
          <w:p w14:paraId="3858C84A" w14:textId="77777777" w:rsidR="00B967AB" w:rsidRPr="00B960FF" w:rsidRDefault="00B967AB" w:rsidP="0070459C">
            <w:pPr>
              <w:tabs>
                <w:tab w:val="num" w:pos="851"/>
              </w:tabs>
              <w:rPr>
                <w:rFonts w:cs="Arial"/>
                <w:b/>
                <w:bCs/>
                <w:color w:val="000000"/>
                <w:sz w:val="20"/>
                <w:szCs w:val="20"/>
                <w:lang w:eastAsia="en-GB"/>
              </w:rPr>
            </w:pPr>
            <w:r w:rsidRPr="00B960FF">
              <w:rPr>
                <w:rFonts w:cs="Arial"/>
                <w:b/>
                <w:bCs/>
                <w:color w:val="000000"/>
                <w:sz w:val="20"/>
                <w:szCs w:val="20"/>
                <w:lang w:eastAsia="en-GB"/>
              </w:rPr>
              <w:t> </w:t>
            </w:r>
          </w:p>
        </w:tc>
        <w:tc>
          <w:tcPr>
            <w:tcW w:w="4111" w:type="dxa"/>
            <w:tcBorders>
              <w:top w:val="nil"/>
              <w:left w:val="nil"/>
              <w:bottom w:val="nil"/>
              <w:right w:val="nil"/>
            </w:tcBorders>
            <w:shd w:val="clear" w:color="000000" w:fill="FFFFFF"/>
            <w:noWrap/>
            <w:vAlign w:val="center"/>
            <w:hideMark/>
          </w:tcPr>
          <w:p w14:paraId="4108864A" w14:textId="77777777" w:rsidR="00B967AB" w:rsidRPr="00B960FF" w:rsidRDefault="00B967AB" w:rsidP="0070459C">
            <w:pPr>
              <w:tabs>
                <w:tab w:val="num" w:pos="851"/>
              </w:tabs>
              <w:rPr>
                <w:rFonts w:cs="Arial"/>
                <w:b/>
                <w:bCs/>
                <w:color w:val="000000"/>
                <w:sz w:val="20"/>
                <w:szCs w:val="20"/>
                <w:lang w:eastAsia="en-GB"/>
              </w:rPr>
            </w:pPr>
            <w:r w:rsidRPr="00B960FF">
              <w:rPr>
                <w:rFonts w:cs="Arial"/>
                <w:b/>
                <w:bCs/>
                <w:color w:val="000000"/>
                <w:sz w:val="20"/>
                <w:szCs w:val="20"/>
                <w:lang w:eastAsia="en-GB"/>
              </w:rPr>
              <w:t>Income</w:t>
            </w:r>
          </w:p>
        </w:tc>
        <w:tc>
          <w:tcPr>
            <w:tcW w:w="961" w:type="dxa"/>
            <w:tcBorders>
              <w:top w:val="nil"/>
              <w:left w:val="nil"/>
              <w:bottom w:val="nil"/>
              <w:right w:val="nil"/>
            </w:tcBorders>
            <w:shd w:val="clear" w:color="000000" w:fill="FFFFFF"/>
            <w:noWrap/>
            <w:vAlign w:val="center"/>
            <w:hideMark/>
          </w:tcPr>
          <w:p w14:paraId="7F14A2B1" w14:textId="77777777" w:rsidR="00B967AB" w:rsidRPr="00B960FF" w:rsidRDefault="00B967AB" w:rsidP="0070459C">
            <w:pPr>
              <w:tabs>
                <w:tab w:val="num" w:pos="851"/>
              </w:tabs>
              <w:rPr>
                <w:rFonts w:cs="Arial"/>
                <w:b/>
                <w:bCs/>
                <w:color w:val="000000"/>
                <w:sz w:val="20"/>
                <w:szCs w:val="20"/>
                <w:lang w:eastAsia="en-GB"/>
              </w:rPr>
            </w:pPr>
            <w:r w:rsidRPr="00B960FF">
              <w:rPr>
                <w:rFonts w:cs="Arial"/>
                <w:b/>
                <w:bCs/>
                <w:color w:val="000000"/>
                <w:sz w:val="20"/>
                <w:szCs w:val="20"/>
                <w:lang w:eastAsia="en-GB"/>
              </w:rPr>
              <w:t> </w:t>
            </w:r>
          </w:p>
        </w:tc>
        <w:tc>
          <w:tcPr>
            <w:tcW w:w="1165" w:type="dxa"/>
            <w:tcBorders>
              <w:top w:val="nil"/>
              <w:left w:val="nil"/>
              <w:bottom w:val="nil"/>
              <w:right w:val="nil"/>
            </w:tcBorders>
            <w:shd w:val="clear" w:color="000000" w:fill="FFFFFF"/>
            <w:noWrap/>
            <w:vAlign w:val="center"/>
            <w:hideMark/>
          </w:tcPr>
          <w:p w14:paraId="55B24A06" w14:textId="77777777" w:rsidR="00B967AB" w:rsidRPr="00B960FF" w:rsidRDefault="00B967AB" w:rsidP="0070459C">
            <w:pPr>
              <w:tabs>
                <w:tab w:val="num" w:pos="851"/>
              </w:tabs>
              <w:rPr>
                <w:rFonts w:cs="Arial"/>
                <w:b/>
                <w:bCs/>
                <w:color w:val="000000"/>
                <w:sz w:val="20"/>
                <w:szCs w:val="20"/>
                <w:lang w:eastAsia="en-GB"/>
              </w:rPr>
            </w:pPr>
            <w:r w:rsidRPr="00B960FF">
              <w:rPr>
                <w:rFonts w:cs="Arial"/>
                <w:b/>
                <w:bCs/>
                <w:color w:val="000000"/>
                <w:sz w:val="20"/>
                <w:szCs w:val="20"/>
                <w:lang w:eastAsia="en-GB"/>
              </w:rPr>
              <w:t> </w:t>
            </w:r>
          </w:p>
        </w:tc>
        <w:tc>
          <w:tcPr>
            <w:tcW w:w="1059" w:type="dxa"/>
            <w:tcBorders>
              <w:top w:val="nil"/>
              <w:left w:val="nil"/>
              <w:bottom w:val="nil"/>
              <w:right w:val="single" w:sz="8" w:space="0" w:color="auto"/>
            </w:tcBorders>
            <w:shd w:val="clear" w:color="000000" w:fill="FFFFFF"/>
            <w:noWrap/>
            <w:vAlign w:val="center"/>
            <w:hideMark/>
          </w:tcPr>
          <w:p w14:paraId="33CEAD69" w14:textId="77777777" w:rsidR="00B967AB" w:rsidRPr="00B960FF" w:rsidRDefault="00B967AB" w:rsidP="0070459C">
            <w:pPr>
              <w:tabs>
                <w:tab w:val="num" w:pos="851"/>
              </w:tabs>
              <w:rPr>
                <w:rFonts w:cs="Arial"/>
                <w:b/>
                <w:bCs/>
                <w:color w:val="000000"/>
                <w:sz w:val="20"/>
                <w:szCs w:val="20"/>
                <w:lang w:eastAsia="en-GB"/>
              </w:rPr>
            </w:pPr>
            <w:r w:rsidRPr="00B960FF">
              <w:rPr>
                <w:rFonts w:cs="Arial"/>
                <w:b/>
                <w:bCs/>
                <w:color w:val="000000"/>
                <w:sz w:val="20"/>
                <w:szCs w:val="20"/>
                <w:lang w:eastAsia="en-GB"/>
              </w:rPr>
              <w:t> </w:t>
            </w:r>
          </w:p>
        </w:tc>
      </w:tr>
      <w:tr w:rsidR="00B967AB" w:rsidRPr="00B960FF" w14:paraId="0032FFA2" w14:textId="77777777" w:rsidTr="00B967AB">
        <w:trPr>
          <w:trHeight w:val="290"/>
        </w:trPr>
        <w:tc>
          <w:tcPr>
            <w:tcW w:w="961" w:type="dxa"/>
            <w:tcBorders>
              <w:top w:val="nil"/>
              <w:left w:val="single" w:sz="8" w:space="0" w:color="auto"/>
              <w:bottom w:val="nil"/>
              <w:right w:val="nil"/>
            </w:tcBorders>
            <w:shd w:val="clear" w:color="000000" w:fill="FFFFFF"/>
            <w:noWrap/>
            <w:vAlign w:val="center"/>
            <w:hideMark/>
          </w:tcPr>
          <w:p w14:paraId="0539532F" w14:textId="0CC74A6E"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883600" w:rsidRPr="00B960FF">
              <w:rPr>
                <w:rFonts w:cs="Arial"/>
                <w:color w:val="000000"/>
                <w:sz w:val="20"/>
                <w:szCs w:val="20"/>
                <w:lang w:eastAsia="en-GB"/>
              </w:rPr>
              <w:t>8,875</w:t>
            </w:r>
            <w:r w:rsidRPr="00B960FF">
              <w:rPr>
                <w:rFonts w:cs="Arial"/>
                <w:color w:val="000000"/>
                <w:sz w:val="20"/>
                <w:szCs w:val="20"/>
                <w:lang w:eastAsia="en-GB"/>
              </w:rPr>
              <w:t>)</w:t>
            </w:r>
          </w:p>
        </w:tc>
        <w:tc>
          <w:tcPr>
            <w:tcW w:w="1120" w:type="dxa"/>
            <w:tcBorders>
              <w:top w:val="nil"/>
              <w:left w:val="nil"/>
              <w:bottom w:val="nil"/>
              <w:right w:val="nil"/>
            </w:tcBorders>
            <w:shd w:val="clear" w:color="000000" w:fill="FFFFFF"/>
            <w:noWrap/>
            <w:vAlign w:val="center"/>
            <w:hideMark/>
          </w:tcPr>
          <w:p w14:paraId="0338EC86" w14:textId="745ECE58" w:rsidR="00B967AB" w:rsidRPr="00B960FF" w:rsidRDefault="00883600" w:rsidP="0070459C">
            <w:pPr>
              <w:tabs>
                <w:tab w:val="num" w:pos="851"/>
              </w:tabs>
              <w:jc w:val="right"/>
              <w:rPr>
                <w:rFonts w:cs="Arial"/>
                <w:color w:val="000000"/>
                <w:sz w:val="20"/>
                <w:szCs w:val="20"/>
                <w:lang w:eastAsia="en-GB"/>
              </w:rPr>
            </w:pPr>
            <w:r w:rsidRPr="00B960FF">
              <w:rPr>
                <w:rFonts w:cs="Arial"/>
                <w:color w:val="000000"/>
                <w:sz w:val="20"/>
                <w:szCs w:val="20"/>
                <w:lang w:eastAsia="en-GB"/>
              </w:rPr>
              <w:t>(1,243)</w:t>
            </w:r>
          </w:p>
        </w:tc>
        <w:tc>
          <w:tcPr>
            <w:tcW w:w="1038" w:type="dxa"/>
            <w:tcBorders>
              <w:top w:val="nil"/>
              <w:left w:val="nil"/>
              <w:bottom w:val="nil"/>
              <w:right w:val="nil"/>
            </w:tcBorders>
            <w:shd w:val="clear" w:color="000000" w:fill="FFFFFF"/>
            <w:noWrap/>
            <w:vAlign w:val="center"/>
            <w:hideMark/>
          </w:tcPr>
          <w:p w14:paraId="39D677DE" w14:textId="0C70EEFB"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883600" w:rsidRPr="00B960FF">
              <w:rPr>
                <w:rFonts w:cs="Arial"/>
                <w:color w:val="000000"/>
                <w:sz w:val="20"/>
                <w:szCs w:val="20"/>
                <w:lang w:eastAsia="en-GB"/>
              </w:rPr>
              <w:t>10,118</w:t>
            </w:r>
            <w:r w:rsidRPr="00B960FF">
              <w:rPr>
                <w:rFonts w:cs="Arial"/>
                <w:color w:val="000000"/>
                <w:sz w:val="20"/>
                <w:szCs w:val="20"/>
                <w:lang w:eastAsia="en-GB"/>
              </w:rPr>
              <w:t>)</w:t>
            </w:r>
          </w:p>
        </w:tc>
        <w:tc>
          <w:tcPr>
            <w:tcW w:w="4111" w:type="dxa"/>
            <w:tcBorders>
              <w:top w:val="nil"/>
              <w:left w:val="nil"/>
              <w:bottom w:val="nil"/>
              <w:right w:val="nil"/>
            </w:tcBorders>
            <w:shd w:val="clear" w:color="000000" w:fill="FFFFFF"/>
            <w:noWrap/>
            <w:vAlign w:val="center"/>
            <w:hideMark/>
          </w:tcPr>
          <w:p w14:paraId="73C15969"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Fees, charges and other service income *</w:t>
            </w:r>
          </w:p>
        </w:tc>
        <w:tc>
          <w:tcPr>
            <w:tcW w:w="961" w:type="dxa"/>
            <w:tcBorders>
              <w:top w:val="nil"/>
              <w:left w:val="nil"/>
              <w:bottom w:val="nil"/>
              <w:right w:val="nil"/>
            </w:tcBorders>
            <w:shd w:val="clear" w:color="000000" w:fill="FFFFFF"/>
            <w:noWrap/>
            <w:vAlign w:val="center"/>
            <w:hideMark/>
          </w:tcPr>
          <w:p w14:paraId="5B901937" w14:textId="4E801879"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w:t>
            </w:r>
            <w:r w:rsidR="00B960FF">
              <w:rPr>
                <w:rFonts w:cs="Arial"/>
                <w:color w:val="000000"/>
                <w:sz w:val="20"/>
                <w:szCs w:val="20"/>
                <w:lang w:eastAsia="en-GB"/>
              </w:rPr>
              <w:t>10,704</w:t>
            </w:r>
            <w:r w:rsidRPr="00B960FF">
              <w:rPr>
                <w:rFonts w:cs="Arial"/>
                <w:color w:val="000000"/>
                <w:sz w:val="20"/>
                <w:szCs w:val="20"/>
                <w:lang w:eastAsia="en-GB"/>
              </w:rPr>
              <w:t>)</w:t>
            </w:r>
          </w:p>
        </w:tc>
        <w:tc>
          <w:tcPr>
            <w:tcW w:w="1165" w:type="dxa"/>
            <w:tcBorders>
              <w:top w:val="nil"/>
              <w:left w:val="nil"/>
              <w:bottom w:val="nil"/>
              <w:right w:val="nil"/>
            </w:tcBorders>
            <w:shd w:val="clear" w:color="000000" w:fill="FFFFFF"/>
            <w:noWrap/>
            <w:vAlign w:val="center"/>
            <w:hideMark/>
          </w:tcPr>
          <w:p w14:paraId="4224276D" w14:textId="463CE087"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B960FF">
              <w:rPr>
                <w:rFonts w:cs="Arial"/>
                <w:color w:val="000000"/>
                <w:sz w:val="20"/>
                <w:szCs w:val="20"/>
                <w:lang w:eastAsia="en-GB"/>
              </w:rPr>
              <w:t>248</w:t>
            </w:r>
            <w:r w:rsidRPr="00B960FF">
              <w:rPr>
                <w:rFonts w:cs="Arial"/>
                <w:color w:val="000000"/>
                <w:sz w:val="20"/>
                <w:szCs w:val="20"/>
                <w:lang w:eastAsia="en-GB"/>
              </w:rPr>
              <w:t>)</w:t>
            </w:r>
          </w:p>
        </w:tc>
        <w:tc>
          <w:tcPr>
            <w:tcW w:w="1059" w:type="dxa"/>
            <w:tcBorders>
              <w:top w:val="nil"/>
              <w:left w:val="nil"/>
              <w:bottom w:val="nil"/>
              <w:right w:val="single" w:sz="8" w:space="0" w:color="auto"/>
            </w:tcBorders>
            <w:shd w:val="clear" w:color="000000" w:fill="FFFFFF"/>
            <w:noWrap/>
            <w:vAlign w:val="center"/>
            <w:hideMark/>
          </w:tcPr>
          <w:p w14:paraId="00094F47" w14:textId="58925044"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(10,</w:t>
            </w:r>
            <w:r w:rsidR="00B960FF">
              <w:rPr>
                <w:rFonts w:cs="Arial"/>
                <w:color w:val="000000"/>
                <w:sz w:val="20"/>
                <w:szCs w:val="20"/>
                <w:lang w:eastAsia="en-GB"/>
              </w:rPr>
              <w:t>952</w:t>
            </w:r>
            <w:r w:rsidRPr="00B960FF">
              <w:rPr>
                <w:rFonts w:cs="Arial"/>
                <w:color w:val="000000"/>
                <w:sz w:val="20"/>
                <w:szCs w:val="20"/>
                <w:lang w:eastAsia="en-GB"/>
              </w:rPr>
              <w:t>)</w:t>
            </w:r>
          </w:p>
        </w:tc>
      </w:tr>
      <w:tr w:rsidR="00B967AB" w:rsidRPr="00B960FF" w14:paraId="16824782" w14:textId="77777777" w:rsidTr="00B967AB">
        <w:trPr>
          <w:trHeight w:val="290"/>
        </w:trPr>
        <w:tc>
          <w:tcPr>
            <w:tcW w:w="961" w:type="dxa"/>
            <w:tcBorders>
              <w:top w:val="nil"/>
              <w:left w:val="single" w:sz="8" w:space="0" w:color="auto"/>
              <w:bottom w:val="nil"/>
              <w:right w:val="nil"/>
            </w:tcBorders>
            <w:shd w:val="clear" w:color="000000" w:fill="FFFFFF"/>
            <w:noWrap/>
            <w:vAlign w:val="center"/>
            <w:hideMark/>
          </w:tcPr>
          <w:p w14:paraId="3F859D1B" w14:textId="6FCBB6DB"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883600" w:rsidRPr="00B960FF">
              <w:rPr>
                <w:rFonts w:cs="Arial"/>
                <w:color w:val="000000"/>
                <w:sz w:val="20"/>
                <w:szCs w:val="20"/>
                <w:lang w:eastAsia="en-GB"/>
              </w:rPr>
              <w:t>6,030</w:t>
            </w:r>
            <w:r w:rsidRPr="00B960FF">
              <w:rPr>
                <w:rFonts w:cs="Arial"/>
                <w:color w:val="000000"/>
                <w:sz w:val="20"/>
                <w:szCs w:val="20"/>
                <w:lang w:eastAsia="en-GB"/>
              </w:rPr>
              <w:t>)</w:t>
            </w:r>
          </w:p>
        </w:tc>
        <w:tc>
          <w:tcPr>
            <w:tcW w:w="1120" w:type="dxa"/>
            <w:tcBorders>
              <w:top w:val="nil"/>
              <w:left w:val="nil"/>
              <w:bottom w:val="nil"/>
              <w:right w:val="nil"/>
            </w:tcBorders>
            <w:shd w:val="clear" w:color="000000" w:fill="FFFFFF"/>
            <w:noWrap/>
            <w:vAlign w:val="center"/>
            <w:hideMark/>
          </w:tcPr>
          <w:p w14:paraId="03E8DF3C" w14:textId="2CC78DC2"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(1</w:t>
            </w:r>
            <w:r w:rsidR="00883600" w:rsidRPr="00B960FF">
              <w:rPr>
                <w:rFonts w:cs="Arial"/>
                <w:color w:val="000000"/>
                <w:sz w:val="20"/>
                <w:szCs w:val="20"/>
                <w:lang w:eastAsia="en-GB"/>
              </w:rPr>
              <w:t>20</w:t>
            </w:r>
            <w:r w:rsidRPr="00B960FF">
              <w:rPr>
                <w:rFonts w:cs="Arial"/>
                <w:color w:val="000000"/>
                <w:sz w:val="20"/>
                <w:szCs w:val="20"/>
                <w:lang w:eastAsia="en-GB"/>
              </w:rPr>
              <w:t>)</w:t>
            </w:r>
          </w:p>
        </w:tc>
        <w:tc>
          <w:tcPr>
            <w:tcW w:w="1038" w:type="dxa"/>
            <w:tcBorders>
              <w:top w:val="nil"/>
              <w:left w:val="nil"/>
              <w:bottom w:val="nil"/>
              <w:right w:val="nil"/>
            </w:tcBorders>
            <w:shd w:val="clear" w:color="000000" w:fill="FFFFFF"/>
            <w:noWrap/>
            <w:vAlign w:val="center"/>
            <w:hideMark/>
          </w:tcPr>
          <w:p w14:paraId="17C8B7B9" w14:textId="7C48A5D3"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883600" w:rsidRPr="00B960FF">
              <w:rPr>
                <w:rFonts w:cs="Arial"/>
                <w:color w:val="000000"/>
                <w:sz w:val="20"/>
                <w:szCs w:val="20"/>
                <w:lang w:eastAsia="en-GB"/>
              </w:rPr>
              <w:t>6,150</w:t>
            </w:r>
            <w:r w:rsidRPr="00B960FF">
              <w:rPr>
                <w:rFonts w:cs="Arial"/>
                <w:color w:val="000000"/>
                <w:sz w:val="20"/>
                <w:szCs w:val="20"/>
                <w:lang w:eastAsia="en-GB"/>
              </w:rPr>
              <w:t>)</w:t>
            </w:r>
          </w:p>
        </w:tc>
        <w:tc>
          <w:tcPr>
            <w:tcW w:w="4111" w:type="dxa"/>
            <w:tcBorders>
              <w:top w:val="nil"/>
              <w:left w:val="nil"/>
              <w:bottom w:val="nil"/>
              <w:right w:val="nil"/>
            </w:tcBorders>
            <w:shd w:val="clear" w:color="000000" w:fill="FFFFFF"/>
            <w:noWrap/>
            <w:vAlign w:val="center"/>
            <w:hideMark/>
          </w:tcPr>
          <w:p w14:paraId="0A3CED28"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xml:space="preserve">Non specific grants and contributions </w:t>
            </w:r>
          </w:p>
        </w:tc>
        <w:tc>
          <w:tcPr>
            <w:tcW w:w="961" w:type="dxa"/>
            <w:tcBorders>
              <w:top w:val="nil"/>
              <w:left w:val="nil"/>
              <w:bottom w:val="nil"/>
              <w:right w:val="nil"/>
            </w:tcBorders>
            <w:shd w:val="clear" w:color="000000" w:fill="FFFFFF"/>
            <w:noWrap/>
            <w:vAlign w:val="center"/>
            <w:hideMark/>
          </w:tcPr>
          <w:p w14:paraId="5E62CCCE" w14:textId="034573BB"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B960FF">
              <w:rPr>
                <w:rFonts w:cs="Arial"/>
                <w:color w:val="000000"/>
                <w:sz w:val="20"/>
                <w:szCs w:val="20"/>
                <w:lang w:eastAsia="en-GB"/>
              </w:rPr>
              <w:t>5,608</w:t>
            </w:r>
            <w:r w:rsidRPr="00B960FF">
              <w:rPr>
                <w:rFonts w:cs="Arial"/>
                <w:color w:val="000000"/>
                <w:sz w:val="20"/>
                <w:szCs w:val="20"/>
                <w:lang w:eastAsia="en-GB"/>
              </w:rPr>
              <w:t>)</w:t>
            </w:r>
          </w:p>
        </w:tc>
        <w:tc>
          <w:tcPr>
            <w:tcW w:w="1165" w:type="dxa"/>
            <w:tcBorders>
              <w:top w:val="nil"/>
              <w:left w:val="nil"/>
              <w:bottom w:val="nil"/>
              <w:right w:val="nil"/>
            </w:tcBorders>
            <w:shd w:val="clear" w:color="000000" w:fill="FFFFFF"/>
            <w:noWrap/>
            <w:vAlign w:val="center"/>
            <w:hideMark/>
          </w:tcPr>
          <w:p w14:paraId="0F57DA4C" w14:textId="490C299B"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B960FF">
              <w:rPr>
                <w:rFonts w:cs="Arial"/>
                <w:color w:val="000000"/>
                <w:sz w:val="20"/>
                <w:szCs w:val="20"/>
                <w:lang w:eastAsia="en-GB"/>
              </w:rPr>
              <w:t>0</w:t>
            </w:r>
          </w:p>
        </w:tc>
        <w:tc>
          <w:tcPr>
            <w:tcW w:w="1059" w:type="dxa"/>
            <w:tcBorders>
              <w:top w:val="nil"/>
              <w:left w:val="nil"/>
              <w:bottom w:val="nil"/>
              <w:right w:val="single" w:sz="8" w:space="0" w:color="auto"/>
            </w:tcBorders>
            <w:shd w:val="clear" w:color="000000" w:fill="FFFFFF"/>
            <w:noWrap/>
            <w:vAlign w:val="center"/>
            <w:hideMark/>
          </w:tcPr>
          <w:p w14:paraId="385E58D2" w14:textId="75BCCE24"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B960FF">
              <w:rPr>
                <w:rFonts w:cs="Arial"/>
                <w:color w:val="000000"/>
                <w:sz w:val="20"/>
                <w:szCs w:val="20"/>
                <w:lang w:eastAsia="en-GB"/>
              </w:rPr>
              <w:t>5,608</w:t>
            </w:r>
            <w:r w:rsidRPr="00B960FF">
              <w:rPr>
                <w:rFonts w:cs="Arial"/>
                <w:color w:val="000000"/>
                <w:sz w:val="20"/>
                <w:szCs w:val="20"/>
                <w:lang w:eastAsia="en-GB"/>
              </w:rPr>
              <w:t>)</w:t>
            </w:r>
          </w:p>
        </w:tc>
      </w:tr>
      <w:tr w:rsidR="00B967AB" w:rsidRPr="00B960FF" w14:paraId="62933A25" w14:textId="77777777" w:rsidTr="00B967AB">
        <w:trPr>
          <w:trHeight w:val="290"/>
        </w:trPr>
        <w:tc>
          <w:tcPr>
            <w:tcW w:w="961" w:type="dxa"/>
            <w:tcBorders>
              <w:top w:val="nil"/>
              <w:left w:val="single" w:sz="8" w:space="0" w:color="auto"/>
              <w:bottom w:val="nil"/>
              <w:right w:val="nil"/>
            </w:tcBorders>
            <w:shd w:val="clear" w:color="000000" w:fill="FFFFFF"/>
            <w:noWrap/>
            <w:vAlign w:val="center"/>
            <w:hideMark/>
          </w:tcPr>
          <w:p w14:paraId="1EFE0A30" w14:textId="336465D7"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883600" w:rsidRPr="00B960FF">
              <w:rPr>
                <w:rFonts w:cs="Arial"/>
                <w:color w:val="000000"/>
                <w:sz w:val="20"/>
                <w:szCs w:val="20"/>
                <w:lang w:eastAsia="en-GB"/>
              </w:rPr>
              <w:t>63</w:t>
            </w:r>
            <w:r w:rsidRPr="00B960FF">
              <w:rPr>
                <w:rFonts w:cs="Arial"/>
                <w:color w:val="000000"/>
                <w:sz w:val="20"/>
                <w:szCs w:val="20"/>
                <w:lang w:eastAsia="en-GB"/>
              </w:rPr>
              <w:t>)</w:t>
            </w:r>
          </w:p>
        </w:tc>
        <w:tc>
          <w:tcPr>
            <w:tcW w:w="1120" w:type="dxa"/>
            <w:tcBorders>
              <w:top w:val="nil"/>
              <w:left w:val="nil"/>
              <w:bottom w:val="nil"/>
              <w:right w:val="nil"/>
            </w:tcBorders>
            <w:shd w:val="clear" w:color="000000" w:fill="FFFFFF"/>
            <w:noWrap/>
            <w:vAlign w:val="center"/>
            <w:hideMark/>
          </w:tcPr>
          <w:p w14:paraId="12D9A39D" w14:textId="225DF8E9"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883600" w:rsidRPr="00B960FF">
              <w:rPr>
                <w:rFonts w:cs="Arial"/>
                <w:color w:val="000000"/>
                <w:sz w:val="20"/>
                <w:szCs w:val="20"/>
                <w:lang w:eastAsia="en-GB"/>
              </w:rPr>
              <w:t>173</w:t>
            </w:r>
            <w:r w:rsidRPr="00B960FF">
              <w:rPr>
                <w:rFonts w:cs="Arial"/>
                <w:color w:val="000000"/>
                <w:sz w:val="20"/>
                <w:szCs w:val="20"/>
                <w:lang w:eastAsia="en-GB"/>
              </w:rPr>
              <w:t>)</w:t>
            </w:r>
          </w:p>
        </w:tc>
        <w:tc>
          <w:tcPr>
            <w:tcW w:w="1038" w:type="dxa"/>
            <w:tcBorders>
              <w:top w:val="nil"/>
              <w:left w:val="nil"/>
              <w:bottom w:val="nil"/>
              <w:right w:val="nil"/>
            </w:tcBorders>
            <w:shd w:val="clear" w:color="000000" w:fill="FFFFFF"/>
            <w:noWrap/>
            <w:vAlign w:val="center"/>
            <w:hideMark/>
          </w:tcPr>
          <w:p w14:paraId="42667F26" w14:textId="006997BC"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883600" w:rsidRPr="00B960FF">
              <w:rPr>
                <w:rFonts w:cs="Arial"/>
                <w:color w:val="000000"/>
                <w:sz w:val="20"/>
                <w:szCs w:val="20"/>
                <w:lang w:eastAsia="en-GB"/>
              </w:rPr>
              <w:t>236</w:t>
            </w:r>
            <w:r w:rsidRPr="00B960FF">
              <w:rPr>
                <w:rFonts w:cs="Arial"/>
                <w:color w:val="000000"/>
                <w:sz w:val="20"/>
                <w:szCs w:val="20"/>
                <w:lang w:eastAsia="en-GB"/>
              </w:rPr>
              <w:t>)</w:t>
            </w:r>
          </w:p>
        </w:tc>
        <w:tc>
          <w:tcPr>
            <w:tcW w:w="4111" w:type="dxa"/>
            <w:tcBorders>
              <w:top w:val="nil"/>
              <w:left w:val="nil"/>
              <w:bottom w:val="nil"/>
              <w:right w:val="nil"/>
            </w:tcBorders>
            <w:shd w:val="clear" w:color="000000" w:fill="FFFFFF"/>
            <w:noWrap/>
            <w:vAlign w:val="center"/>
            <w:hideMark/>
          </w:tcPr>
          <w:p w14:paraId="7128A8B9"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xml:space="preserve">Investment Property Income </w:t>
            </w:r>
          </w:p>
        </w:tc>
        <w:tc>
          <w:tcPr>
            <w:tcW w:w="961" w:type="dxa"/>
            <w:tcBorders>
              <w:top w:val="nil"/>
              <w:left w:val="nil"/>
              <w:bottom w:val="nil"/>
              <w:right w:val="nil"/>
            </w:tcBorders>
            <w:shd w:val="clear" w:color="000000" w:fill="FFFFFF"/>
            <w:noWrap/>
            <w:vAlign w:val="center"/>
            <w:hideMark/>
          </w:tcPr>
          <w:p w14:paraId="3FDDABD5" w14:textId="70AED041"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B960FF">
              <w:rPr>
                <w:rFonts w:cs="Arial"/>
                <w:color w:val="000000"/>
                <w:sz w:val="20"/>
                <w:szCs w:val="20"/>
                <w:lang w:eastAsia="en-GB"/>
              </w:rPr>
              <w:t>95</w:t>
            </w:r>
            <w:r w:rsidRPr="00B960FF">
              <w:rPr>
                <w:rFonts w:cs="Arial"/>
                <w:color w:val="000000"/>
                <w:sz w:val="20"/>
                <w:szCs w:val="20"/>
                <w:lang w:eastAsia="en-GB"/>
              </w:rPr>
              <w:t>)</w:t>
            </w:r>
          </w:p>
        </w:tc>
        <w:tc>
          <w:tcPr>
            <w:tcW w:w="1165" w:type="dxa"/>
            <w:tcBorders>
              <w:top w:val="nil"/>
              <w:left w:val="nil"/>
              <w:bottom w:val="nil"/>
              <w:right w:val="nil"/>
            </w:tcBorders>
            <w:shd w:val="clear" w:color="000000" w:fill="FFFFFF"/>
            <w:noWrap/>
            <w:vAlign w:val="center"/>
            <w:hideMark/>
          </w:tcPr>
          <w:p w14:paraId="3615D023" w14:textId="3BBB89B7"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(1</w:t>
            </w:r>
            <w:r w:rsidR="00B960FF">
              <w:rPr>
                <w:rFonts w:cs="Arial"/>
                <w:color w:val="000000"/>
                <w:sz w:val="20"/>
                <w:szCs w:val="20"/>
                <w:lang w:eastAsia="en-GB"/>
              </w:rPr>
              <w:t>86</w:t>
            </w:r>
            <w:r w:rsidRPr="00B960FF">
              <w:rPr>
                <w:rFonts w:cs="Arial"/>
                <w:color w:val="000000"/>
                <w:sz w:val="20"/>
                <w:szCs w:val="20"/>
                <w:lang w:eastAsia="en-GB"/>
              </w:rPr>
              <w:t>)</w:t>
            </w:r>
          </w:p>
        </w:tc>
        <w:tc>
          <w:tcPr>
            <w:tcW w:w="1059" w:type="dxa"/>
            <w:tcBorders>
              <w:top w:val="nil"/>
              <w:left w:val="nil"/>
              <w:bottom w:val="nil"/>
              <w:right w:val="single" w:sz="8" w:space="0" w:color="auto"/>
            </w:tcBorders>
            <w:shd w:val="clear" w:color="000000" w:fill="FFFFFF"/>
            <w:noWrap/>
            <w:vAlign w:val="center"/>
            <w:hideMark/>
          </w:tcPr>
          <w:p w14:paraId="7DDEACAC" w14:textId="10F80F21"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B960FF">
              <w:rPr>
                <w:rFonts w:cs="Arial"/>
                <w:color w:val="000000"/>
                <w:sz w:val="20"/>
                <w:szCs w:val="20"/>
                <w:lang w:eastAsia="en-GB"/>
              </w:rPr>
              <w:t>281</w:t>
            </w:r>
            <w:r w:rsidRPr="00B960FF">
              <w:rPr>
                <w:rFonts w:cs="Arial"/>
                <w:color w:val="000000"/>
                <w:sz w:val="20"/>
                <w:szCs w:val="20"/>
                <w:lang w:eastAsia="en-GB"/>
              </w:rPr>
              <w:t>)</w:t>
            </w:r>
          </w:p>
        </w:tc>
      </w:tr>
      <w:tr w:rsidR="00B967AB" w:rsidRPr="00B960FF" w14:paraId="24662D7D" w14:textId="77777777" w:rsidTr="00B967AB">
        <w:trPr>
          <w:trHeight w:val="290"/>
        </w:trPr>
        <w:tc>
          <w:tcPr>
            <w:tcW w:w="961" w:type="dxa"/>
            <w:tcBorders>
              <w:top w:val="nil"/>
              <w:left w:val="single" w:sz="8" w:space="0" w:color="auto"/>
              <w:bottom w:val="nil"/>
              <w:right w:val="nil"/>
            </w:tcBorders>
            <w:shd w:val="clear" w:color="000000" w:fill="FFFFFF"/>
            <w:noWrap/>
            <w:vAlign w:val="center"/>
            <w:hideMark/>
          </w:tcPr>
          <w:p w14:paraId="452A7A6D" w14:textId="0DC666D6"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883600" w:rsidRPr="00B960FF">
              <w:rPr>
                <w:rFonts w:cs="Arial"/>
                <w:color w:val="000000"/>
                <w:sz w:val="20"/>
                <w:szCs w:val="20"/>
                <w:lang w:eastAsia="en-GB"/>
              </w:rPr>
              <w:t>102</w:t>
            </w:r>
            <w:r w:rsidRPr="00B960FF">
              <w:rPr>
                <w:rFonts w:cs="Arial"/>
                <w:color w:val="000000"/>
                <w:sz w:val="20"/>
                <w:szCs w:val="20"/>
                <w:lang w:eastAsia="en-GB"/>
              </w:rPr>
              <w:t>)</w:t>
            </w:r>
          </w:p>
        </w:tc>
        <w:tc>
          <w:tcPr>
            <w:tcW w:w="1120" w:type="dxa"/>
            <w:tcBorders>
              <w:top w:val="nil"/>
              <w:left w:val="nil"/>
              <w:bottom w:val="nil"/>
              <w:right w:val="nil"/>
            </w:tcBorders>
            <w:shd w:val="clear" w:color="000000" w:fill="FFFFFF"/>
            <w:noWrap/>
            <w:vAlign w:val="center"/>
            <w:hideMark/>
          </w:tcPr>
          <w:p w14:paraId="09A79166" w14:textId="77777777"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0</w:t>
            </w:r>
          </w:p>
        </w:tc>
        <w:tc>
          <w:tcPr>
            <w:tcW w:w="1038" w:type="dxa"/>
            <w:tcBorders>
              <w:top w:val="nil"/>
              <w:left w:val="nil"/>
              <w:bottom w:val="nil"/>
              <w:right w:val="nil"/>
            </w:tcBorders>
            <w:shd w:val="clear" w:color="000000" w:fill="FFFFFF"/>
            <w:noWrap/>
            <w:vAlign w:val="center"/>
            <w:hideMark/>
          </w:tcPr>
          <w:p w14:paraId="7C81BBCF" w14:textId="556B73F9"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883600" w:rsidRPr="00B960FF">
              <w:rPr>
                <w:rFonts w:cs="Arial"/>
                <w:color w:val="000000"/>
                <w:sz w:val="20"/>
                <w:szCs w:val="20"/>
                <w:lang w:eastAsia="en-GB"/>
              </w:rPr>
              <w:t>102</w:t>
            </w:r>
            <w:r w:rsidRPr="00B960FF">
              <w:rPr>
                <w:rFonts w:cs="Arial"/>
                <w:color w:val="000000"/>
                <w:sz w:val="20"/>
                <w:szCs w:val="20"/>
                <w:lang w:eastAsia="en-GB"/>
              </w:rPr>
              <w:t>)</w:t>
            </w:r>
          </w:p>
        </w:tc>
        <w:tc>
          <w:tcPr>
            <w:tcW w:w="4111" w:type="dxa"/>
            <w:tcBorders>
              <w:top w:val="nil"/>
              <w:left w:val="nil"/>
              <w:bottom w:val="nil"/>
              <w:right w:val="nil"/>
            </w:tcBorders>
            <w:shd w:val="clear" w:color="000000" w:fill="FFFFFF"/>
            <w:noWrap/>
            <w:vAlign w:val="center"/>
            <w:hideMark/>
          </w:tcPr>
          <w:p w14:paraId="180EF886"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Interest &amp; investment income</w:t>
            </w:r>
          </w:p>
        </w:tc>
        <w:tc>
          <w:tcPr>
            <w:tcW w:w="961" w:type="dxa"/>
            <w:tcBorders>
              <w:top w:val="nil"/>
              <w:left w:val="nil"/>
              <w:bottom w:val="nil"/>
              <w:right w:val="nil"/>
            </w:tcBorders>
            <w:shd w:val="clear" w:color="000000" w:fill="FFFFFF"/>
            <w:noWrap/>
            <w:vAlign w:val="center"/>
            <w:hideMark/>
          </w:tcPr>
          <w:p w14:paraId="1160FE21" w14:textId="26F975D0"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B960FF">
              <w:rPr>
                <w:rFonts w:cs="Arial"/>
                <w:color w:val="000000"/>
                <w:sz w:val="20"/>
                <w:szCs w:val="20"/>
                <w:lang w:eastAsia="en-GB"/>
              </w:rPr>
              <w:t>217</w:t>
            </w:r>
            <w:r w:rsidRPr="00B960FF">
              <w:rPr>
                <w:rFonts w:cs="Arial"/>
                <w:color w:val="000000"/>
                <w:sz w:val="20"/>
                <w:szCs w:val="20"/>
                <w:lang w:eastAsia="en-GB"/>
              </w:rPr>
              <w:t>)</w:t>
            </w:r>
          </w:p>
        </w:tc>
        <w:tc>
          <w:tcPr>
            <w:tcW w:w="1165" w:type="dxa"/>
            <w:tcBorders>
              <w:top w:val="nil"/>
              <w:left w:val="nil"/>
              <w:bottom w:val="nil"/>
              <w:right w:val="nil"/>
            </w:tcBorders>
            <w:shd w:val="clear" w:color="000000" w:fill="FFFFFF"/>
            <w:noWrap/>
            <w:vAlign w:val="center"/>
            <w:hideMark/>
          </w:tcPr>
          <w:p w14:paraId="5101FC79" w14:textId="77777777"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0</w:t>
            </w:r>
          </w:p>
        </w:tc>
        <w:tc>
          <w:tcPr>
            <w:tcW w:w="1059" w:type="dxa"/>
            <w:tcBorders>
              <w:top w:val="nil"/>
              <w:left w:val="nil"/>
              <w:bottom w:val="nil"/>
              <w:right w:val="single" w:sz="8" w:space="0" w:color="auto"/>
            </w:tcBorders>
            <w:shd w:val="clear" w:color="000000" w:fill="FFFFFF"/>
            <w:noWrap/>
            <w:vAlign w:val="center"/>
            <w:hideMark/>
          </w:tcPr>
          <w:p w14:paraId="543F888B" w14:textId="3C904C40"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B960FF">
              <w:rPr>
                <w:rFonts w:cs="Arial"/>
                <w:color w:val="000000"/>
                <w:sz w:val="20"/>
                <w:szCs w:val="20"/>
                <w:lang w:eastAsia="en-GB"/>
              </w:rPr>
              <w:t>217</w:t>
            </w:r>
            <w:r w:rsidRPr="00B960FF">
              <w:rPr>
                <w:rFonts w:cs="Arial"/>
                <w:color w:val="000000"/>
                <w:sz w:val="20"/>
                <w:szCs w:val="20"/>
                <w:lang w:eastAsia="en-GB"/>
              </w:rPr>
              <w:t>)</w:t>
            </w:r>
          </w:p>
        </w:tc>
      </w:tr>
      <w:tr w:rsidR="00B967AB" w:rsidRPr="00B960FF" w14:paraId="0A31AFBF" w14:textId="77777777" w:rsidTr="00B967AB">
        <w:trPr>
          <w:trHeight w:val="290"/>
        </w:trPr>
        <w:tc>
          <w:tcPr>
            <w:tcW w:w="961" w:type="dxa"/>
            <w:tcBorders>
              <w:top w:val="single" w:sz="4" w:space="0" w:color="auto"/>
              <w:left w:val="single" w:sz="8" w:space="0" w:color="auto"/>
              <w:bottom w:val="single" w:sz="4" w:space="0" w:color="auto"/>
              <w:right w:val="nil"/>
            </w:tcBorders>
            <w:shd w:val="clear" w:color="000000" w:fill="FFFFFF"/>
            <w:noWrap/>
            <w:vAlign w:val="center"/>
            <w:hideMark/>
          </w:tcPr>
          <w:p w14:paraId="7EEBEAF3" w14:textId="0E341822"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(1</w:t>
            </w:r>
            <w:r w:rsidR="00883600" w:rsidRPr="00B960FF">
              <w:rPr>
                <w:rFonts w:cs="Arial"/>
                <w:color w:val="000000"/>
                <w:sz w:val="20"/>
                <w:szCs w:val="20"/>
                <w:lang w:eastAsia="en-GB"/>
              </w:rPr>
              <w:t>5,070</w:t>
            </w:r>
            <w:r w:rsidRPr="00B960FF">
              <w:rPr>
                <w:rFonts w:cs="Arial"/>
                <w:color w:val="000000"/>
                <w:sz w:val="20"/>
                <w:szCs w:val="20"/>
                <w:lang w:eastAsia="en-GB"/>
              </w:rPr>
              <w:t>)</w:t>
            </w:r>
          </w:p>
        </w:tc>
        <w:tc>
          <w:tcPr>
            <w:tcW w:w="1120" w:type="dxa"/>
            <w:tcBorders>
              <w:top w:val="single" w:sz="4" w:space="0" w:color="auto"/>
              <w:left w:val="nil"/>
              <w:bottom w:val="single" w:sz="4" w:space="0" w:color="auto"/>
              <w:right w:val="nil"/>
            </w:tcBorders>
            <w:shd w:val="clear" w:color="000000" w:fill="FFFFFF"/>
            <w:noWrap/>
            <w:vAlign w:val="center"/>
            <w:hideMark/>
          </w:tcPr>
          <w:p w14:paraId="3BA1649D" w14:textId="4CFBD60E"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(1,</w:t>
            </w:r>
            <w:r w:rsidR="00883600" w:rsidRPr="00B960FF">
              <w:rPr>
                <w:rFonts w:cs="Arial"/>
                <w:color w:val="000000"/>
                <w:sz w:val="20"/>
                <w:szCs w:val="20"/>
                <w:lang w:eastAsia="en-GB"/>
              </w:rPr>
              <w:t>536</w:t>
            </w:r>
            <w:r w:rsidRPr="00B960FF">
              <w:rPr>
                <w:rFonts w:cs="Arial"/>
                <w:color w:val="000000"/>
                <w:sz w:val="20"/>
                <w:szCs w:val="20"/>
                <w:lang w:eastAsia="en-GB"/>
              </w:rPr>
              <w:t>)</w:t>
            </w:r>
          </w:p>
        </w:tc>
        <w:tc>
          <w:tcPr>
            <w:tcW w:w="1038" w:type="dxa"/>
            <w:tcBorders>
              <w:top w:val="single" w:sz="4" w:space="0" w:color="auto"/>
              <w:left w:val="nil"/>
              <w:bottom w:val="single" w:sz="4" w:space="0" w:color="auto"/>
              <w:right w:val="nil"/>
            </w:tcBorders>
            <w:shd w:val="clear" w:color="000000" w:fill="FFFFFF"/>
            <w:noWrap/>
            <w:vAlign w:val="center"/>
            <w:hideMark/>
          </w:tcPr>
          <w:p w14:paraId="399DAA16" w14:textId="5C1E0F94"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(16,</w:t>
            </w:r>
            <w:r w:rsidR="00883600" w:rsidRPr="00B960FF">
              <w:rPr>
                <w:rFonts w:cs="Arial"/>
                <w:color w:val="000000"/>
                <w:sz w:val="20"/>
                <w:szCs w:val="20"/>
                <w:lang w:eastAsia="en-GB"/>
              </w:rPr>
              <w:t>606</w:t>
            </w:r>
            <w:r w:rsidRPr="00B960FF">
              <w:rPr>
                <w:rFonts w:cs="Arial"/>
                <w:color w:val="000000"/>
                <w:sz w:val="20"/>
                <w:szCs w:val="20"/>
                <w:lang w:eastAsia="en-GB"/>
              </w:rPr>
              <w:t>)</w:t>
            </w:r>
          </w:p>
        </w:tc>
        <w:tc>
          <w:tcPr>
            <w:tcW w:w="4111" w:type="dxa"/>
            <w:tcBorders>
              <w:top w:val="single" w:sz="4" w:space="0" w:color="auto"/>
              <w:left w:val="nil"/>
              <w:bottom w:val="single" w:sz="4" w:space="0" w:color="auto"/>
              <w:right w:val="nil"/>
            </w:tcBorders>
            <w:shd w:val="clear" w:color="000000" w:fill="FFFFFF"/>
            <w:noWrap/>
            <w:vAlign w:val="center"/>
            <w:hideMark/>
          </w:tcPr>
          <w:p w14:paraId="7092D9AB"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c>
          <w:tcPr>
            <w:tcW w:w="961" w:type="dxa"/>
            <w:tcBorders>
              <w:top w:val="single" w:sz="4" w:space="0" w:color="auto"/>
              <w:left w:val="nil"/>
              <w:bottom w:val="single" w:sz="4" w:space="0" w:color="auto"/>
              <w:right w:val="nil"/>
            </w:tcBorders>
            <w:shd w:val="clear" w:color="000000" w:fill="FFFFFF"/>
            <w:noWrap/>
            <w:vAlign w:val="center"/>
            <w:hideMark/>
          </w:tcPr>
          <w:p w14:paraId="4CB5607E" w14:textId="4FD168BC"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w:t>
            </w:r>
            <w:r w:rsidR="00B960FF">
              <w:rPr>
                <w:rFonts w:cs="Arial"/>
                <w:color w:val="000000"/>
                <w:sz w:val="20"/>
                <w:szCs w:val="20"/>
                <w:lang w:eastAsia="en-GB"/>
              </w:rPr>
              <w:t>16,624</w:t>
            </w:r>
            <w:r w:rsidRPr="00B960FF">
              <w:rPr>
                <w:rFonts w:cs="Arial"/>
                <w:color w:val="000000"/>
                <w:sz w:val="20"/>
                <w:szCs w:val="20"/>
                <w:lang w:eastAsia="en-GB"/>
              </w:rPr>
              <w:t>)</w:t>
            </w:r>
          </w:p>
        </w:tc>
        <w:tc>
          <w:tcPr>
            <w:tcW w:w="1165" w:type="dxa"/>
            <w:tcBorders>
              <w:top w:val="single" w:sz="4" w:space="0" w:color="auto"/>
              <w:left w:val="nil"/>
              <w:bottom w:val="single" w:sz="4" w:space="0" w:color="auto"/>
              <w:right w:val="nil"/>
            </w:tcBorders>
            <w:shd w:val="clear" w:color="000000" w:fill="FFFFFF"/>
            <w:noWrap/>
            <w:vAlign w:val="center"/>
            <w:hideMark/>
          </w:tcPr>
          <w:p w14:paraId="6543A6DA" w14:textId="1BC615F9"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w:t>
            </w:r>
            <w:r w:rsidR="00B960FF">
              <w:rPr>
                <w:rFonts w:cs="Arial"/>
                <w:color w:val="000000"/>
                <w:sz w:val="20"/>
                <w:szCs w:val="20"/>
                <w:lang w:eastAsia="en-GB"/>
              </w:rPr>
              <w:t>434</w:t>
            </w:r>
            <w:r w:rsidRPr="00B960FF">
              <w:rPr>
                <w:rFonts w:cs="Arial"/>
                <w:color w:val="000000"/>
                <w:sz w:val="20"/>
                <w:szCs w:val="20"/>
                <w:lang w:eastAsia="en-GB"/>
              </w:rPr>
              <w:t>)</w:t>
            </w:r>
          </w:p>
        </w:tc>
        <w:tc>
          <w:tcPr>
            <w:tcW w:w="1059" w:type="dxa"/>
            <w:tcBorders>
              <w:top w:val="single" w:sz="4" w:space="0" w:color="auto"/>
              <w:left w:val="nil"/>
              <w:bottom w:val="single" w:sz="4" w:space="0" w:color="auto"/>
              <w:right w:val="single" w:sz="8" w:space="0" w:color="auto"/>
            </w:tcBorders>
            <w:shd w:val="clear" w:color="000000" w:fill="FFFFFF"/>
            <w:noWrap/>
            <w:vAlign w:val="center"/>
            <w:hideMark/>
          </w:tcPr>
          <w:p w14:paraId="6F64D44E" w14:textId="7EE8210F" w:rsidR="00B967AB" w:rsidRPr="00B960FF" w:rsidRDefault="00B967AB" w:rsidP="0070459C">
            <w:pPr>
              <w:tabs>
                <w:tab w:val="num" w:pos="851"/>
              </w:tabs>
              <w:jc w:val="right"/>
              <w:rPr>
                <w:rFonts w:cs="Arial"/>
                <w:color w:val="000000"/>
                <w:sz w:val="20"/>
                <w:szCs w:val="20"/>
                <w:lang w:eastAsia="en-GB"/>
              </w:rPr>
            </w:pPr>
            <w:r w:rsidRPr="00B960FF">
              <w:rPr>
                <w:rFonts w:cs="Arial"/>
                <w:color w:val="000000"/>
                <w:sz w:val="20"/>
                <w:szCs w:val="20"/>
                <w:lang w:eastAsia="en-GB"/>
              </w:rPr>
              <w:t xml:space="preserve"> (1</w:t>
            </w:r>
            <w:r w:rsidR="00B960FF">
              <w:rPr>
                <w:rFonts w:cs="Arial"/>
                <w:color w:val="000000"/>
                <w:sz w:val="20"/>
                <w:szCs w:val="20"/>
                <w:lang w:eastAsia="en-GB"/>
              </w:rPr>
              <w:t>7,058</w:t>
            </w:r>
            <w:r w:rsidRPr="00B960FF">
              <w:rPr>
                <w:rFonts w:cs="Arial"/>
                <w:color w:val="000000"/>
                <w:sz w:val="20"/>
                <w:szCs w:val="20"/>
                <w:lang w:eastAsia="en-GB"/>
              </w:rPr>
              <w:t>)</w:t>
            </w:r>
          </w:p>
        </w:tc>
      </w:tr>
      <w:tr w:rsidR="00B967AB" w:rsidRPr="00B960FF" w14:paraId="7577B8D0" w14:textId="77777777" w:rsidTr="00B967AB">
        <w:trPr>
          <w:trHeight w:val="290"/>
        </w:trPr>
        <w:tc>
          <w:tcPr>
            <w:tcW w:w="961" w:type="dxa"/>
            <w:tcBorders>
              <w:top w:val="nil"/>
              <w:left w:val="single" w:sz="8" w:space="0" w:color="auto"/>
              <w:bottom w:val="nil"/>
              <w:right w:val="nil"/>
            </w:tcBorders>
            <w:shd w:val="clear" w:color="000000" w:fill="FFFFFF"/>
            <w:noWrap/>
            <w:vAlign w:val="center"/>
            <w:hideMark/>
          </w:tcPr>
          <w:p w14:paraId="2F2FEC28"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c>
          <w:tcPr>
            <w:tcW w:w="1120" w:type="dxa"/>
            <w:tcBorders>
              <w:top w:val="nil"/>
              <w:left w:val="nil"/>
              <w:bottom w:val="nil"/>
              <w:right w:val="nil"/>
            </w:tcBorders>
            <w:shd w:val="clear" w:color="000000" w:fill="FFFFFF"/>
            <w:noWrap/>
            <w:vAlign w:val="center"/>
            <w:hideMark/>
          </w:tcPr>
          <w:p w14:paraId="5C839618"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c>
          <w:tcPr>
            <w:tcW w:w="1038" w:type="dxa"/>
            <w:tcBorders>
              <w:top w:val="nil"/>
              <w:left w:val="nil"/>
              <w:bottom w:val="nil"/>
              <w:right w:val="nil"/>
            </w:tcBorders>
            <w:shd w:val="clear" w:color="000000" w:fill="FFFFFF"/>
            <w:noWrap/>
            <w:vAlign w:val="center"/>
            <w:hideMark/>
          </w:tcPr>
          <w:p w14:paraId="3F21EF36"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c>
          <w:tcPr>
            <w:tcW w:w="4111" w:type="dxa"/>
            <w:tcBorders>
              <w:top w:val="nil"/>
              <w:left w:val="nil"/>
              <w:bottom w:val="nil"/>
              <w:right w:val="nil"/>
            </w:tcBorders>
            <w:shd w:val="clear" w:color="000000" w:fill="FFFFFF"/>
            <w:noWrap/>
            <w:vAlign w:val="center"/>
            <w:hideMark/>
          </w:tcPr>
          <w:p w14:paraId="13E2B1F4"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c>
          <w:tcPr>
            <w:tcW w:w="961" w:type="dxa"/>
            <w:tcBorders>
              <w:top w:val="nil"/>
              <w:left w:val="nil"/>
              <w:bottom w:val="nil"/>
              <w:right w:val="nil"/>
            </w:tcBorders>
            <w:shd w:val="clear" w:color="000000" w:fill="FFFFFF"/>
            <w:noWrap/>
            <w:vAlign w:val="center"/>
            <w:hideMark/>
          </w:tcPr>
          <w:p w14:paraId="7AD18E1E"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c>
          <w:tcPr>
            <w:tcW w:w="1165" w:type="dxa"/>
            <w:tcBorders>
              <w:top w:val="nil"/>
              <w:left w:val="nil"/>
              <w:bottom w:val="nil"/>
              <w:right w:val="nil"/>
            </w:tcBorders>
            <w:shd w:val="clear" w:color="000000" w:fill="FFFFFF"/>
            <w:noWrap/>
            <w:vAlign w:val="center"/>
            <w:hideMark/>
          </w:tcPr>
          <w:p w14:paraId="544602BE"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c>
          <w:tcPr>
            <w:tcW w:w="1059" w:type="dxa"/>
            <w:tcBorders>
              <w:top w:val="nil"/>
              <w:left w:val="nil"/>
              <w:bottom w:val="nil"/>
              <w:right w:val="single" w:sz="8" w:space="0" w:color="auto"/>
            </w:tcBorders>
            <w:shd w:val="clear" w:color="000000" w:fill="FFFFFF"/>
            <w:noWrap/>
            <w:vAlign w:val="center"/>
            <w:hideMark/>
          </w:tcPr>
          <w:p w14:paraId="1CE417F4"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r>
      <w:tr w:rsidR="00B967AB" w:rsidRPr="00B960FF" w14:paraId="4F81CB1A" w14:textId="77777777" w:rsidTr="00B967AB">
        <w:trPr>
          <w:trHeight w:val="300"/>
        </w:trPr>
        <w:tc>
          <w:tcPr>
            <w:tcW w:w="961" w:type="dxa"/>
            <w:tcBorders>
              <w:top w:val="single" w:sz="4" w:space="0" w:color="auto"/>
              <w:left w:val="single" w:sz="8" w:space="0" w:color="auto"/>
              <w:bottom w:val="double" w:sz="6" w:space="0" w:color="auto"/>
              <w:right w:val="nil"/>
            </w:tcBorders>
            <w:shd w:val="clear" w:color="000000" w:fill="FFFFFF"/>
            <w:noWrap/>
            <w:vAlign w:val="center"/>
            <w:hideMark/>
          </w:tcPr>
          <w:p w14:paraId="0CFA0737" w14:textId="4543CBF3" w:rsidR="00B967AB" w:rsidRPr="00B960FF" w:rsidRDefault="00B967AB" w:rsidP="0070459C">
            <w:pPr>
              <w:tabs>
                <w:tab w:val="num" w:pos="851"/>
              </w:tabs>
              <w:jc w:val="right"/>
              <w:rPr>
                <w:rFonts w:cs="Arial"/>
                <w:b/>
                <w:bCs/>
                <w:color w:val="000000"/>
                <w:sz w:val="20"/>
                <w:szCs w:val="20"/>
                <w:lang w:eastAsia="en-GB"/>
              </w:rPr>
            </w:pPr>
            <w:r w:rsidRPr="00B960FF">
              <w:rPr>
                <w:rFonts w:cs="Arial"/>
                <w:b/>
                <w:bCs/>
                <w:color w:val="000000"/>
                <w:sz w:val="20"/>
                <w:szCs w:val="20"/>
                <w:lang w:eastAsia="en-GB"/>
              </w:rPr>
              <w:t xml:space="preserve"> (</w:t>
            </w:r>
            <w:r w:rsidR="00883600" w:rsidRPr="00B960FF">
              <w:rPr>
                <w:rFonts w:cs="Arial"/>
                <w:b/>
                <w:bCs/>
                <w:color w:val="000000"/>
                <w:sz w:val="20"/>
                <w:szCs w:val="20"/>
                <w:lang w:eastAsia="en-GB"/>
              </w:rPr>
              <w:t>181</w:t>
            </w:r>
            <w:r w:rsidRPr="00B960FF">
              <w:rPr>
                <w:rFonts w:cs="Arial"/>
                <w:b/>
                <w:bCs/>
                <w:color w:val="000000"/>
                <w:sz w:val="20"/>
                <w:szCs w:val="20"/>
                <w:lang w:eastAsia="en-GB"/>
              </w:rPr>
              <w:t>)</w:t>
            </w:r>
          </w:p>
        </w:tc>
        <w:tc>
          <w:tcPr>
            <w:tcW w:w="1120" w:type="dxa"/>
            <w:tcBorders>
              <w:top w:val="single" w:sz="4" w:space="0" w:color="auto"/>
              <w:left w:val="nil"/>
              <w:bottom w:val="double" w:sz="6" w:space="0" w:color="auto"/>
              <w:right w:val="nil"/>
            </w:tcBorders>
            <w:shd w:val="clear" w:color="000000" w:fill="FFFFFF"/>
            <w:noWrap/>
            <w:vAlign w:val="center"/>
            <w:hideMark/>
          </w:tcPr>
          <w:p w14:paraId="6EF38200" w14:textId="6F90DA14" w:rsidR="00B967AB" w:rsidRPr="00B960FF" w:rsidRDefault="00B967AB" w:rsidP="0070459C">
            <w:pPr>
              <w:tabs>
                <w:tab w:val="num" w:pos="851"/>
              </w:tabs>
              <w:jc w:val="right"/>
              <w:rPr>
                <w:rFonts w:cs="Arial"/>
                <w:b/>
                <w:bCs/>
                <w:color w:val="000000"/>
                <w:sz w:val="20"/>
                <w:szCs w:val="20"/>
                <w:lang w:eastAsia="en-GB"/>
              </w:rPr>
            </w:pPr>
            <w:r w:rsidRPr="00B960FF">
              <w:rPr>
                <w:rFonts w:cs="Arial"/>
                <w:b/>
                <w:bCs/>
                <w:color w:val="000000"/>
                <w:sz w:val="20"/>
                <w:szCs w:val="20"/>
                <w:lang w:eastAsia="en-GB"/>
              </w:rPr>
              <w:t>2,</w:t>
            </w:r>
            <w:r w:rsidR="00883600" w:rsidRPr="00B960FF">
              <w:rPr>
                <w:rFonts w:cs="Arial"/>
                <w:b/>
                <w:bCs/>
                <w:color w:val="000000"/>
                <w:sz w:val="20"/>
                <w:szCs w:val="20"/>
                <w:lang w:eastAsia="en-GB"/>
              </w:rPr>
              <w:t>640</w:t>
            </w:r>
          </w:p>
        </w:tc>
        <w:tc>
          <w:tcPr>
            <w:tcW w:w="1038" w:type="dxa"/>
            <w:tcBorders>
              <w:top w:val="single" w:sz="4" w:space="0" w:color="auto"/>
              <w:left w:val="nil"/>
              <w:bottom w:val="double" w:sz="6" w:space="0" w:color="auto"/>
              <w:right w:val="nil"/>
            </w:tcBorders>
            <w:shd w:val="clear" w:color="000000" w:fill="FFFFFF"/>
            <w:noWrap/>
            <w:vAlign w:val="center"/>
            <w:hideMark/>
          </w:tcPr>
          <w:p w14:paraId="0ECF1C9C" w14:textId="4880159A" w:rsidR="00B967AB" w:rsidRPr="00B960FF" w:rsidRDefault="00883600" w:rsidP="0070459C">
            <w:pPr>
              <w:tabs>
                <w:tab w:val="num" w:pos="851"/>
              </w:tabs>
              <w:jc w:val="right"/>
              <w:rPr>
                <w:rFonts w:cs="Arial"/>
                <w:b/>
                <w:bCs/>
                <w:color w:val="000000"/>
                <w:sz w:val="20"/>
                <w:szCs w:val="20"/>
                <w:lang w:eastAsia="en-GB"/>
              </w:rPr>
            </w:pPr>
            <w:r w:rsidRPr="00B960FF">
              <w:rPr>
                <w:rFonts w:cs="Arial"/>
                <w:b/>
                <w:bCs/>
                <w:color w:val="000000"/>
                <w:sz w:val="20"/>
                <w:szCs w:val="20"/>
                <w:lang w:eastAsia="en-GB"/>
              </w:rPr>
              <w:t>2,459</w:t>
            </w:r>
          </w:p>
        </w:tc>
        <w:tc>
          <w:tcPr>
            <w:tcW w:w="4111" w:type="dxa"/>
            <w:tcBorders>
              <w:top w:val="single" w:sz="4" w:space="0" w:color="auto"/>
              <w:left w:val="nil"/>
              <w:bottom w:val="double" w:sz="6" w:space="0" w:color="auto"/>
              <w:right w:val="nil"/>
            </w:tcBorders>
            <w:shd w:val="clear" w:color="000000" w:fill="FFFFFF"/>
            <w:noWrap/>
            <w:vAlign w:val="center"/>
            <w:hideMark/>
          </w:tcPr>
          <w:p w14:paraId="3A8941A6" w14:textId="77777777" w:rsidR="00B967AB" w:rsidRPr="00B960FF" w:rsidRDefault="00B967AB" w:rsidP="0070459C">
            <w:pPr>
              <w:tabs>
                <w:tab w:val="num" w:pos="851"/>
              </w:tabs>
              <w:rPr>
                <w:rFonts w:cs="Arial"/>
                <w:b/>
                <w:bCs/>
                <w:color w:val="000000"/>
                <w:sz w:val="20"/>
                <w:szCs w:val="20"/>
                <w:lang w:eastAsia="en-GB"/>
              </w:rPr>
            </w:pPr>
            <w:r w:rsidRPr="00B960FF">
              <w:rPr>
                <w:rFonts w:cs="Arial"/>
                <w:b/>
                <w:bCs/>
                <w:color w:val="000000"/>
                <w:sz w:val="20"/>
                <w:szCs w:val="20"/>
                <w:lang w:eastAsia="en-GB"/>
              </w:rPr>
              <w:t>(Surplus) / Deficit on Provision of Services</w:t>
            </w:r>
          </w:p>
        </w:tc>
        <w:tc>
          <w:tcPr>
            <w:tcW w:w="961" w:type="dxa"/>
            <w:tcBorders>
              <w:top w:val="single" w:sz="4" w:space="0" w:color="auto"/>
              <w:left w:val="nil"/>
              <w:bottom w:val="double" w:sz="6" w:space="0" w:color="auto"/>
              <w:right w:val="nil"/>
            </w:tcBorders>
            <w:shd w:val="clear" w:color="000000" w:fill="FFFFFF"/>
            <w:noWrap/>
            <w:vAlign w:val="center"/>
            <w:hideMark/>
          </w:tcPr>
          <w:p w14:paraId="3EA840E4" w14:textId="353F4843" w:rsidR="00B967AB" w:rsidRPr="00B960FF" w:rsidRDefault="00B967AB" w:rsidP="0070459C">
            <w:pPr>
              <w:tabs>
                <w:tab w:val="num" w:pos="851"/>
              </w:tabs>
              <w:jc w:val="right"/>
              <w:rPr>
                <w:rFonts w:cs="Arial"/>
                <w:b/>
                <w:bCs/>
                <w:color w:val="000000"/>
                <w:sz w:val="20"/>
                <w:szCs w:val="20"/>
                <w:lang w:eastAsia="en-GB"/>
              </w:rPr>
            </w:pPr>
            <w:r w:rsidRPr="00B960FF">
              <w:rPr>
                <w:rFonts w:cs="Arial"/>
                <w:b/>
                <w:bCs/>
                <w:color w:val="000000"/>
                <w:sz w:val="20"/>
                <w:szCs w:val="20"/>
                <w:lang w:eastAsia="en-GB"/>
              </w:rPr>
              <w:t xml:space="preserve"> (</w:t>
            </w:r>
            <w:r w:rsidR="00B960FF">
              <w:rPr>
                <w:rFonts w:cs="Arial"/>
                <w:b/>
                <w:bCs/>
                <w:color w:val="000000"/>
                <w:sz w:val="20"/>
                <w:szCs w:val="20"/>
                <w:lang w:eastAsia="en-GB"/>
              </w:rPr>
              <w:t>423</w:t>
            </w:r>
            <w:r w:rsidRPr="00B960FF">
              <w:rPr>
                <w:rFonts w:cs="Arial"/>
                <w:b/>
                <w:bCs/>
                <w:color w:val="000000"/>
                <w:sz w:val="20"/>
                <w:szCs w:val="20"/>
                <w:lang w:eastAsia="en-GB"/>
              </w:rPr>
              <w:t>)</w:t>
            </w:r>
          </w:p>
        </w:tc>
        <w:tc>
          <w:tcPr>
            <w:tcW w:w="1165" w:type="dxa"/>
            <w:tcBorders>
              <w:top w:val="single" w:sz="4" w:space="0" w:color="auto"/>
              <w:left w:val="nil"/>
              <w:bottom w:val="double" w:sz="6" w:space="0" w:color="auto"/>
              <w:right w:val="nil"/>
            </w:tcBorders>
            <w:shd w:val="clear" w:color="000000" w:fill="FFFFFF"/>
            <w:noWrap/>
            <w:vAlign w:val="center"/>
            <w:hideMark/>
          </w:tcPr>
          <w:p w14:paraId="57CE3E86" w14:textId="78E53DE3" w:rsidR="00B967AB" w:rsidRPr="00B960FF" w:rsidRDefault="00B960FF" w:rsidP="0070459C">
            <w:pPr>
              <w:tabs>
                <w:tab w:val="num" w:pos="851"/>
              </w:tabs>
              <w:jc w:val="right"/>
              <w:rPr>
                <w:rFonts w:cs="Arial"/>
                <w:b/>
                <w:bCs/>
                <w:color w:val="000000"/>
                <w:sz w:val="20"/>
                <w:szCs w:val="20"/>
                <w:lang w:eastAsia="en-GB"/>
              </w:rPr>
            </w:pPr>
            <w:r>
              <w:rPr>
                <w:rFonts w:cs="Arial"/>
                <w:b/>
                <w:bCs/>
                <w:color w:val="000000"/>
                <w:sz w:val="20"/>
                <w:szCs w:val="20"/>
                <w:lang w:eastAsia="en-GB"/>
              </w:rPr>
              <w:t>1,225</w:t>
            </w:r>
          </w:p>
        </w:tc>
        <w:tc>
          <w:tcPr>
            <w:tcW w:w="1059" w:type="dxa"/>
            <w:tcBorders>
              <w:top w:val="single" w:sz="4" w:space="0" w:color="auto"/>
              <w:left w:val="nil"/>
              <w:bottom w:val="double" w:sz="6" w:space="0" w:color="auto"/>
              <w:right w:val="single" w:sz="8" w:space="0" w:color="auto"/>
            </w:tcBorders>
            <w:shd w:val="clear" w:color="000000" w:fill="FFFFFF"/>
            <w:noWrap/>
            <w:vAlign w:val="center"/>
            <w:hideMark/>
          </w:tcPr>
          <w:p w14:paraId="1E417066" w14:textId="650A0BA0" w:rsidR="00B967AB" w:rsidRPr="00B960FF" w:rsidRDefault="00B960FF" w:rsidP="0070459C">
            <w:pPr>
              <w:tabs>
                <w:tab w:val="num" w:pos="851"/>
              </w:tabs>
              <w:jc w:val="right"/>
              <w:rPr>
                <w:rFonts w:cs="Arial"/>
                <w:b/>
                <w:bCs/>
                <w:color w:val="000000"/>
                <w:sz w:val="20"/>
                <w:szCs w:val="20"/>
                <w:lang w:eastAsia="en-GB"/>
              </w:rPr>
            </w:pPr>
            <w:r>
              <w:rPr>
                <w:rFonts w:cs="Arial"/>
                <w:b/>
                <w:bCs/>
                <w:color w:val="000000"/>
                <w:sz w:val="20"/>
                <w:szCs w:val="20"/>
                <w:lang w:eastAsia="en-GB"/>
              </w:rPr>
              <w:t>802</w:t>
            </w:r>
          </w:p>
        </w:tc>
      </w:tr>
      <w:tr w:rsidR="00B967AB" w:rsidRPr="00B960FF" w14:paraId="1F814379" w14:textId="77777777" w:rsidTr="00B967AB">
        <w:trPr>
          <w:trHeight w:val="300"/>
        </w:trPr>
        <w:tc>
          <w:tcPr>
            <w:tcW w:w="961" w:type="dxa"/>
            <w:tcBorders>
              <w:top w:val="nil"/>
              <w:left w:val="single" w:sz="8" w:space="0" w:color="auto"/>
              <w:bottom w:val="nil"/>
              <w:right w:val="nil"/>
            </w:tcBorders>
            <w:shd w:val="clear" w:color="000000" w:fill="FFFFFF"/>
            <w:noWrap/>
            <w:vAlign w:val="center"/>
            <w:hideMark/>
          </w:tcPr>
          <w:p w14:paraId="41597A50"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c>
          <w:tcPr>
            <w:tcW w:w="1120" w:type="dxa"/>
            <w:tcBorders>
              <w:top w:val="nil"/>
              <w:left w:val="nil"/>
              <w:bottom w:val="nil"/>
              <w:right w:val="nil"/>
            </w:tcBorders>
            <w:shd w:val="clear" w:color="000000" w:fill="FFFFFF"/>
            <w:noWrap/>
            <w:vAlign w:val="center"/>
            <w:hideMark/>
          </w:tcPr>
          <w:p w14:paraId="20B62F0C"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c>
          <w:tcPr>
            <w:tcW w:w="1038" w:type="dxa"/>
            <w:tcBorders>
              <w:top w:val="nil"/>
              <w:left w:val="nil"/>
              <w:bottom w:val="nil"/>
              <w:right w:val="nil"/>
            </w:tcBorders>
            <w:shd w:val="clear" w:color="000000" w:fill="FFFFFF"/>
            <w:noWrap/>
            <w:vAlign w:val="center"/>
            <w:hideMark/>
          </w:tcPr>
          <w:p w14:paraId="0837ACFD"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c>
          <w:tcPr>
            <w:tcW w:w="4111" w:type="dxa"/>
            <w:tcBorders>
              <w:top w:val="nil"/>
              <w:left w:val="nil"/>
              <w:bottom w:val="nil"/>
              <w:right w:val="nil"/>
            </w:tcBorders>
            <w:shd w:val="clear" w:color="000000" w:fill="FFFFFF"/>
            <w:noWrap/>
            <w:vAlign w:val="center"/>
            <w:hideMark/>
          </w:tcPr>
          <w:p w14:paraId="5AF42047"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c>
          <w:tcPr>
            <w:tcW w:w="961" w:type="dxa"/>
            <w:tcBorders>
              <w:top w:val="nil"/>
              <w:left w:val="nil"/>
              <w:bottom w:val="nil"/>
              <w:right w:val="nil"/>
            </w:tcBorders>
            <w:shd w:val="clear" w:color="000000" w:fill="FFFFFF"/>
            <w:noWrap/>
            <w:vAlign w:val="center"/>
            <w:hideMark/>
          </w:tcPr>
          <w:p w14:paraId="628730BD"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c>
          <w:tcPr>
            <w:tcW w:w="1165" w:type="dxa"/>
            <w:tcBorders>
              <w:top w:val="nil"/>
              <w:left w:val="nil"/>
              <w:bottom w:val="nil"/>
              <w:right w:val="nil"/>
            </w:tcBorders>
            <w:shd w:val="clear" w:color="000000" w:fill="FFFFFF"/>
            <w:noWrap/>
            <w:vAlign w:val="center"/>
            <w:hideMark/>
          </w:tcPr>
          <w:p w14:paraId="7765A08B"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c>
          <w:tcPr>
            <w:tcW w:w="1059" w:type="dxa"/>
            <w:tcBorders>
              <w:top w:val="nil"/>
              <w:left w:val="nil"/>
              <w:bottom w:val="nil"/>
              <w:right w:val="single" w:sz="8" w:space="0" w:color="auto"/>
            </w:tcBorders>
            <w:shd w:val="clear" w:color="000000" w:fill="FFFFFF"/>
            <w:noWrap/>
            <w:vAlign w:val="center"/>
            <w:hideMark/>
          </w:tcPr>
          <w:p w14:paraId="10CCE531" w14:textId="77777777" w:rsidR="00B967AB" w:rsidRPr="00B960FF" w:rsidRDefault="00B967AB" w:rsidP="0070459C">
            <w:pPr>
              <w:tabs>
                <w:tab w:val="num" w:pos="851"/>
              </w:tabs>
              <w:rPr>
                <w:rFonts w:cs="Arial"/>
                <w:color w:val="000000"/>
                <w:sz w:val="20"/>
                <w:szCs w:val="20"/>
                <w:lang w:eastAsia="en-GB"/>
              </w:rPr>
            </w:pPr>
            <w:r w:rsidRPr="00B960FF">
              <w:rPr>
                <w:rFonts w:cs="Arial"/>
                <w:color w:val="000000"/>
                <w:sz w:val="20"/>
                <w:szCs w:val="20"/>
                <w:lang w:eastAsia="en-GB"/>
              </w:rPr>
              <w:t> </w:t>
            </w:r>
          </w:p>
        </w:tc>
      </w:tr>
      <w:tr w:rsidR="00B967AB" w:rsidRPr="00B960FF" w14:paraId="79B2C1AA" w14:textId="77777777" w:rsidTr="00B967AB">
        <w:trPr>
          <w:trHeight w:val="300"/>
        </w:trPr>
        <w:tc>
          <w:tcPr>
            <w:tcW w:w="961" w:type="dxa"/>
            <w:tcBorders>
              <w:top w:val="single" w:sz="4" w:space="0" w:color="auto"/>
              <w:left w:val="single" w:sz="8" w:space="0" w:color="auto"/>
              <w:bottom w:val="single" w:sz="8" w:space="0" w:color="auto"/>
              <w:right w:val="nil"/>
            </w:tcBorders>
            <w:shd w:val="clear" w:color="000000" w:fill="FFFFFF"/>
            <w:noWrap/>
            <w:vAlign w:val="center"/>
            <w:hideMark/>
          </w:tcPr>
          <w:p w14:paraId="3D06350D" w14:textId="733A4D18" w:rsidR="00B967AB" w:rsidRPr="008F6397" w:rsidRDefault="008F6397" w:rsidP="0070459C">
            <w:pPr>
              <w:tabs>
                <w:tab w:val="num" w:pos="851"/>
              </w:tabs>
              <w:jc w:val="right"/>
              <w:rPr>
                <w:rFonts w:cs="Arial"/>
                <w:b/>
                <w:bCs/>
                <w:color w:val="000000"/>
                <w:sz w:val="20"/>
                <w:szCs w:val="20"/>
                <w:lang w:eastAsia="en-GB"/>
              </w:rPr>
            </w:pPr>
            <w:r w:rsidRPr="008F6397">
              <w:rPr>
                <w:rFonts w:cs="Arial"/>
                <w:b/>
                <w:bCs/>
                <w:color w:val="000000"/>
                <w:sz w:val="20"/>
                <w:szCs w:val="20"/>
                <w:lang w:eastAsia="en-GB"/>
              </w:rPr>
              <w:t>6,014</w:t>
            </w:r>
          </w:p>
        </w:tc>
        <w:tc>
          <w:tcPr>
            <w:tcW w:w="1120" w:type="dxa"/>
            <w:tcBorders>
              <w:top w:val="single" w:sz="4" w:space="0" w:color="auto"/>
              <w:left w:val="nil"/>
              <w:bottom w:val="single" w:sz="8" w:space="0" w:color="auto"/>
              <w:right w:val="nil"/>
            </w:tcBorders>
            <w:shd w:val="clear" w:color="000000" w:fill="FFFFFF"/>
            <w:noWrap/>
            <w:vAlign w:val="center"/>
            <w:hideMark/>
          </w:tcPr>
          <w:p w14:paraId="322E0120" w14:textId="6AE61A82" w:rsidR="00B967AB" w:rsidRPr="008F6397" w:rsidRDefault="008F6397" w:rsidP="0070459C">
            <w:pPr>
              <w:tabs>
                <w:tab w:val="num" w:pos="851"/>
              </w:tabs>
              <w:jc w:val="right"/>
              <w:rPr>
                <w:rFonts w:cs="Arial"/>
                <w:b/>
                <w:bCs/>
                <w:color w:val="000000"/>
                <w:sz w:val="20"/>
                <w:szCs w:val="20"/>
                <w:lang w:eastAsia="en-GB"/>
              </w:rPr>
            </w:pPr>
            <w:r w:rsidRPr="008F6397">
              <w:rPr>
                <w:rFonts w:cs="Arial"/>
                <w:b/>
                <w:bCs/>
                <w:color w:val="000000"/>
                <w:sz w:val="20"/>
                <w:szCs w:val="20"/>
                <w:lang w:eastAsia="en-GB"/>
              </w:rPr>
              <w:t>2,392</w:t>
            </w:r>
          </w:p>
        </w:tc>
        <w:tc>
          <w:tcPr>
            <w:tcW w:w="1038" w:type="dxa"/>
            <w:tcBorders>
              <w:top w:val="single" w:sz="4" w:space="0" w:color="auto"/>
              <w:left w:val="nil"/>
              <w:bottom w:val="single" w:sz="8" w:space="0" w:color="auto"/>
              <w:right w:val="nil"/>
            </w:tcBorders>
            <w:shd w:val="clear" w:color="000000" w:fill="FFFFFF"/>
            <w:noWrap/>
            <w:vAlign w:val="center"/>
            <w:hideMark/>
          </w:tcPr>
          <w:p w14:paraId="29EDF474" w14:textId="2264FF75" w:rsidR="00B967AB" w:rsidRPr="008F6397" w:rsidRDefault="008F6397" w:rsidP="0070459C">
            <w:pPr>
              <w:tabs>
                <w:tab w:val="num" w:pos="851"/>
              </w:tabs>
              <w:jc w:val="right"/>
              <w:rPr>
                <w:rFonts w:cs="Arial"/>
                <w:b/>
                <w:bCs/>
                <w:color w:val="000000"/>
                <w:sz w:val="20"/>
                <w:szCs w:val="20"/>
                <w:lang w:eastAsia="en-GB"/>
              </w:rPr>
            </w:pPr>
            <w:r w:rsidRPr="008F6397">
              <w:rPr>
                <w:rFonts w:cs="Arial"/>
                <w:b/>
                <w:bCs/>
                <w:color w:val="000000"/>
                <w:sz w:val="20"/>
                <w:szCs w:val="20"/>
                <w:lang w:eastAsia="en-GB"/>
              </w:rPr>
              <w:t>8,406</w:t>
            </w:r>
          </w:p>
        </w:tc>
        <w:tc>
          <w:tcPr>
            <w:tcW w:w="4111" w:type="dxa"/>
            <w:tcBorders>
              <w:top w:val="single" w:sz="4" w:space="0" w:color="auto"/>
              <w:left w:val="nil"/>
              <w:bottom w:val="single" w:sz="8" w:space="0" w:color="auto"/>
              <w:right w:val="nil"/>
            </w:tcBorders>
            <w:shd w:val="clear" w:color="000000" w:fill="FFFFFF"/>
            <w:noWrap/>
            <w:vAlign w:val="center"/>
            <w:hideMark/>
          </w:tcPr>
          <w:p w14:paraId="28C7D917" w14:textId="77777777" w:rsidR="00B967AB" w:rsidRPr="00B960FF" w:rsidRDefault="00B967AB" w:rsidP="0070459C">
            <w:pPr>
              <w:tabs>
                <w:tab w:val="num" w:pos="851"/>
              </w:tabs>
              <w:rPr>
                <w:rFonts w:cs="Arial"/>
                <w:b/>
                <w:bCs/>
                <w:color w:val="000000"/>
                <w:sz w:val="20"/>
                <w:szCs w:val="20"/>
                <w:lang w:eastAsia="en-GB"/>
              </w:rPr>
            </w:pPr>
            <w:r w:rsidRPr="00B960FF">
              <w:rPr>
                <w:rFonts w:cs="Arial"/>
                <w:b/>
                <w:bCs/>
                <w:color w:val="000000"/>
                <w:sz w:val="20"/>
                <w:szCs w:val="20"/>
                <w:lang w:eastAsia="en-GB"/>
              </w:rPr>
              <w:t>Cost of services *</w:t>
            </w:r>
          </w:p>
        </w:tc>
        <w:tc>
          <w:tcPr>
            <w:tcW w:w="961" w:type="dxa"/>
            <w:tcBorders>
              <w:top w:val="single" w:sz="4" w:space="0" w:color="auto"/>
              <w:left w:val="nil"/>
              <w:bottom w:val="single" w:sz="8" w:space="0" w:color="auto"/>
              <w:right w:val="nil"/>
            </w:tcBorders>
            <w:shd w:val="clear" w:color="000000" w:fill="FFFFFF"/>
            <w:noWrap/>
            <w:vAlign w:val="center"/>
            <w:hideMark/>
          </w:tcPr>
          <w:p w14:paraId="15DFFDC2" w14:textId="243E2661" w:rsidR="00B967AB" w:rsidRPr="00B960FF" w:rsidRDefault="00B960FF" w:rsidP="0070459C">
            <w:pPr>
              <w:tabs>
                <w:tab w:val="num" w:pos="851"/>
              </w:tabs>
              <w:jc w:val="right"/>
              <w:rPr>
                <w:rFonts w:cs="Arial"/>
                <w:b/>
                <w:bCs/>
                <w:color w:val="000000"/>
                <w:sz w:val="20"/>
                <w:szCs w:val="20"/>
                <w:lang w:eastAsia="en-GB"/>
              </w:rPr>
            </w:pPr>
            <w:r>
              <w:rPr>
                <w:rFonts w:cs="Arial"/>
                <w:b/>
                <w:bCs/>
                <w:color w:val="000000"/>
                <w:sz w:val="20"/>
                <w:szCs w:val="20"/>
                <w:lang w:eastAsia="en-GB"/>
              </w:rPr>
              <w:t>5,497</w:t>
            </w:r>
          </w:p>
        </w:tc>
        <w:tc>
          <w:tcPr>
            <w:tcW w:w="1165" w:type="dxa"/>
            <w:tcBorders>
              <w:top w:val="single" w:sz="4" w:space="0" w:color="auto"/>
              <w:left w:val="nil"/>
              <w:bottom w:val="single" w:sz="8" w:space="0" w:color="auto"/>
              <w:right w:val="nil"/>
            </w:tcBorders>
            <w:shd w:val="clear" w:color="000000" w:fill="FFFFFF"/>
            <w:noWrap/>
            <w:vAlign w:val="center"/>
            <w:hideMark/>
          </w:tcPr>
          <w:p w14:paraId="4D16AA02" w14:textId="17A877F8" w:rsidR="00B967AB" w:rsidRPr="00B960FF" w:rsidRDefault="00B960FF" w:rsidP="0070459C">
            <w:pPr>
              <w:tabs>
                <w:tab w:val="num" w:pos="851"/>
              </w:tabs>
              <w:jc w:val="right"/>
              <w:rPr>
                <w:rFonts w:cs="Arial"/>
                <w:b/>
                <w:bCs/>
                <w:color w:val="000000"/>
                <w:sz w:val="20"/>
                <w:szCs w:val="20"/>
                <w:lang w:eastAsia="en-GB"/>
              </w:rPr>
            </w:pPr>
            <w:r>
              <w:rPr>
                <w:rFonts w:cs="Arial"/>
                <w:b/>
                <w:bCs/>
                <w:color w:val="000000"/>
                <w:sz w:val="20"/>
                <w:szCs w:val="20"/>
                <w:lang w:eastAsia="en-GB"/>
              </w:rPr>
              <w:t>1,529</w:t>
            </w:r>
          </w:p>
        </w:tc>
        <w:tc>
          <w:tcPr>
            <w:tcW w:w="1059" w:type="dxa"/>
            <w:tcBorders>
              <w:top w:val="single" w:sz="4" w:space="0" w:color="auto"/>
              <w:left w:val="nil"/>
              <w:bottom w:val="single" w:sz="8" w:space="0" w:color="auto"/>
              <w:right w:val="single" w:sz="8" w:space="0" w:color="auto"/>
            </w:tcBorders>
            <w:shd w:val="clear" w:color="000000" w:fill="FFFFFF"/>
            <w:noWrap/>
            <w:vAlign w:val="center"/>
            <w:hideMark/>
          </w:tcPr>
          <w:p w14:paraId="7984E0D8" w14:textId="0134C0C5" w:rsidR="00B967AB" w:rsidRPr="00B960FF" w:rsidRDefault="00B960FF" w:rsidP="0070459C">
            <w:pPr>
              <w:tabs>
                <w:tab w:val="num" w:pos="851"/>
              </w:tabs>
              <w:jc w:val="right"/>
              <w:rPr>
                <w:rFonts w:cs="Arial"/>
                <w:b/>
                <w:bCs/>
                <w:color w:val="000000"/>
                <w:sz w:val="20"/>
                <w:szCs w:val="20"/>
                <w:lang w:eastAsia="en-GB"/>
              </w:rPr>
            </w:pPr>
            <w:r>
              <w:rPr>
                <w:rFonts w:cs="Arial"/>
                <w:b/>
                <w:bCs/>
                <w:color w:val="000000"/>
                <w:sz w:val="20"/>
                <w:szCs w:val="20"/>
                <w:lang w:eastAsia="en-GB"/>
              </w:rPr>
              <w:t>7,026</w:t>
            </w:r>
          </w:p>
        </w:tc>
      </w:tr>
    </w:tbl>
    <w:p w14:paraId="4C11C906" w14:textId="7DF8C67C" w:rsidR="00BF70F4" w:rsidRPr="00B960FF" w:rsidRDefault="00BF70F4" w:rsidP="0070459C">
      <w:pPr>
        <w:tabs>
          <w:tab w:val="num" w:pos="851"/>
        </w:tabs>
      </w:pPr>
    </w:p>
    <w:p w14:paraId="4374950F" w14:textId="77777777" w:rsidR="007D5C25" w:rsidRDefault="007D5C25" w:rsidP="0070459C">
      <w:pPr>
        <w:tabs>
          <w:tab w:val="num" w:pos="851"/>
        </w:tabs>
      </w:pPr>
    </w:p>
    <w:p w14:paraId="485A4622" w14:textId="018EC802" w:rsidR="00A15CD3" w:rsidRPr="004D5CA8" w:rsidRDefault="00A15CD3" w:rsidP="0070459C">
      <w:pPr>
        <w:tabs>
          <w:tab w:val="num" w:pos="851"/>
        </w:tabs>
        <w:rPr>
          <w:highlight w:val="yellow"/>
        </w:rPr>
      </w:pPr>
    </w:p>
    <w:p w14:paraId="485A4626" w14:textId="1E0A56F1" w:rsidR="00FC7127" w:rsidRPr="00C709D9" w:rsidRDefault="00FC7127" w:rsidP="00EF494F">
      <w:pPr>
        <w:pStyle w:val="Subtitle"/>
        <w:numPr>
          <w:ilvl w:val="0"/>
          <w:numId w:val="47"/>
        </w:numPr>
        <w:tabs>
          <w:tab w:val="left" w:pos="-709"/>
          <w:tab w:val="left" w:pos="-284"/>
          <w:tab w:val="left" w:pos="-142"/>
          <w:tab w:val="left" w:pos="851"/>
        </w:tabs>
        <w:spacing w:line="240" w:lineRule="atLeast"/>
        <w:ind w:left="567" w:right="680" w:hanging="567"/>
        <w:jc w:val="both"/>
        <w:rPr>
          <w:rFonts w:ascii="Arial" w:hAnsi="Arial" w:cs="Arial"/>
          <w:b/>
          <w:i w:val="0"/>
          <w:sz w:val="23"/>
          <w:szCs w:val="23"/>
          <w:u w:val="none"/>
        </w:rPr>
      </w:pPr>
      <w:bookmarkStart w:id="169" w:name="_Toc167965802"/>
      <w:r w:rsidRPr="00C709D9">
        <w:rPr>
          <w:rStyle w:val="Heading2Char"/>
          <w:i w:val="0"/>
          <w:iCs w:val="0"/>
          <w:u w:val="none"/>
        </w:rPr>
        <w:t>Movement in Reserves Statement - Adjustments between accounting basis and funding basis under regulations</w:t>
      </w:r>
      <w:bookmarkEnd w:id="169"/>
      <w:r w:rsidR="00433C24" w:rsidRPr="00C709D9">
        <w:rPr>
          <w:rStyle w:val="Heading2Char"/>
          <w:i w:val="0"/>
          <w:iCs w:val="0"/>
          <w:u w:val="none"/>
        </w:rPr>
        <w:t xml:space="preserve"> </w:t>
      </w:r>
    </w:p>
    <w:p w14:paraId="485A4627" w14:textId="77777777" w:rsidR="00FC7127" w:rsidRPr="00967190" w:rsidRDefault="00FC7127" w:rsidP="0070459C">
      <w:pPr>
        <w:pStyle w:val="Subtitle"/>
        <w:numPr>
          <w:ilvl w:val="0"/>
          <w:numId w:val="0"/>
        </w:numPr>
        <w:tabs>
          <w:tab w:val="left" w:pos="-709"/>
          <w:tab w:val="left" w:pos="-284"/>
          <w:tab w:val="left" w:pos="-142"/>
          <w:tab w:val="left" w:pos="0"/>
          <w:tab w:val="num" w:pos="851"/>
          <w:tab w:val="left" w:pos="993"/>
          <w:tab w:val="left" w:pos="1276"/>
        </w:tabs>
        <w:spacing w:line="240" w:lineRule="atLeast"/>
        <w:ind w:right="680"/>
        <w:rPr>
          <w:rFonts w:ascii="Arial" w:hAnsi="Arial" w:cs="Arial"/>
          <w:i w:val="0"/>
          <w:sz w:val="28"/>
          <w:szCs w:val="28"/>
          <w:u w:val="none"/>
        </w:rPr>
      </w:pPr>
    </w:p>
    <w:p w14:paraId="485A4628" w14:textId="77777777" w:rsidR="002A4B1E" w:rsidRPr="00967190" w:rsidRDefault="002A4B1E" w:rsidP="0070459C">
      <w:pPr>
        <w:tabs>
          <w:tab w:val="num" w:pos="851"/>
        </w:tabs>
        <w:rPr>
          <w:lang w:eastAsia="en-GB"/>
        </w:rPr>
      </w:pPr>
      <w:r w:rsidRPr="00967190">
        <w:rPr>
          <w:lang w:eastAsia="en-GB"/>
        </w:rPr>
        <w:t>This note details the adjustments that are made to the total comprehensive income and expenditure recognised by the Authority in the year in accordance with proper accounting practice. The adjustments are made to the resources that are specified by statutory provisions as being available to the Authority to meet future capital and revenue expenditure.</w:t>
      </w:r>
    </w:p>
    <w:p w14:paraId="485A4629" w14:textId="77777777" w:rsidR="002A4B1E" w:rsidRPr="00967190" w:rsidRDefault="002A4B1E" w:rsidP="0070459C">
      <w:pPr>
        <w:tabs>
          <w:tab w:val="num" w:pos="851"/>
        </w:tabs>
        <w:rPr>
          <w:lang w:eastAsia="en-GB"/>
        </w:rPr>
      </w:pPr>
    </w:p>
    <w:p w14:paraId="485A462A" w14:textId="77777777" w:rsidR="002A4B1E" w:rsidRPr="00967190" w:rsidRDefault="002A4B1E" w:rsidP="0070459C">
      <w:pPr>
        <w:tabs>
          <w:tab w:val="num" w:pos="851"/>
        </w:tabs>
        <w:rPr>
          <w:lang w:eastAsia="en-GB"/>
        </w:rPr>
      </w:pPr>
      <w:r w:rsidRPr="00967190">
        <w:rPr>
          <w:lang w:eastAsia="en-GB"/>
        </w:rPr>
        <w:t>The following sets outs a description of the capital reserves that the adjustments are made against:</w:t>
      </w:r>
    </w:p>
    <w:p w14:paraId="485A462B" w14:textId="77777777" w:rsidR="002A4B1E" w:rsidRPr="00967190" w:rsidRDefault="002A4B1E" w:rsidP="0070459C">
      <w:pPr>
        <w:tabs>
          <w:tab w:val="num" w:pos="851"/>
        </w:tabs>
        <w:rPr>
          <w:lang w:eastAsia="en-GB"/>
        </w:rPr>
      </w:pPr>
    </w:p>
    <w:p w14:paraId="485A462C" w14:textId="77777777" w:rsidR="002A4B1E" w:rsidRPr="00967190" w:rsidRDefault="002A4B1E" w:rsidP="0070459C">
      <w:pPr>
        <w:tabs>
          <w:tab w:val="num" w:pos="851"/>
        </w:tabs>
        <w:rPr>
          <w:lang w:eastAsia="en-GB"/>
        </w:rPr>
      </w:pPr>
      <w:r w:rsidRPr="00967190">
        <w:rPr>
          <w:lang w:eastAsia="en-GB"/>
        </w:rPr>
        <w:t>Capital Receipts Reserve – this reserve holds the proceeds from the disposal of land or other assets, which are restricted by statute from being used other than to fund new capital expenditure or to be set aside to finance historical capital expenditure. The balance on the reserve shows the resources that have yet to be applied for these purposes at year end.</w:t>
      </w:r>
    </w:p>
    <w:p w14:paraId="485A462D" w14:textId="77777777" w:rsidR="002A4B1E" w:rsidRPr="00967190" w:rsidRDefault="002A4B1E" w:rsidP="0070459C">
      <w:pPr>
        <w:tabs>
          <w:tab w:val="num" w:pos="851"/>
        </w:tabs>
        <w:rPr>
          <w:lang w:eastAsia="en-GB"/>
        </w:rPr>
      </w:pPr>
    </w:p>
    <w:p w14:paraId="485A462E" w14:textId="77777777" w:rsidR="002A4B1E" w:rsidRPr="00967190" w:rsidRDefault="002A4B1E" w:rsidP="0070459C">
      <w:pPr>
        <w:tabs>
          <w:tab w:val="num" w:pos="851"/>
        </w:tabs>
        <w:rPr>
          <w:lang w:eastAsia="en-GB"/>
        </w:rPr>
      </w:pPr>
      <w:r w:rsidRPr="00967190">
        <w:rPr>
          <w:lang w:eastAsia="en-GB"/>
        </w:rPr>
        <w:t>Capital Grants Unapplied – this reserve holds the grants and contributions received towards capital projects for which the Authority has met the conditions that would otherwise require repayment of the monies but which have yet to be applied to meet expenditure. The balance is restricted by grant terms as to the capital expenditure against which it can be applied and/or the financial year in which this can take place.</w:t>
      </w:r>
    </w:p>
    <w:p w14:paraId="485A462F" w14:textId="77777777" w:rsidR="002A4B1E" w:rsidRPr="00967190" w:rsidRDefault="002A4B1E" w:rsidP="0070459C">
      <w:pPr>
        <w:tabs>
          <w:tab w:val="num" w:pos="851"/>
        </w:tabs>
        <w:rPr>
          <w:lang w:eastAsia="en-GB"/>
        </w:rPr>
      </w:pPr>
    </w:p>
    <w:p w14:paraId="485A4630" w14:textId="77777777" w:rsidR="002A4B1E" w:rsidRPr="00967190" w:rsidRDefault="002A4B1E" w:rsidP="0070459C">
      <w:pPr>
        <w:tabs>
          <w:tab w:val="num" w:pos="851"/>
        </w:tabs>
        <w:rPr>
          <w:bCs/>
        </w:rPr>
      </w:pPr>
      <w:r w:rsidRPr="00967190">
        <w:rPr>
          <w:bCs/>
        </w:rPr>
        <w:lastRenderedPageBreak/>
        <w:t>Capital Adjustment Account - absorbs the timing differences arising from the different arrangements for accounting for the consumption of non-current assets and for financing the acquisition, construction or additions to those assets under statutory provisions. The Account is debited with the cost of acquisition, construction or subsequent costs as depreciation, impairment losses and amortisations are charged to the Comprehensive Income and Expenditure Statement (with reconciling postings to the Revaluation Reserve to convert current and fair value figures to a historical cost basis). The account is credited with the amounts set aside by the authority as finance for the costs of acquisition, construction and subsequent costs. The Account contains accumulated gains and losses on Investment Properties and gains recognised on donated assets that have yet to be consumed by the authority. The account also contains revaluation gains accumulated on property, plant and equipment before 1 April 2007, the date the Revaluation Reserve was created to hold such gains.</w:t>
      </w:r>
    </w:p>
    <w:p w14:paraId="485A4631" w14:textId="77777777" w:rsidR="002A4B1E" w:rsidRPr="00967190" w:rsidRDefault="002A4B1E" w:rsidP="0070459C">
      <w:pPr>
        <w:tabs>
          <w:tab w:val="num" w:pos="851"/>
        </w:tabs>
        <w:rPr>
          <w:lang w:eastAsia="en-GB"/>
        </w:rPr>
      </w:pPr>
    </w:p>
    <w:p w14:paraId="485A4632" w14:textId="4469C5C4" w:rsidR="002A4B1E" w:rsidRPr="00967190" w:rsidRDefault="002A4B1E" w:rsidP="0070459C">
      <w:pPr>
        <w:tabs>
          <w:tab w:val="num" w:pos="851"/>
        </w:tabs>
      </w:pPr>
      <w:r w:rsidRPr="00967190">
        <w:t>Revaluation Reserve - records the amount by which the current value of fixed assets in the Balance Sheet is greater because they are carried at revalued amounts rather than depreciated historical cost. The balance on the Revaluation Reserve at 31 March 202</w:t>
      </w:r>
      <w:r w:rsidR="00C709D9">
        <w:t>4</w:t>
      </w:r>
      <w:r w:rsidRPr="00967190">
        <w:t xml:space="preserve"> in relation to fixed assets represents the revaluation gains accumulated since 1 April 2007. Accumulated gains arising before this date are consolidated into the balance on the Capital Adjustment Account. The balance is reduced when assets with accumulated gains are revalued downwards or impaired, disposed of, or used in the provision of services in which case the gains are consumed through depreciation.</w:t>
      </w:r>
    </w:p>
    <w:p w14:paraId="485A4633" w14:textId="77777777" w:rsidR="00963CED" w:rsidRPr="00967190" w:rsidRDefault="00963CED" w:rsidP="0070459C">
      <w:pPr>
        <w:tabs>
          <w:tab w:val="num" w:pos="851"/>
        </w:tabs>
      </w:pPr>
    </w:p>
    <w:p w14:paraId="485A4634" w14:textId="77777777" w:rsidR="00963CED" w:rsidRPr="00F475DE" w:rsidRDefault="00963CED" w:rsidP="0070459C">
      <w:pPr>
        <w:tabs>
          <w:tab w:val="num" w:pos="851"/>
        </w:tabs>
      </w:pPr>
      <w:r w:rsidRPr="00F475DE">
        <w:t xml:space="preserve">Deferred Capital Receipts Reserve – Same principles as Capital Receipts Reserve but reflects circumstances where the timing between Asset Sale and Cash Receipt is offset. </w:t>
      </w:r>
    </w:p>
    <w:p w14:paraId="485A4635" w14:textId="77777777" w:rsidR="002A4B1E" w:rsidRPr="00F475DE" w:rsidRDefault="002A4B1E" w:rsidP="0070459C">
      <w:pPr>
        <w:tabs>
          <w:tab w:val="num" w:pos="851"/>
        </w:tabs>
      </w:pPr>
    </w:p>
    <w:p w14:paraId="7AA6B467" w14:textId="77777777" w:rsidR="00FC3A39" w:rsidRDefault="00FC3A39" w:rsidP="0070459C">
      <w:pPr>
        <w:tabs>
          <w:tab w:val="num" w:pos="851"/>
        </w:tabs>
        <w:rPr>
          <w:lang w:eastAsia="en-GB"/>
        </w:rPr>
      </w:pPr>
    </w:p>
    <w:p w14:paraId="485A4636" w14:textId="4DBCD76B" w:rsidR="004F2552" w:rsidRDefault="00276F53" w:rsidP="0070459C">
      <w:pPr>
        <w:tabs>
          <w:tab w:val="num" w:pos="851"/>
        </w:tabs>
        <w:rPr>
          <w:lang w:eastAsia="en-GB"/>
        </w:rPr>
      </w:pPr>
      <w:r w:rsidRPr="00F475DE">
        <w:rPr>
          <w:lang w:eastAsia="en-GB"/>
        </w:rPr>
        <w:t>A</w:t>
      </w:r>
      <w:r w:rsidR="004F2552" w:rsidRPr="00F475DE">
        <w:rPr>
          <w:lang w:eastAsia="en-GB"/>
        </w:rPr>
        <w:t xml:space="preserve">djustments between </w:t>
      </w:r>
      <w:r w:rsidR="00F14DFA" w:rsidRPr="00F475DE">
        <w:rPr>
          <w:lang w:eastAsia="en-GB"/>
        </w:rPr>
        <w:t xml:space="preserve">the </w:t>
      </w:r>
      <w:r w:rsidR="004F2552" w:rsidRPr="00F475DE">
        <w:rPr>
          <w:lang w:eastAsia="en-GB"/>
        </w:rPr>
        <w:t>Funding and Accounting Basis</w:t>
      </w:r>
      <w:r w:rsidR="00F14DFA" w:rsidRPr="00F475DE">
        <w:rPr>
          <w:lang w:eastAsia="en-GB"/>
        </w:rPr>
        <w:t xml:space="preserve"> </w:t>
      </w:r>
      <w:r w:rsidR="00963CED" w:rsidRPr="00F475DE">
        <w:rPr>
          <w:lang w:eastAsia="en-GB"/>
        </w:rPr>
        <w:t xml:space="preserve">for Capital Purposes are allocated to Income &amp; Expenditure reporting segments are explained in detail as set out below: </w:t>
      </w:r>
    </w:p>
    <w:p w14:paraId="4DEED180" w14:textId="7089017B" w:rsidR="00F475DE" w:rsidRDefault="00F475DE" w:rsidP="0070459C">
      <w:pPr>
        <w:tabs>
          <w:tab w:val="num" w:pos="851"/>
        </w:tabs>
        <w:rPr>
          <w:lang w:eastAsia="en-GB"/>
        </w:rPr>
      </w:pPr>
    </w:p>
    <w:p w14:paraId="5BA2293B" w14:textId="724BE641" w:rsidR="00F475DE" w:rsidRPr="00F475DE" w:rsidRDefault="00C47454" w:rsidP="0070459C">
      <w:pPr>
        <w:tabs>
          <w:tab w:val="num" w:pos="851"/>
        </w:tabs>
        <w:rPr>
          <w:lang w:eastAsia="en-GB"/>
        </w:rPr>
      </w:pPr>
      <w:r w:rsidRPr="00C47454">
        <w:rPr>
          <w:noProof/>
        </w:rPr>
        <w:drawing>
          <wp:inline distT="0" distB="0" distL="0" distR="0" wp14:anchorId="75EA1E20" wp14:editId="6ED7B088">
            <wp:extent cx="6120765" cy="3211195"/>
            <wp:effectExtent l="0" t="0" r="0" b="8255"/>
            <wp:docPr id="1156943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3211195"/>
                    </a:xfrm>
                    <a:prstGeom prst="rect">
                      <a:avLst/>
                    </a:prstGeom>
                    <a:noFill/>
                    <a:ln>
                      <a:noFill/>
                    </a:ln>
                  </pic:spPr>
                </pic:pic>
              </a:graphicData>
            </a:graphic>
          </wp:inline>
        </w:drawing>
      </w:r>
    </w:p>
    <w:p w14:paraId="5B8B53D7" w14:textId="77777777" w:rsidR="00E85229" w:rsidRDefault="00E85229" w:rsidP="0070459C">
      <w:pPr>
        <w:tabs>
          <w:tab w:val="num" w:pos="851"/>
        </w:tabs>
        <w:rPr>
          <w:lang w:eastAsia="en-GB"/>
        </w:rPr>
      </w:pPr>
    </w:p>
    <w:p w14:paraId="608D30D1" w14:textId="77777777" w:rsidR="009F03E4" w:rsidRDefault="009F03E4" w:rsidP="0070459C">
      <w:pPr>
        <w:tabs>
          <w:tab w:val="num" w:pos="851"/>
        </w:tabs>
        <w:rPr>
          <w:lang w:eastAsia="en-GB"/>
        </w:rPr>
      </w:pPr>
    </w:p>
    <w:p w14:paraId="69EC2825" w14:textId="77777777" w:rsidR="00BA62BB" w:rsidRDefault="00BA62BB" w:rsidP="0070459C">
      <w:pPr>
        <w:tabs>
          <w:tab w:val="num" w:pos="851"/>
        </w:tabs>
        <w:rPr>
          <w:lang w:eastAsia="en-GB"/>
        </w:rPr>
      </w:pPr>
    </w:p>
    <w:p w14:paraId="0D0477CA" w14:textId="77777777" w:rsidR="00BA62BB" w:rsidRDefault="00BA62BB" w:rsidP="0070459C">
      <w:pPr>
        <w:tabs>
          <w:tab w:val="num" w:pos="851"/>
        </w:tabs>
        <w:rPr>
          <w:lang w:eastAsia="en-GB"/>
        </w:rPr>
      </w:pPr>
    </w:p>
    <w:p w14:paraId="2999FDB7" w14:textId="77777777" w:rsidR="00BA62BB" w:rsidRDefault="00BA62BB" w:rsidP="0070459C">
      <w:pPr>
        <w:tabs>
          <w:tab w:val="num" w:pos="851"/>
        </w:tabs>
        <w:rPr>
          <w:lang w:eastAsia="en-GB"/>
        </w:rPr>
      </w:pPr>
    </w:p>
    <w:p w14:paraId="0BCFDC81" w14:textId="77777777" w:rsidR="00BA62BB" w:rsidRDefault="00BA62BB" w:rsidP="0070459C">
      <w:pPr>
        <w:tabs>
          <w:tab w:val="num" w:pos="851"/>
        </w:tabs>
        <w:rPr>
          <w:lang w:eastAsia="en-GB"/>
        </w:rPr>
      </w:pPr>
    </w:p>
    <w:p w14:paraId="663864F9" w14:textId="41933E3E" w:rsidR="009F03E4" w:rsidRDefault="009F03E4" w:rsidP="0070459C">
      <w:pPr>
        <w:tabs>
          <w:tab w:val="num" w:pos="851"/>
        </w:tabs>
        <w:rPr>
          <w:lang w:eastAsia="en-GB"/>
        </w:rPr>
      </w:pPr>
      <w:r>
        <w:rPr>
          <w:lang w:eastAsia="en-GB"/>
        </w:rPr>
        <w:lastRenderedPageBreak/>
        <w:t>The comparable figures for 202</w:t>
      </w:r>
      <w:r w:rsidR="006541D2">
        <w:rPr>
          <w:lang w:eastAsia="en-GB"/>
        </w:rPr>
        <w:t>2</w:t>
      </w:r>
      <w:r>
        <w:rPr>
          <w:lang w:eastAsia="en-GB"/>
        </w:rPr>
        <w:t>/2</w:t>
      </w:r>
      <w:r w:rsidR="006541D2">
        <w:rPr>
          <w:lang w:eastAsia="en-GB"/>
        </w:rPr>
        <w:t>3</w:t>
      </w:r>
      <w:r>
        <w:rPr>
          <w:lang w:eastAsia="en-GB"/>
        </w:rPr>
        <w:t xml:space="preserve"> were as follows:</w:t>
      </w:r>
    </w:p>
    <w:p w14:paraId="17DFB005" w14:textId="77777777" w:rsidR="00BA62BB" w:rsidRDefault="00BA62BB" w:rsidP="0070459C">
      <w:pPr>
        <w:tabs>
          <w:tab w:val="num" w:pos="851"/>
        </w:tabs>
        <w:rPr>
          <w:lang w:eastAsia="en-GB"/>
        </w:rPr>
      </w:pPr>
    </w:p>
    <w:p w14:paraId="725C909A" w14:textId="1EAEEA5D" w:rsidR="009F03E4" w:rsidRPr="00F475DE" w:rsidRDefault="006541D2" w:rsidP="0070459C">
      <w:pPr>
        <w:tabs>
          <w:tab w:val="num" w:pos="851"/>
        </w:tabs>
        <w:rPr>
          <w:lang w:eastAsia="en-GB"/>
        </w:rPr>
      </w:pPr>
      <w:r w:rsidRPr="006B70B6">
        <w:rPr>
          <w:noProof/>
        </w:rPr>
        <w:drawing>
          <wp:inline distT="0" distB="0" distL="0" distR="0" wp14:anchorId="3761C1F6" wp14:editId="7A4AFCBE">
            <wp:extent cx="6106795" cy="2611526"/>
            <wp:effectExtent l="0" t="0" r="8255" b="0"/>
            <wp:docPr id="1097186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6992" cy="2615887"/>
                    </a:xfrm>
                    <a:prstGeom prst="rect">
                      <a:avLst/>
                    </a:prstGeom>
                    <a:noFill/>
                    <a:ln>
                      <a:noFill/>
                    </a:ln>
                  </pic:spPr>
                </pic:pic>
              </a:graphicData>
            </a:graphic>
          </wp:inline>
        </w:drawing>
      </w:r>
    </w:p>
    <w:p w14:paraId="485A4641" w14:textId="77777777" w:rsidR="00BC1E55" w:rsidRPr="004D5CA8" w:rsidRDefault="00BC1E55" w:rsidP="0070459C">
      <w:pPr>
        <w:pStyle w:val="CodeNotesExampleText"/>
        <w:tabs>
          <w:tab w:val="num" w:pos="851"/>
        </w:tabs>
        <w:rPr>
          <w:rFonts w:cs="Arial"/>
          <w:b/>
          <w:sz w:val="22"/>
          <w:szCs w:val="22"/>
          <w:highlight w:val="yellow"/>
        </w:rPr>
      </w:pPr>
    </w:p>
    <w:p w14:paraId="485A4642" w14:textId="77777777" w:rsidR="009367F6" w:rsidRPr="00F475DE" w:rsidRDefault="00276F53" w:rsidP="0070459C">
      <w:pPr>
        <w:pStyle w:val="CodeNotesExampleText"/>
        <w:tabs>
          <w:tab w:val="num" w:pos="851"/>
        </w:tabs>
        <w:rPr>
          <w:rFonts w:cs="Arial"/>
          <w:b/>
          <w:sz w:val="22"/>
          <w:szCs w:val="22"/>
        </w:rPr>
      </w:pPr>
      <w:r w:rsidRPr="00F475DE">
        <w:rPr>
          <w:rFonts w:cs="Arial"/>
          <w:b/>
          <w:sz w:val="22"/>
          <w:szCs w:val="22"/>
        </w:rPr>
        <w:t>A</w:t>
      </w:r>
      <w:r w:rsidR="009367F6" w:rsidRPr="00F475DE">
        <w:rPr>
          <w:rFonts w:cs="Arial"/>
          <w:b/>
          <w:sz w:val="22"/>
          <w:szCs w:val="22"/>
        </w:rPr>
        <w:t>DJUSTMENTS BETWEEN ACCOUNTING BASIS AND FUNDING BASIS UNDER REGULATION</w:t>
      </w:r>
    </w:p>
    <w:p w14:paraId="485A4643" w14:textId="77777777" w:rsidR="0047179C" w:rsidRPr="00F475DE" w:rsidRDefault="0047179C" w:rsidP="0070459C">
      <w:pPr>
        <w:pStyle w:val="CodeNotesExampleText"/>
        <w:tabs>
          <w:tab w:val="num" w:pos="851"/>
        </w:tabs>
        <w:rPr>
          <w:rFonts w:cs="Arial"/>
          <w:b/>
          <w:sz w:val="22"/>
          <w:szCs w:val="22"/>
        </w:rPr>
      </w:pPr>
    </w:p>
    <w:p w14:paraId="14293DAF" w14:textId="1E4D79D0" w:rsidR="00BE0832" w:rsidRDefault="002A4B1E" w:rsidP="00DF7226">
      <w:pPr>
        <w:tabs>
          <w:tab w:val="num" w:pos="851"/>
        </w:tabs>
        <w:rPr>
          <w:lang w:eastAsia="en-GB"/>
        </w:rPr>
      </w:pPr>
      <w:r w:rsidRPr="00F475DE">
        <w:rPr>
          <w:lang w:eastAsia="en-GB"/>
        </w:rPr>
        <w:t>General Reserve – this is the statutory fund into which all the receipts of the Authority are required to be paid and out of which all liabilities are to be met, except to the extent that statutory rules might provide otherwise. These rules can also specify the financial year in which liabilities and payments should impact on the General Fund Balance, which is not necessarily in accordance with proper accounting practice. The General Fund Balance therefore summarises the resources the Authority is statutorily empowered to spend on its services or on capital investment at the end of the financial year.</w:t>
      </w:r>
    </w:p>
    <w:p w14:paraId="44FE8A3D" w14:textId="77777777" w:rsidR="00DF7226" w:rsidRPr="00F475DE" w:rsidRDefault="00DF7226" w:rsidP="00DF7226">
      <w:pPr>
        <w:tabs>
          <w:tab w:val="num" w:pos="851"/>
        </w:tabs>
        <w:rPr>
          <w:lang w:eastAsia="en-GB"/>
        </w:rPr>
      </w:pPr>
    </w:p>
    <w:p w14:paraId="7B642070" w14:textId="071A996E" w:rsidR="00CB0F1B" w:rsidRDefault="00C47454" w:rsidP="00DF7226">
      <w:pPr>
        <w:jc w:val="center"/>
        <w:rPr>
          <w:lang w:eastAsia="en-GB"/>
        </w:rPr>
      </w:pPr>
      <w:r w:rsidRPr="00C47454">
        <w:rPr>
          <w:noProof/>
        </w:rPr>
        <w:drawing>
          <wp:inline distT="0" distB="0" distL="0" distR="0" wp14:anchorId="2689D643" wp14:editId="07AC8169">
            <wp:extent cx="4383983" cy="3752697"/>
            <wp:effectExtent l="0" t="0" r="0" b="635"/>
            <wp:docPr id="20988110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30967" cy="3792916"/>
                    </a:xfrm>
                    <a:prstGeom prst="rect">
                      <a:avLst/>
                    </a:prstGeom>
                    <a:noFill/>
                    <a:ln>
                      <a:noFill/>
                    </a:ln>
                  </pic:spPr>
                </pic:pic>
              </a:graphicData>
            </a:graphic>
          </wp:inline>
        </w:drawing>
      </w:r>
    </w:p>
    <w:p w14:paraId="0A83EBE5" w14:textId="77777777" w:rsidR="00CB0F1B" w:rsidRDefault="00CB0F1B" w:rsidP="0070459C">
      <w:pPr>
        <w:jc w:val="center"/>
        <w:rPr>
          <w:lang w:eastAsia="en-GB"/>
        </w:rPr>
      </w:pPr>
    </w:p>
    <w:p w14:paraId="173A9AA1" w14:textId="77777777" w:rsidR="00DF7226" w:rsidRPr="00BA62BB" w:rsidRDefault="00DF7226" w:rsidP="00DF7226">
      <w:pPr>
        <w:rPr>
          <w:lang w:eastAsia="en-GB"/>
        </w:rPr>
      </w:pPr>
      <w:r w:rsidRPr="00BA62BB">
        <w:rPr>
          <w:lang w:eastAsia="en-GB"/>
        </w:rPr>
        <w:t xml:space="preserve">Other Items as reflected in the Table above shows movements upon the Accumulated Absences Reserve and Financial Instruments Reserve. These are immaterial in nature.  </w:t>
      </w:r>
    </w:p>
    <w:p w14:paraId="485A464B" w14:textId="036B8F1C" w:rsidR="00E00863" w:rsidRPr="00162C02" w:rsidRDefault="00E00863" w:rsidP="0070459C">
      <w:pPr>
        <w:pStyle w:val="Heading2"/>
        <w:numPr>
          <w:ilvl w:val="0"/>
          <w:numId w:val="47"/>
        </w:numPr>
        <w:ind w:left="0" w:firstLine="0"/>
        <w:rPr>
          <w:rFonts w:cs="Arial"/>
          <w:i/>
        </w:rPr>
      </w:pPr>
      <w:bookmarkStart w:id="170" w:name="_Toc167965803"/>
      <w:r w:rsidRPr="00162C02">
        <w:lastRenderedPageBreak/>
        <w:t>Officers’ Remuneration</w:t>
      </w:r>
      <w:bookmarkEnd w:id="170"/>
    </w:p>
    <w:p w14:paraId="485A464C" w14:textId="77777777" w:rsidR="00E00863" w:rsidRPr="00A51DC5" w:rsidRDefault="00E00863" w:rsidP="0070459C">
      <w:pPr>
        <w:pStyle w:val="Subtitle"/>
        <w:rPr>
          <w:sz w:val="22"/>
        </w:rPr>
      </w:pPr>
    </w:p>
    <w:p w14:paraId="485A464D" w14:textId="7CFCB660" w:rsidR="003E1329" w:rsidRDefault="0052081A" w:rsidP="0070459C">
      <w:pPr>
        <w:pStyle w:val="BlockText"/>
        <w:tabs>
          <w:tab w:val="clear" w:pos="1843"/>
          <w:tab w:val="left" w:pos="567"/>
        </w:tabs>
        <w:ind w:left="0" w:right="0"/>
        <w:rPr>
          <w:bCs/>
          <w:sz w:val="23"/>
          <w:szCs w:val="23"/>
        </w:rPr>
      </w:pPr>
      <w:r w:rsidRPr="00A51DC5">
        <w:rPr>
          <w:bCs/>
          <w:sz w:val="23"/>
          <w:szCs w:val="23"/>
        </w:rPr>
        <w:t>The following table discloses details of remuneration to senior employees who earned over £50,000. There were no senior employees earning over £150,000</w:t>
      </w:r>
      <w:r w:rsidR="00CC7E49" w:rsidRPr="00A51DC5">
        <w:rPr>
          <w:bCs/>
          <w:sz w:val="23"/>
          <w:szCs w:val="23"/>
        </w:rPr>
        <w:t>.</w:t>
      </w:r>
    </w:p>
    <w:p w14:paraId="2BABBA51" w14:textId="77777777" w:rsidR="00014C83" w:rsidRDefault="00014C83" w:rsidP="0070459C">
      <w:pPr>
        <w:pStyle w:val="BlockText"/>
        <w:tabs>
          <w:tab w:val="clear" w:pos="1843"/>
          <w:tab w:val="left" w:pos="567"/>
        </w:tabs>
        <w:ind w:left="0" w:right="0"/>
        <w:rPr>
          <w:bCs/>
          <w:sz w:val="23"/>
          <w:szCs w:val="23"/>
        </w:rPr>
      </w:pPr>
    </w:p>
    <w:tbl>
      <w:tblPr>
        <w:tblW w:w="9654" w:type="dxa"/>
        <w:tblLook w:val="04A0" w:firstRow="1" w:lastRow="0" w:firstColumn="1" w:lastColumn="0" w:noHBand="0" w:noVBand="1"/>
      </w:tblPr>
      <w:tblGrid>
        <w:gridCol w:w="3534"/>
        <w:gridCol w:w="1140"/>
        <w:gridCol w:w="1160"/>
        <w:gridCol w:w="1380"/>
        <w:gridCol w:w="1280"/>
        <w:gridCol w:w="1160"/>
      </w:tblGrid>
      <w:tr w:rsidR="00014C83" w:rsidRPr="00014C83" w14:paraId="060BCF2D" w14:textId="77777777" w:rsidTr="00014C83">
        <w:trPr>
          <w:trHeight w:val="690"/>
        </w:trPr>
        <w:tc>
          <w:tcPr>
            <w:tcW w:w="3534" w:type="dxa"/>
            <w:tcBorders>
              <w:top w:val="single" w:sz="8" w:space="0" w:color="auto"/>
              <w:left w:val="single" w:sz="8" w:space="0" w:color="auto"/>
              <w:bottom w:val="nil"/>
              <w:right w:val="nil"/>
            </w:tcBorders>
            <w:shd w:val="clear" w:color="000000" w:fill="000000"/>
            <w:vAlign w:val="center"/>
            <w:hideMark/>
          </w:tcPr>
          <w:p w14:paraId="63B8EFFD"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 </w:t>
            </w:r>
          </w:p>
        </w:tc>
        <w:tc>
          <w:tcPr>
            <w:tcW w:w="1140" w:type="dxa"/>
            <w:tcBorders>
              <w:top w:val="single" w:sz="8" w:space="0" w:color="auto"/>
              <w:left w:val="nil"/>
              <w:bottom w:val="nil"/>
              <w:right w:val="nil"/>
            </w:tcBorders>
            <w:shd w:val="clear" w:color="000000" w:fill="000000"/>
            <w:vAlign w:val="center"/>
            <w:hideMark/>
          </w:tcPr>
          <w:p w14:paraId="48DBB58B"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Salary including Allowances</w:t>
            </w:r>
          </w:p>
        </w:tc>
        <w:tc>
          <w:tcPr>
            <w:tcW w:w="1160" w:type="dxa"/>
            <w:tcBorders>
              <w:top w:val="single" w:sz="8" w:space="0" w:color="auto"/>
              <w:left w:val="nil"/>
              <w:bottom w:val="nil"/>
              <w:right w:val="nil"/>
            </w:tcBorders>
            <w:shd w:val="clear" w:color="000000" w:fill="000000"/>
            <w:vAlign w:val="center"/>
            <w:hideMark/>
          </w:tcPr>
          <w:p w14:paraId="2FD08045"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Expense Allowances</w:t>
            </w:r>
          </w:p>
        </w:tc>
        <w:tc>
          <w:tcPr>
            <w:tcW w:w="1380" w:type="dxa"/>
            <w:tcBorders>
              <w:top w:val="single" w:sz="8" w:space="0" w:color="auto"/>
              <w:left w:val="nil"/>
              <w:bottom w:val="nil"/>
              <w:right w:val="nil"/>
            </w:tcBorders>
            <w:shd w:val="clear" w:color="000000" w:fill="000000"/>
            <w:vAlign w:val="center"/>
            <w:hideMark/>
          </w:tcPr>
          <w:p w14:paraId="6CD5AAAF"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Compensation for Loss of Office</w:t>
            </w:r>
          </w:p>
        </w:tc>
        <w:tc>
          <w:tcPr>
            <w:tcW w:w="1280" w:type="dxa"/>
            <w:tcBorders>
              <w:top w:val="single" w:sz="8" w:space="0" w:color="auto"/>
              <w:left w:val="nil"/>
              <w:bottom w:val="nil"/>
              <w:right w:val="nil"/>
            </w:tcBorders>
            <w:shd w:val="clear" w:color="000000" w:fill="000000"/>
            <w:vAlign w:val="center"/>
            <w:hideMark/>
          </w:tcPr>
          <w:p w14:paraId="5C01F0B0"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Employers Pension Contributions</w:t>
            </w:r>
          </w:p>
        </w:tc>
        <w:tc>
          <w:tcPr>
            <w:tcW w:w="1160" w:type="dxa"/>
            <w:tcBorders>
              <w:top w:val="single" w:sz="8" w:space="0" w:color="auto"/>
              <w:left w:val="nil"/>
              <w:bottom w:val="nil"/>
              <w:right w:val="single" w:sz="8" w:space="0" w:color="auto"/>
            </w:tcBorders>
            <w:shd w:val="clear" w:color="000000" w:fill="000000"/>
            <w:vAlign w:val="center"/>
            <w:hideMark/>
          </w:tcPr>
          <w:p w14:paraId="517B662E"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 xml:space="preserve">Total </w:t>
            </w:r>
          </w:p>
        </w:tc>
      </w:tr>
      <w:tr w:rsidR="00014C83" w:rsidRPr="00014C83" w14:paraId="1BAC1C49" w14:textId="77777777" w:rsidTr="00014C83">
        <w:trPr>
          <w:trHeight w:val="300"/>
        </w:trPr>
        <w:tc>
          <w:tcPr>
            <w:tcW w:w="3534" w:type="dxa"/>
            <w:tcBorders>
              <w:top w:val="nil"/>
              <w:left w:val="single" w:sz="8" w:space="0" w:color="auto"/>
              <w:bottom w:val="single" w:sz="8" w:space="0" w:color="auto"/>
              <w:right w:val="nil"/>
            </w:tcBorders>
            <w:shd w:val="clear" w:color="000000" w:fill="000000"/>
            <w:noWrap/>
            <w:vAlign w:val="center"/>
            <w:hideMark/>
          </w:tcPr>
          <w:p w14:paraId="0E17AA5F" w14:textId="77777777" w:rsidR="00014C83" w:rsidRPr="00014C83" w:rsidRDefault="00014C83" w:rsidP="00014C83">
            <w:pPr>
              <w:rPr>
                <w:rFonts w:ascii="Calibri" w:hAnsi="Calibri" w:cs="Calibri"/>
                <w:color w:val="000000"/>
                <w:sz w:val="16"/>
                <w:szCs w:val="16"/>
                <w:lang w:eastAsia="en-GB"/>
              </w:rPr>
            </w:pPr>
            <w:r w:rsidRPr="00014C83">
              <w:rPr>
                <w:rFonts w:ascii="Calibri" w:hAnsi="Calibri" w:cs="Calibri"/>
                <w:color w:val="000000"/>
                <w:sz w:val="16"/>
                <w:szCs w:val="16"/>
                <w:lang w:eastAsia="en-GB"/>
              </w:rPr>
              <w:t> </w:t>
            </w:r>
          </w:p>
        </w:tc>
        <w:tc>
          <w:tcPr>
            <w:tcW w:w="1140" w:type="dxa"/>
            <w:tcBorders>
              <w:top w:val="nil"/>
              <w:left w:val="nil"/>
              <w:bottom w:val="single" w:sz="8" w:space="0" w:color="auto"/>
              <w:right w:val="nil"/>
            </w:tcBorders>
            <w:shd w:val="clear" w:color="000000" w:fill="000000"/>
            <w:noWrap/>
            <w:vAlign w:val="center"/>
            <w:hideMark/>
          </w:tcPr>
          <w:p w14:paraId="3CEFBAC1"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w:t>
            </w:r>
          </w:p>
        </w:tc>
        <w:tc>
          <w:tcPr>
            <w:tcW w:w="1160" w:type="dxa"/>
            <w:tcBorders>
              <w:top w:val="nil"/>
              <w:left w:val="nil"/>
              <w:bottom w:val="single" w:sz="8" w:space="0" w:color="auto"/>
              <w:right w:val="nil"/>
            </w:tcBorders>
            <w:shd w:val="clear" w:color="000000" w:fill="000000"/>
            <w:noWrap/>
            <w:vAlign w:val="center"/>
            <w:hideMark/>
          </w:tcPr>
          <w:p w14:paraId="53DC5973"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w:t>
            </w:r>
          </w:p>
        </w:tc>
        <w:tc>
          <w:tcPr>
            <w:tcW w:w="1380" w:type="dxa"/>
            <w:tcBorders>
              <w:top w:val="nil"/>
              <w:left w:val="nil"/>
              <w:bottom w:val="single" w:sz="8" w:space="0" w:color="auto"/>
              <w:right w:val="nil"/>
            </w:tcBorders>
            <w:shd w:val="clear" w:color="000000" w:fill="000000"/>
            <w:noWrap/>
            <w:vAlign w:val="center"/>
            <w:hideMark/>
          </w:tcPr>
          <w:p w14:paraId="47607ABA"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w:t>
            </w:r>
          </w:p>
        </w:tc>
        <w:tc>
          <w:tcPr>
            <w:tcW w:w="1280" w:type="dxa"/>
            <w:tcBorders>
              <w:top w:val="nil"/>
              <w:left w:val="nil"/>
              <w:bottom w:val="single" w:sz="8" w:space="0" w:color="auto"/>
              <w:right w:val="nil"/>
            </w:tcBorders>
            <w:shd w:val="clear" w:color="000000" w:fill="000000"/>
            <w:noWrap/>
            <w:vAlign w:val="center"/>
            <w:hideMark/>
          </w:tcPr>
          <w:p w14:paraId="5B510544"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w:t>
            </w:r>
          </w:p>
        </w:tc>
        <w:tc>
          <w:tcPr>
            <w:tcW w:w="1160" w:type="dxa"/>
            <w:tcBorders>
              <w:top w:val="nil"/>
              <w:left w:val="nil"/>
              <w:bottom w:val="single" w:sz="8" w:space="0" w:color="auto"/>
              <w:right w:val="single" w:sz="8" w:space="0" w:color="auto"/>
            </w:tcBorders>
            <w:shd w:val="clear" w:color="000000" w:fill="000000"/>
            <w:noWrap/>
            <w:vAlign w:val="center"/>
            <w:hideMark/>
          </w:tcPr>
          <w:p w14:paraId="4E43D76C"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w:t>
            </w:r>
          </w:p>
        </w:tc>
      </w:tr>
      <w:tr w:rsidR="00014C83" w:rsidRPr="00014C83" w14:paraId="5452BFF6" w14:textId="77777777" w:rsidTr="00014C83">
        <w:trPr>
          <w:trHeight w:val="290"/>
        </w:trPr>
        <w:tc>
          <w:tcPr>
            <w:tcW w:w="3534" w:type="dxa"/>
            <w:tcBorders>
              <w:top w:val="nil"/>
              <w:left w:val="single" w:sz="8" w:space="0" w:color="auto"/>
              <w:bottom w:val="nil"/>
              <w:right w:val="nil"/>
            </w:tcBorders>
            <w:shd w:val="clear" w:color="000000" w:fill="FFFFFF"/>
            <w:noWrap/>
            <w:vAlign w:val="center"/>
            <w:hideMark/>
          </w:tcPr>
          <w:p w14:paraId="34C5CC06" w14:textId="77777777" w:rsidR="00014C83" w:rsidRPr="00014C83" w:rsidRDefault="00014C83" w:rsidP="00014C83">
            <w:pPr>
              <w:rPr>
                <w:rFonts w:ascii="Calibri" w:hAnsi="Calibri" w:cs="Calibri"/>
                <w:color w:val="000000"/>
                <w:sz w:val="16"/>
                <w:szCs w:val="16"/>
                <w:lang w:eastAsia="en-GB"/>
              </w:rPr>
            </w:pPr>
            <w:r w:rsidRPr="00014C83">
              <w:rPr>
                <w:rFonts w:ascii="Calibri" w:hAnsi="Calibri" w:cs="Calibri"/>
                <w:color w:val="000000"/>
                <w:sz w:val="16"/>
                <w:szCs w:val="16"/>
                <w:lang w:eastAsia="en-GB"/>
              </w:rPr>
              <w:t> </w:t>
            </w:r>
          </w:p>
        </w:tc>
        <w:tc>
          <w:tcPr>
            <w:tcW w:w="1140" w:type="dxa"/>
            <w:tcBorders>
              <w:top w:val="nil"/>
              <w:left w:val="nil"/>
              <w:bottom w:val="nil"/>
              <w:right w:val="nil"/>
            </w:tcBorders>
            <w:shd w:val="clear" w:color="000000" w:fill="FFFFFF"/>
            <w:noWrap/>
            <w:vAlign w:val="center"/>
            <w:hideMark/>
          </w:tcPr>
          <w:p w14:paraId="2330E22A"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 </w:t>
            </w:r>
          </w:p>
        </w:tc>
        <w:tc>
          <w:tcPr>
            <w:tcW w:w="1160" w:type="dxa"/>
            <w:tcBorders>
              <w:top w:val="nil"/>
              <w:left w:val="nil"/>
              <w:bottom w:val="nil"/>
              <w:right w:val="nil"/>
            </w:tcBorders>
            <w:shd w:val="clear" w:color="000000" w:fill="FFFFFF"/>
            <w:noWrap/>
            <w:vAlign w:val="center"/>
            <w:hideMark/>
          </w:tcPr>
          <w:p w14:paraId="256132E3"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 </w:t>
            </w:r>
          </w:p>
        </w:tc>
        <w:tc>
          <w:tcPr>
            <w:tcW w:w="1380" w:type="dxa"/>
            <w:tcBorders>
              <w:top w:val="nil"/>
              <w:left w:val="nil"/>
              <w:bottom w:val="nil"/>
              <w:right w:val="nil"/>
            </w:tcBorders>
            <w:shd w:val="clear" w:color="000000" w:fill="FFFFFF"/>
            <w:noWrap/>
            <w:vAlign w:val="center"/>
            <w:hideMark/>
          </w:tcPr>
          <w:p w14:paraId="1CE9E8D6"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 </w:t>
            </w:r>
          </w:p>
        </w:tc>
        <w:tc>
          <w:tcPr>
            <w:tcW w:w="1280" w:type="dxa"/>
            <w:tcBorders>
              <w:top w:val="nil"/>
              <w:left w:val="nil"/>
              <w:bottom w:val="nil"/>
              <w:right w:val="nil"/>
            </w:tcBorders>
            <w:shd w:val="clear" w:color="000000" w:fill="FFFFFF"/>
            <w:noWrap/>
            <w:vAlign w:val="center"/>
            <w:hideMark/>
          </w:tcPr>
          <w:p w14:paraId="54962053"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 </w:t>
            </w:r>
          </w:p>
        </w:tc>
        <w:tc>
          <w:tcPr>
            <w:tcW w:w="1160" w:type="dxa"/>
            <w:tcBorders>
              <w:top w:val="nil"/>
              <w:left w:val="nil"/>
              <w:bottom w:val="nil"/>
              <w:right w:val="single" w:sz="8" w:space="0" w:color="auto"/>
            </w:tcBorders>
            <w:shd w:val="clear" w:color="000000" w:fill="FFFFFF"/>
            <w:noWrap/>
            <w:vAlign w:val="center"/>
            <w:hideMark/>
          </w:tcPr>
          <w:p w14:paraId="1E62EE0A"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 </w:t>
            </w:r>
          </w:p>
        </w:tc>
      </w:tr>
      <w:tr w:rsidR="00014C83" w:rsidRPr="00014C83" w14:paraId="3E979632" w14:textId="77777777" w:rsidTr="00014C83">
        <w:trPr>
          <w:trHeight w:val="290"/>
        </w:trPr>
        <w:tc>
          <w:tcPr>
            <w:tcW w:w="3534" w:type="dxa"/>
            <w:tcBorders>
              <w:top w:val="nil"/>
              <w:left w:val="single" w:sz="8" w:space="0" w:color="auto"/>
              <w:bottom w:val="nil"/>
              <w:right w:val="nil"/>
            </w:tcBorders>
            <w:shd w:val="clear" w:color="auto" w:fill="auto"/>
            <w:noWrap/>
            <w:vAlign w:val="center"/>
            <w:hideMark/>
          </w:tcPr>
          <w:p w14:paraId="059B2167" w14:textId="77777777" w:rsidR="00014C83" w:rsidRPr="00014C83" w:rsidRDefault="00014C83" w:rsidP="00014C83">
            <w:pPr>
              <w:rPr>
                <w:rFonts w:cs="Arial"/>
                <w:b/>
                <w:bCs/>
                <w:color w:val="000000"/>
                <w:sz w:val="16"/>
                <w:szCs w:val="16"/>
                <w:lang w:eastAsia="en-GB"/>
              </w:rPr>
            </w:pPr>
            <w:r w:rsidRPr="00014C83">
              <w:rPr>
                <w:rFonts w:cs="Arial"/>
                <w:b/>
                <w:bCs/>
                <w:color w:val="000000"/>
                <w:sz w:val="16"/>
                <w:szCs w:val="16"/>
                <w:lang w:eastAsia="en-GB"/>
              </w:rPr>
              <w:t>2023/24</w:t>
            </w:r>
          </w:p>
        </w:tc>
        <w:tc>
          <w:tcPr>
            <w:tcW w:w="1140" w:type="dxa"/>
            <w:tcBorders>
              <w:top w:val="nil"/>
              <w:left w:val="nil"/>
              <w:bottom w:val="nil"/>
              <w:right w:val="nil"/>
            </w:tcBorders>
            <w:shd w:val="clear" w:color="auto" w:fill="auto"/>
            <w:noWrap/>
            <w:vAlign w:val="center"/>
            <w:hideMark/>
          </w:tcPr>
          <w:p w14:paraId="2B5D2883" w14:textId="77777777" w:rsidR="00014C83" w:rsidRPr="00014C83" w:rsidRDefault="00014C83" w:rsidP="00014C83">
            <w:pPr>
              <w:rPr>
                <w:rFonts w:cs="Arial"/>
                <w:b/>
                <w:bCs/>
                <w:color w:val="000000"/>
                <w:sz w:val="16"/>
                <w:szCs w:val="16"/>
                <w:lang w:eastAsia="en-GB"/>
              </w:rPr>
            </w:pPr>
          </w:p>
        </w:tc>
        <w:tc>
          <w:tcPr>
            <w:tcW w:w="1160" w:type="dxa"/>
            <w:tcBorders>
              <w:top w:val="nil"/>
              <w:left w:val="nil"/>
              <w:bottom w:val="nil"/>
              <w:right w:val="nil"/>
            </w:tcBorders>
            <w:shd w:val="clear" w:color="auto" w:fill="auto"/>
            <w:noWrap/>
            <w:vAlign w:val="center"/>
            <w:hideMark/>
          </w:tcPr>
          <w:p w14:paraId="2FE7F6FE" w14:textId="77777777" w:rsidR="00014C83" w:rsidRPr="00014C83" w:rsidRDefault="00014C83" w:rsidP="00014C83">
            <w:pPr>
              <w:jc w:val="center"/>
              <w:rPr>
                <w:rFonts w:ascii="Times New Roman" w:hAnsi="Times New Roman"/>
                <w:sz w:val="20"/>
                <w:szCs w:val="20"/>
                <w:lang w:eastAsia="en-GB"/>
              </w:rPr>
            </w:pPr>
          </w:p>
        </w:tc>
        <w:tc>
          <w:tcPr>
            <w:tcW w:w="1380" w:type="dxa"/>
            <w:tcBorders>
              <w:top w:val="nil"/>
              <w:left w:val="nil"/>
              <w:bottom w:val="nil"/>
              <w:right w:val="nil"/>
            </w:tcBorders>
            <w:shd w:val="clear" w:color="auto" w:fill="auto"/>
            <w:noWrap/>
            <w:vAlign w:val="center"/>
            <w:hideMark/>
          </w:tcPr>
          <w:p w14:paraId="70FB3A19" w14:textId="77777777" w:rsidR="00014C83" w:rsidRPr="00014C83" w:rsidRDefault="00014C83" w:rsidP="00014C83">
            <w:pPr>
              <w:jc w:val="center"/>
              <w:rPr>
                <w:rFonts w:ascii="Times New Roman" w:hAnsi="Times New Roman"/>
                <w:sz w:val="20"/>
                <w:szCs w:val="20"/>
                <w:lang w:eastAsia="en-GB"/>
              </w:rPr>
            </w:pPr>
          </w:p>
        </w:tc>
        <w:tc>
          <w:tcPr>
            <w:tcW w:w="1280" w:type="dxa"/>
            <w:tcBorders>
              <w:top w:val="nil"/>
              <w:left w:val="nil"/>
              <w:bottom w:val="nil"/>
              <w:right w:val="nil"/>
            </w:tcBorders>
            <w:shd w:val="clear" w:color="auto" w:fill="auto"/>
            <w:noWrap/>
            <w:vAlign w:val="center"/>
            <w:hideMark/>
          </w:tcPr>
          <w:p w14:paraId="70F0CA63" w14:textId="77777777" w:rsidR="00014C83" w:rsidRPr="00014C83" w:rsidRDefault="00014C83" w:rsidP="00014C83">
            <w:pPr>
              <w:jc w:val="center"/>
              <w:rPr>
                <w:rFonts w:ascii="Times New Roman" w:hAnsi="Times New Roman"/>
                <w:sz w:val="20"/>
                <w:szCs w:val="20"/>
                <w:lang w:eastAsia="en-GB"/>
              </w:rPr>
            </w:pPr>
          </w:p>
        </w:tc>
        <w:tc>
          <w:tcPr>
            <w:tcW w:w="1160" w:type="dxa"/>
            <w:tcBorders>
              <w:top w:val="nil"/>
              <w:left w:val="nil"/>
              <w:bottom w:val="nil"/>
              <w:right w:val="single" w:sz="8" w:space="0" w:color="auto"/>
            </w:tcBorders>
            <w:shd w:val="clear" w:color="auto" w:fill="auto"/>
            <w:noWrap/>
            <w:vAlign w:val="center"/>
            <w:hideMark/>
          </w:tcPr>
          <w:p w14:paraId="60913B2A"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 </w:t>
            </w:r>
          </w:p>
        </w:tc>
      </w:tr>
      <w:tr w:rsidR="00014C83" w:rsidRPr="00014C83" w14:paraId="0649F44F" w14:textId="77777777" w:rsidTr="00014C83">
        <w:trPr>
          <w:trHeight w:val="290"/>
        </w:trPr>
        <w:tc>
          <w:tcPr>
            <w:tcW w:w="3534" w:type="dxa"/>
            <w:tcBorders>
              <w:top w:val="nil"/>
              <w:left w:val="single" w:sz="8" w:space="0" w:color="auto"/>
              <w:bottom w:val="nil"/>
              <w:right w:val="nil"/>
            </w:tcBorders>
            <w:shd w:val="clear" w:color="auto" w:fill="auto"/>
            <w:noWrap/>
            <w:vAlign w:val="center"/>
            <w:hideMark/>
          </w:tcPr>
          <w:p w14:paraId="5869D122" w14:textId="77777777"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Chief Executive</w:t>
            </w:r>
          </w:p>
        </w:tc>
        <w:tc>
          <w:tcPr>
            <w:tcW w:w="1140" w:type="dxa"/>
            <w:tcBorders>
              <w:top w:val="nil"/>
              <w:left w:val="nil"/>
              <w:bottom w:val="nil"/>
              <w:right w:val="nil"/>
            </w:tcBorders>
            <w:shd w:val="clear" w:color="auto" w:fill="auto"/>
            <w:noWrap/>
            <w:vAlign w:val="center"/>
            <w:hideMark/>
          </w:tcPr>
          <w:p w14:paraId="6E88DE70" w14:textId="77777777" w:rsidR="00014C83" w:rsidRPr="00014C83" w:rsidRDefault="00014C83" w:rsidP="00014C83">
            <w:pPr>
              <w:jc w:val="right"/>
              <w:rPr>
                <w:rFonts w:cs="Arial"/>
                <w:sz w:val="16"/>
                <w:szCs w:val="16"/>
                <w:lang w:eastAsia="en-GB"/>
              </w:rPr>
            </w:pPr>
            <w:r w:rsidRPr="00014C83">
              <w:rPr>
                <w:rFonts w:cs="Arial"/>
                <w:sz w:val="16"/>
                <w:szCs w:val="16"/>
                <w:lang w:eastAsia="en-GB"/>
              </w:rPr>
              <w:t>107,652</w:t>
            </w:r>
          </w:p>
        </w:tc>
        <w:tc>
          <w:tcPr>
            <w:tcW w:w="1160" w:type="dxa"/>
            <w:tcBorders>
              <w:top w:val="nil"/>
              <w:left w:val="nil"/>
              <w:bottom w:val="nil"/>
              <w:right w:val="nil"/>
            </w:tcBorders>
            <w:shd w:val="clear" w:color="auto" w:fill="auto"/>
            <w:noWrap/>
            <w:vAlign w:val="center"/>
            <w:hideMark/>
          </w:tcPr>
          <w:p w14:paraId="13CA6DC5" w14:textId="77777777" w:rsidR="00014C83" w:rsidRPr="00014C83" w:rsidRDefault="00014C83" w:rsidP="00014C83">
            <w:pPr>
              <w:jc w:val="right"/>
              <w:rPr>
                <w:rFonts w:cs="Arial"/>
                <w:sz w:val="16"/>
                <w:szCs w:val="16"/>
                <w:lang w:eastAsia="en-GB"/>
              </w:rPr>
            </w:pPr>
            <w:r w:rsidRPr="00014C83">
              <w:rPr>
                <w:rFonts w:cs="Arial"/>
                <w:sz w:val="16"/>
                <w:szCs w:val="16"/>
                <w:lang w:eastAsia="en-GB"/>
              </w:rPr>
              <w:t>0</w:t>
            </w:r>
          </w:p>
        </w:tc>
        <w:tc>
          <w:tcPr>
            <w:tcW w:w="1380" w:type="dxa"/>
            <w:tcBorders>
              <w:top w:val="nil"/>
              <w:left w:val="nil"/>
              <w:bottom w:val="nil"/>
              <w:right w:val="nil"/>
            </w:tcBorders>
            <w:shd w:val="clear" w:color="auto" w:fill="auto"/>
            <w:noWrap/>
            <w:vAlign w:val="center"/>
            <w:hideMark/>
          </w:tcPr>
          <w:p w14:paraId="57E1D470" w14:textId="77777777" w:rsidR="00014C83" w:rsidRPr="00014C83" w:rsidRDefault="00014C83" w:rsidP="00014C83">
            <w:pPr>
              <w:jc w:val="right"/>
              <w:rPr>
                <w:rFonts w:cs="Arial"/>
                <w:sz w:val="16"/>
                <w:szCs w:val="16"/>
                <w:lang w:eastAsia="en-GB"/>
              </w:rPr>
            </w:pPr>
            <w:r w:rsidRPr="00014C83">
              <w:rPr>
                <w:rFonts w:cs="Arial"/>
                <w:sz w:val="16"/>
                <w:szCs w:val="16"/>
                <w:lang w:eastAsia="en-GB"/>
              </w:rPr>
              <w:t>0</w:t>
            </w:r>
          </w:p>
        </w:tc>
        <w:tc>
          <w:tcPr>
            <w:tcW w:w="1280" w:type="dxa"/>
            <w:tcBorders>
              <w:top w:val="nil"/>
              <w:left w:val="nil"/>
              <w:bottom w:val="nil"/>
              <w:right w:val="nil"/>
            </w:tcBorders>
            <w:shd w:val="clear" w:color="auto" w:fill="auto"/>
            <w:noWrap/>
            <w:vAlign w:val="center"/>
            <w:hideMark/>
          </w:tcPr>
          <w:p w14:paraId="0D9FBD88" w14:textId="77777777" w:rsidR="00014C83" w:rsidRPr="00014C83" w:rsidRDefault="00014C83" w:rsidP="00014C83">
            <w:pPr>
              <w:jc w:val="right"/>
              <w:rPr>
                <w:rFonts w:cs="Arial"/>
                <w:sz w:val="16"/>
                <w:szCs w:val="16"/>
                <w:lang w:eastAsia="en-GB"/>
              </w:rPr>
            </w:pPr>
            <w:r w:rsidRPr="00014C83">
              <w:rPr>
                <w:rFonts w:cs="Arial"/>
                <w:sz w:val="16"/>
                <w:szCs w:val="16"/>
                <w:lang w:eastAsia="en-GB"/>
              </w:rPr>
              <w:t>19,485</w:t>
            </w:r>
          </w:p>
        </w:tc>
        <w:tc>
          <w:tcPr>
            <w:tcW w:w="1160" w:type="dxa"/>
            <w:tcBorders>
              <w:top w:val="nil"/>
              <w:left w:val="nil"/>
              <w:bottom w:val="nil"/>
              <w:right w:val="single" w:sz="8" w:space="0" w:color="auto"/>
            </w:tcBorders>
            <w:shd w:val="clear" w:color="auto" w:fill="auto"/>
            <w:noWrap/>
            <w:vAlign w:val="center"/>
            <w:hideMark/>
          </w:tcPr>
          <w:p w14:paraId="4436D303" w14:textId="77777777" w:rsidR="00014C83" w:rsidRPr="00014C83" w:rsidRDefault="00014C83" w:rsidP="00014C83">
            <w:pPr>
              <w:jc w:val="right"/>
              <w:rPr>
                <w:rFonts w:cs="Arial"/>
                <w:sz w:val="16"/>
                <w:szCs w:val="16"/>
                <w:lang w:eastAsia="en-GB"/>
              </w:rPr>
            </w:pPr>
            <w:r w:rsidRPr="00014C83">
              <w:rPr>
                <w:rFonts w:cs="Arial"/>
                <w:sz w:val="16"/>
                <w:szCs w:val="16"/>
                <w:lang w:eastAsia="en-GB"/>
              </w:rPr>
              <w:t>127,137</w:t>
            </w:r>
          </w:p>
        </w:tc>
      </w:tr>
      <w:tr w:rsidR="00014C83" w:rsidRPr="00014C83" w14:paraId="40087AD8" w14:textId="77777777" w:rsidTr="00014C83">
        <w:trPr>
          <w:trHeight w:val="290"/>
        </w:trPr>
        <w:tc>
          <w:tcPr>
            <w:tcW w:w="3534" w:type="dxa"/>
            <w:tcBorders>
              <w:top w:val="nil"/>
              <w:left w:val="single" w:sz="8" w:space="0" w:color="auto"/>
              <w:bottom w:val="nil"/>
              <w:right w:val="nil"/>
            </w:tcBorders>
            <w:shd w:val="clear" w:color="auto" w:fill="auto"/>
            <w:noWrap/>
            <w:vAlign w:val="center"/>
            <w:hideMark/>
          </w:tcPr>
          <w:p w14:paraId="5E2E227C" w14:textId="77777777"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Director of Sustainable Development</w:t>
            </w:r>
          </w:p>
        </w:tc>
        <w:tc>
          <w:tcPr>
            <w:tcW w:w="1140" w:type="dxa"/>
            <w:tcBorders>
              <w:top w:val="nil"/>
              <w:left w:val="nil"/>
              <w:bottom w:val="nil"/>
              <w:right w:val="nil"/>
            </w:tcBorders>
            <w:shd w:val="clear" w:color="auto" w:fill="auto"/>
            <w:noWrap/>
            <w:vAlign w:val="center"/>
            <w:hideMark/>
          </w:tcPr>
          <w:p w14:paraId="2AEDDA32" w14:textId="77777777" w:rsidR="00014C83" w:rsidRPr="00014C83" w:rsidRDefault="00014C83" w:rsidP="00014C83">
            <w:pPr>
              <w:jc w:val="right"/>
              <w:rPr>
                <w:rFonts w:cs="Arial"/>
                <w:sz w:val="16"/>
                <w:szCs w:val="16"/>
                <w:lang w:eastAsia="en-GB"/>
              </w:rPr>
            </w:pPr>
            <w:r w:rsidRPr="00014C83">
              <w:rPr>
                <w:rFonts w:cs="Arial"/>
                <w:sz w:val="16"/>
                <w:szCs w:val="16"/>
                <w:lang w:eastAsia="en-GB"/>
              </w:rPr>
              <w:t>77,491</w:t>
            </w:r>
          </w:p>
        </w:tc>
        <w:tc>
          <w:tcPr>
            <w:tcW w:w="1160" w:type="dxa"/>
            <w:tcBorders>
              <w:top w:val="nil"/>
              <w:left w:val="nil"/>
              <w:bottom w:val="nil"/>
              <w:right w:val="nil"/>
            </w:tcBorders>
            <w:shd w:val="clear" w:color="auto" w:fill="auto"/>
            <w:noWrap/>
            <w:vAlign w:val="center"/>
            <w:hideMark/>
          </w:tcPr>
          <w:p w14:paraId="01D88044" w14:textId="77777777" w:rsidR="00014C83" w:rsidRPr="00014C83" w:rsidRDefault="00014C83" w:rsidP="00014C83">
            <w:pPr>
              <w:jc w:val="right"/>
              <w:rPr>
                <w:rFonts w:cs="Arial"/>
                <w:sz w:val="16"/>
                <w:szCs w:val="16"/>
                <w:lang w:eastAsia="en-GB"/>
              </w:rPr>
            </w:pPr>
            <w:r w:rsidRPr="00014C83">
              <w:rPr>
                <w:rFonts w:cs="Arial"/>
                <w:sz w:val="16"/>
                <w:szCs w:val="16"/>
                <w:lang w:eastAsia="en-GB"/>
              </w:rPr>
              <w:t>0</w:t>
            </w:r>
          </w:p>
        </w:tc>
        <w:tc>
          <w:tcPr>
            <w:tcW w:w="1380" w:type="dxa"/>
            <w:tcBorders>
              <w:top w:val="nil"/>
              <w:left w:val="nil"/>
              <w:bottom w:val="nil"/>
              <w:right w:val="nil"/>
            </w:tcBorders>
            <w:shd w:val="clear" w:color="auto" w:fill="auto"/>
            <w:noWrap/>
            <w:vAlign w:val="center"/>
            <w:hideMark/>
          </w:tcPr>
          <w:p w14:paraId="69BD6AD8" w14:textId="77777777" w:rsidR="00014C83" w:rsidRPr="00014C83" w:rsidRDefault="00014C83" w:rsidP="00014C83">
            <w:pPr>
              <w:jc w:val="right"/>
              <w:rPr>
                <w:rFonts w:cs="Arial"/>
                <w:sz w:val="16"/>
                <w:szCs w:val="16"/>
                <w:lang w:eastAsia="en-GB"/>
              </w:rPr>
            </w:pPr>
            <w:r w:rsidRPr="00014C83">
              <w:rPr>
                <w:rFonts w:cs="Arial"/>
                <w:sz w:val="16"/>
                <w:szCs w:val="16"/>
                <w:lang w:eastAsia="en-GB"/>
              </w:rPr>
              <w:t>0</w:t>
            </w:r>
          </w:p>
        </w:tc>
        <w:tc>
          <w:tcPr>
            <w:tcW w:w="1280" w:type="dxa"/>
            <w:tcBorders>
              <w:top w:val="nil"/>
              <w:left w:val="nil"/>
              <w:bottom w:val="nil"/>
              <w:right w:val="nil"/>
            </w:tcBorders>
            <w:shd w:val="clear" w:color="auto" w:fill="auto"/>
            <w:noWrap/>
            <w:vAlign w:val="center"/>
            <w:hideMark/>
          </w:tcPr>
          <w:p w14:paraId="22B8DEE1" w14:textId="77777777" w:rsidR="00014C83" w:rsidRPr="00014C83" w:rsidRDefault="00014C83" w:rsidP="00014C83">
            <w:pPr>
              <w:jc w:val="right"/>
              <w:rPr>
                <w:rFonts w:cs="Arial"/>
                <w:sz w:val="16"/>
                <w:szCs w:val="16"/>
                <w:lang w:eastAsia="en-GB"/>
              </w:rPr>
            </w:pPr>
            <w:r w:rsidRPr="00014C83">
              <w:rPr>
                <w:rFonts w:cs="Arial"/>
                <w:sz w:val="16"/>
                <w:szCs w:val="16"/>
                <w:lang w:eastAsia="en-GB"/>
              </w:rPr>
              <w:t>14,026</w:t>
            </w:r>
          </w:p>
        </w:tc>
        <w:tc>
          <w:tcPr>
            <w:tcW w:w="1160" w:type="dxa"/>
            <w:tcBorders>
              <w:top w:val="nil"/>
              <w:left w:val="nil"/>
              <w:bottom w:val="nil"/>
              <w:right w:val="single" w:sz="8" w:space="0" w:color="auto"/>
            </w:tcBorders>
            <w:shd w:val="clear" w:color="auto" w:fill="auto"/>
            <w:noWrap/>
            <w:vAlign w:val="center"/>
            <w:hideMark/>
          </w:tcPr>
          <w:p w14:paraId="294B1244" w14:textId="77777777" w:rsidR="00014C83" w:rsidRPr="00014C83" w:rsidRDefault="00014C83" w:rsidP="00014C83">
            <w:pPr>
              <w:jc w:val="right"/>
              <w:rPr>
                <w:rFonts w:cs="Arial"/>
                <w:sz w:val="16"/>
                <w:szCs w:val="16"/>
                <w:lang w:eastAsia="en-GB"/>
              </w:rPr>
            </w:pPr>
            <w:r w:rsidRPr="00014C83">
              <w:rPr>
                <w:rFonts w:cs="Arial"/>
                <w:sz w:val="16"/>
                <w:szCs w:val="16"/>
                <w:lang w:eastAsia="en-GB"/>
              </w:rPr>
              <w:t>91,517</w:t>
            </w:r>
          </w:p>
        </w:tc>
      </w:tr>
      <w:tr w:rsidR="00014C83" w:rsidRPr="00014C83" w14:paraId="36FA912F" w14:textId="77777777" w:rsidTr="00014C83">
        <w:trPr>
          <w:trHeight w:val="290"/>
        </w:trPr>
        <w:tc>
          <w:tcPr>
            <w:tcW w:w="3534" w:type="dxa"/>
            <w:tcBorders>
              <w:top w:val="nil"/>
              <w:left w:val="single" w:sz="8" w:space="0" w:color="auto"/>
              <w:bottom w:val="nil"/>
              <w:right w:val="nil"/>
            </w:tcBorders>
            <w:shd w:val="clear" w:color="auto" w:fill="auto"/>
            <w:noWrap/>
            <w:vAlign w:val="center"/>
            <w:hideMark/>
          </w:tcPr>
          <w:p w14:paraId="205D7687" w14:textId="7DF4BE25"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Director of</w:t>
            </w:r>
            <w:r w:rsidR="000F52CC">
              <w:rPr>
                <w:rFonts w:cs="Arial"/>
                <w:color w:val="000000"/>
                <w:sz w:val="16"/>
                <w:szCs w:val="16"/>
                <w:lang w:eastAsia="en-GB"/>
              </w:rPr>
              <w:t xml:space="preserve"> Visitor Services</w:t>
            </w:r>
            <w:r w:rsidRPr="00014C83">
              <w:rPr>
                <w:rFonts w:cs="Arial"/>
                <w:color w:val="000000"/>
                <w:sz w:val="16"/>
                <w:szCs w:val="16"/>
                <w:lang w:eastAsia="en-GB"/>
              </w:rPr>
              <w:t xml:space="preserve"> &amp; Resources</w:t>
            </w:r>
          </w:p>
        </w:tc>
        <w:tc>
          <w:tcPr>
            <w:tcW w:w="1140" w:type="dxa"/>
            <w:tcBorders>
              <w:top w:val="nil"/>
              <w:left w:val="nil"/>
              <w:bottom w:val="nil"/>
              <w:right w:val="nil"/>
            </w:tcBorders>
            <w:shd w:val="clear" w:color="auto" w:fill="auto"/>
            <w:noWrap/>
            <w:vAlign w:val="center"/>
            <w:hideMark/>
          </w:tcPr>
          <w:p w14:paraId="3C98EC83" w14:textId="77777777" w:rsidR="00014C83" w:rsidRPr="00014C83" w:rsidRDefault="00014C83" w:rsidP="00014C83">
            <w:pPr>
              <w:jc w:val="right"/>
              <w:rPr>
                <w:rFonts w:cs="Arial"/>
                <w:sz w:val="16"/>
                <w:szCs w:val="16"/>
                <w:lang w:eastAsia="en-GB"/>
              </w:rPr>
            </w:pPr>
            <w:r w:rsidRPr="00014C83">
              <w:rPr>
                <w:rFonts w:cs="Arial"/>
                <w:sz w:val="16"/>
                <w:szCs w:val="16"/>
                <w:lang w:eastAsia="en-GB"/>
              </w:rPr>
              <w:t>76,125</w:t>
            </w:r>
          </w:p>
        </w:tc>
        <w:tc>
          <w:tcPr>
            <w:tcW w:w="1160" w:type="dxa"/>
            <w:tcBorders>
              <w:top w:val="nil"/>
              <w:left w:val="nil"/>
              <w:bottom w:val="nil"/>
              <w:right w:val="nil"/>
            </w:tcBorders>
            <w:shd w:val="clear" w:color="auto" w:fill="auto"/>
            <w:noWrap/>
            <w:vAlign w:val="center"/>
            <w:hideMark/>
          </w:tcPr>
          <w:p w14:paraId="51B644C4" w14:textId="77777777" w:rsidR="00014C83" w:rsidRPr="00014C83" w:rsidRDefault="00014C83" w:rsidP="00014C83">
            <w:pPr>
              <w:jc w:val="right"/>
              <w:rPr>
                <w:rFonts w:cs="Arial"/>
                <w:sz w:val="16"/>
                <w:szCs w:val="16"/>
                <w:lang w:eastAsia="en-GB"/>
              </w:rPr>
            </w:pPr>
            <w:r w:rsidRPr="00014C83">
              <w:rPr>
                <w:rFonts w:cs="Arial"/>
                <w:sz w:val="16"/>
                <w:szCs w:val="16"/>
                <w:lang w:eastAsia="en-GB"/>
              </w:rPr>
              <w:t>0</w:t>
            </w:r>
          </w:p>
        </w:tc>
        <w:tc>
          <w:tcPr>
            <w:tcW w:w="1380" w:type="dxa"/>
            <w:tcBorders>
              <w:top w:val="nil"/>
              <w:left w:val="nil"/>
              <w:bottom w:val="nil"/>
              <w:right w:val="nil"/>
            </w:tcBorders>
            <w:shd w:val="clear" w:color="auto" w:fill="auto"/>
            <w:noWrap/>
            <w:vAlign w:val="center"/>
            <w:hideMark/>
          </w:tcPr>
          <w:p w14:paraId="5878F19D" w14:textId="77777777" w:rsidR="00014C83" w:rsidRPr="00014C83" w:rsidRDefault="00014C83" w:rsidP="00014C83">
            <w:pPr>
              <w:jc w:val="right"/>
              <w:rPr>
                <w:rFonts w:cs="Arial"/>
                <w:sz w:val="16"/>
                <w:szCs w:val="16"/>
                <w:lang w:eastAsia="en-GB"/>
              </w:rPr>
            </w:pPr>
            <w:r w:rsidRPr="00014C83">
              <w:rPr>
                <w:rFonts w:cs="Arial"/>
                <w:sz w:val="16"/>
                <w:szCs w:val="16"/>
                <w:lang w:eastAsia="en-GB"/>
              </w:rPr>
              <w:t>0</w:t>
            </w:r>
          </w:p>
        </w:tc>
        <w:tc>
          <w:tcPr>
            <w:tcW w:w="1280" w:type="dxa"/>
            <w:tcBorders>
              <w:top w:val="nil"/>
              <w:left w:val="nil"/>
              <w:bottom w:val="nil"/>
              <w:right w:val="nil"/>
            </w:tcBorders>
            <w:shd w:val="clear" w:color="auto" w:fill="auto"/>
            <w:noWrap/>
            <w:vAlign w:val="center"/>
            <w:hideMark/>
          </w:tcPr>
          <w:p w14:paraId="32D9E8C8" w14:textId="77777777" w:rsidR="00014C83" w:rsidRPr="00014C83" w:rsidRDefault="00014C83" w:rsidP="00014C83">
            <w:pPr>
              <w:jc w:val="right"/>
              <w:rPr>
                <w:rFonts w:cs="Arial"/>
                <w:sz w:val="16"/>
                <w:szCs w:val="16"/>
                <w:lang w:eastAsia="en-GB"/>
              </w:rPr>
            </w:pPr>
            <w:r w:rsidRPr="00014C83">
              <w:rPr>
                <w:rFonts w:cs="Arial"/>
                <w:sz w:val="16"/>
                <w:szCs w:val="16"/>
                <w:lang w:eastAsia="en-GB"/>
              </w:rPr>
              <w:t>12,964</w:t>
            </w:r>
          </w:p>
        </w:tc>
        <w:tc>
          <w:tcPr>
            <w:tcW w:w="1160" w:type="dxa"/>
            <w:tcBorders>
              <w:top w:val="nil"/>
              <w:left w:val="nil"/>
              <w:bottom w:val="nil"/>
              <w:right w:val="single" w:sz="8" w:space="0" w:color="auto"/>
            </w:tcBorders>
            <w:shd w:val="clear" w:color="auto" w:fill="auto"/>
            <w:noWrap/>
            <w:vAlign w:val="center"/>
            <w:hideMark/>
          </w:tcPr>
          <w:p w14:paraId="6CC404D7" w14:textId="77777777" w:rsidR="00014C83" w:rsidRPr="00014C83" w:rsidRDefault="00014C83" w:rsidP="00014C83">
            <w:pPr>
              <w:jc w:val="right"/>
              <w:rPr>
                <w:rFonts w:cs="Arial"/>
                <w:sz w:val="16"/>
                <w:szCs w:val="16"/>
                <w:lang w:eastAsia="en-GB"/>
              </w:rPr>
            </w:pPr>
            <w:r w:rsidRPr="00014C83">
              <w:rPr>
                <w:rFonts w:cs="Arial"/>
                <w:sz w:val="16"/>
                <w:szCs w:val="16"/>
                <w:lang w:eastAsia="en-GB"/>
              </w:rPr>
              <w:t>89,090</w:t>
            </w:r>
          </w:p>
        </w:tc>
      </w:tr>
      <w:tr w:rsidR="00014C83" w:rsidRPr="00014C83" w14:paraId="5D16EAE0" w14:textId="77777777" w:rsidTr="00014C83">
        <w:trPr>
          <w:trHeight w:val="300"/>
        </w:trPr>
        <w:tc>
          <w:tcPr>
            <w:tcW w:w="3534" w:type="dxa"/>
            <w:tcBorders>
              <w:top w:val="nil"/>
              <w:left w:val="single" w:sz="8" w:space="0" w:color="auto"/>
              <w:bottom w:val="nil"/>
              <w:right w:val="nil"/>
            </w:tcBorders>
            <w:shd w:val="clear" w:color="auto" w:fill="auto"/>
            <w:noWrap/>
            <w:vAlign w:val="center"/>
            <w:hideMark/>
          </w:tcPr>
          <w:p w14:paraId="45A09343" w14:textId="77777777"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Head of Resources (S151 Officer)</w:t>
            </w:r>
          </w:p>
        </w:tc>
        <w:tc>
          <w:tcPr>
            <w:tcW w:w="1140" w:type="dxa"/>
            <w:tcBorders>
              <w:top w:val="nil"/>
              <w:left w:val="nil"/>
              <w:bottom w:val="nil"/>
              <w:right w:val="nil"/>
            </w:tcBorders>
            <w:shd w:val="clear" w:color="auto" w:fill="auto"/>
            <w:noWrap/>
            <w:vAlign w:val="center"/>
            <w:hideMark/>
          </w:tcPr>
          <w:p w14:paraId="3C3E4D5A" w14:textId="77777777" w:rsidR="00014C83" w:rsidRPr="00014C83" w:rsidRDefault="00014C83" w:rsidP="00014C83">
            <w:pPr>
              <w:jc w:val="right"/>
              <w:rPr>
                <w:rFonts w:cs="Arial"/>
                <w:sz w:val="16"/>
                <w:szCs w:val="16"/>
                <w:lang w:eastAsia="en-GB"/>
              </w:rPr>
            </w:pPr>
            <w:r w:rsidRPr="00014C83">
              <w:rPr>
                <w:rFonts w:cs="Arial"/>
                <w:sz w:val="16"/>
                <w:szCs w:val="16"/>
                <w:lang w:eastAsia="en-GB"/>
              </w:rPr>
              <w:t>63,699</w:t>
            </w:r>
          </w:p>
        </w:tc>
        <w:tc>
          <w:tcPr>
            <w:tcW w:w="1160" w:type="dxa"/>
            <w:tcBorders>
              <w:top w:val="nil"/>
              <w:left w:val="nil"/>
              <w:bottom w:val="nil"/>
              <w:right w:val="nil"/>
            </w:tcBorders>
            <w:shd w:val="clear" w:color="auto" w:fill="auto"/>
            <w:noWrap/>
            <w:vAlign w:val="center"/>
            <w:hideMark/>
          </w:tcPr>
          <w:p w14:paraId="3D2A51A2" w14:textId="77777777" w:rsidR="00014C83" w:rsidRPr="00014C83" w:rsidRDefault="00014C83" w:rsidP="00014C83">
            <w:pPr>
              <w:jc w:val="right"/>
              <w:rPr>
                <w:rFonts w:cs="Arial"/>
                <w:sz w:val="16"/>
                <w:szCs w:val="16"/>
                <w:lang w:eastAsia="en-GB"/>
              </w:rPr>
            </w:pPr>
            <w:r w:rsidRPr="00014C83">
              <w:rPr>
                <w:rFonts w:cs="Arial"/>
                <w:sz w:val="16"/>
                <w:szCs w:val="16"/>
                <w:lang w:eastAsia="en-GB"/>
              </w:rPr>
              <w:t>0</w:t>
            </w:r>
          </w:p>
        </w:tc>
        <w:tc>
          <w:tcPr>
            <w:tcW w:w="1380" w:type="dxa"/>
            <w:tcBorders>
              <w:top w:val="nil"/>
              <w:left w:val="nil"/>
              <w:bottom w:val="nil"/>
              <w:right w:val="nil"/>
            </w:tcBorders>
            <w:shd w:val="clear" w:color="auto" w:fill="auto"/>
            <w:noWrap/>
            <w:vAlign w:val="center"/>
            <w:hideMark/>
          </w:tcPr>
          <w:p w14:paraId="1B8A88D3" w14:textId="77777777" w:rsidR="00014C83" w:rsidRPr="00014C83" w:rsidRDefault="00014C83" w:rsidP="00014C83">
            <w:pPr>
              <w:jc w:val="right"/>
              <w:rPr>
                <w:rFonts w:cs="Arial"/>
                <w:sz w:val="16"/>
                <w:szCs w:val="16"/>
                <w:lang w:eastAsia="en-GB"/>
              </w:rPr>
            </w:pPr>
            <w:r w:rsidRPr="00014C83">
              <w:rPr>
                <w:rFonts w:cs="Arial"/>
                <w:sz w:val="16"/>
                <w:szCs w:val="16"/>
                <w:lang w:eastAsia="en-GB"/>
              </w:rPr>
              <w:t>0</w:t>
            </w:r>
          </w:p>
        </w:tc>
        <w:tc>
          <w:tcPr>
            <w:tcW w:w="1280" w:type="dxa"/>
            <w:tcBorders>
              <w:top w:val="nil"/>
              <w:left w:val="nil"/>
              <w:bottom w:val="nil"/>
              <w:right w:val="nil"/>
            </w:tcBorders>
            <w:shd w:val="clear" w:color="auto" w:fill="auto"/>
            <w:noWrap/>
            <w:vAlign w:val="center"/>
            <w:hideMark/>
          </w:tcPr>
          <w:p w14:paraId="2CAFB961" w14:textId="77777777" w:rsidR="00014C83" w:rsidRPr="00014C83" w:rsidRDefault="00014C83" w:rsidP="00014C83">
            <w:pPr>
              <w:jc w:val="right"/>
              <w:rPr>
                <w:rFonts w:cs="Arial"/>
                <w:sz w:val="16"/>
                <w:szCs w:val="16"/>
                <w:lang w:eastAsia="en-GB"/>
              </w:rPr>
            </w:pPr>
            <w:r w:rsidRPr="00014C83">
              <w:rPr>
                <w:rFonts w:cs="Arial"/>
                <w:sz w:val="16"/>
                <w:szCs w:val="16"/>
                <w:lang w:eastAsia="en-GB"/>
              </w:rPr>
              <w:t>11,529</w:t>
            </w:r>
          </w:p>
        </w:tc>
        <w:tc>
          <w:tcPr>
            <w:tcW w:w="1160" w:type="dxa"/>
            <w:tcBorders>
              <w:top w:val="nil"/>
              <w:left w:val="nil"/>
              <w:bottom w:val="nil"/>
              <w:right w:val="single" w:sz="8" w:space="0" w:color="auto"/>
            </w:tcBorders>
            <w:shd w:val="clear" w:color="auto" w:fill="auto"/>
            <w:noWrap/>
            <w:vAlign w:val="center"/>
            <w:hideMark/>
          </w:tcPr>
          <w:p w14:paraId="6C6796F3" w14:textId="77777777" w:rsidR="00014C83" w:rsidRPr="00014C83" w:rsidRDefault="00014C83" w:rsidP="00014C83">
            <w:pPr>
              <w:jc w:val="right"/>
              <w:rPr>
                <w:rFonts w:cs="Arial"/>
                <w:sz w:val="16"/>
                <w:szCs w:val="16"/>
                <w:lang w:eastAsia="en-GB"/>
              </w:rPr>
            </w:pPr>
            <w:r w:rsidRPr="00014C83">
              <w:rPr>
                <w:rFonts w:cs="Arial"/>
                <w:sz w:val="16"/>
                <w:szCs w:val="16"/>
                <w:lang w:eastAsia="en-GB"/>
              </w:rPr>
              <w:t>75,228</w:t>
            </w:r>
          </w:p>
        </w:tc>
      </w:tr>
      <w:tr w:rsidR="00014C83" w:rsidRPr="00014C83" w14:paraId="5F65E264" w14:textId="77777777" w:rsidTr="00014C83">
        <w:trPr>
          <w:trHeight w:val="300"/>
        </w:trPr>
        <w:tc>
          <w:tcPr>
            <w:tcW w:w="3534" w:type="dxa"/>
            <w:tcBorders>
              <w:top w:val="nil"/>
              <w:left w:val="single" w:sz="8" w:space="0" w:color="auto"/>
              <w:bottom w:val="nil"/>
              <w:right w:val="nil"/>
            </w:tcBorders>
            <w:shd w:val="clear" w:color="auto" w:fill="auto"/>
            <w:noWrap/>
            <w:vAlign w:val="center"/>
            <w:hideMark/>
          </w:tcPr>
          <w:p w14:paraId="533D844B" w14:textId="77777777" w:rsidR="00014C83" w:rsidRPr="00014C83" w:rsidRDefault="00014C83" w:rsidP="00014C83">
            <w:pPr>
              <w:rPr>
                <w:rFonts w:cs="Arial"/>
                <w:b/>
                <w:bCs/>
                <w:color w:val="000000"/>
                <w:sz w:val="16"/>
                <w:szCs w:val="16"/>
                <w:lang w:eastAsia="en-GB"/>
              </w:rPr>
            </w:pPr>
            <w:r w:rsidRPr="00014C83">
              <w:rPr>
                <w:rFonts w:cs="Arial"/>
                <w:b/>
                <w:bCs/>
                <w:color w:val="000000"/>
                <w:sz w:val="16"/>
                <w:szCs w:val="16"/>
                <w:lang w:eastAsia="en-GB"/>
              </w:rPr>
              <w:t> </w:t>
            </w:r>
          </w:p>
        </w:tc>
        <w:tc>
          <w:tcPr>
            <w:tcW w:w="1140" w:type="dxa"/>
            <w:tcBorders>
              <w:top w:val="single" w:sz="8" w:space="0" w:color="auto"/>
              <w:left w:val="nil"/>
              <w:bottom w:val="double" w:sz="6" w:space="0" w:color="auto"/>
              <w:right w:val="nil"/>
            </w:tcBorders>
            <w:shd w:val="clear" w:color="auto" w:fill="auto"/>
            <w:noWrap/>
            <w:vAlign w:val="center"/>
            <w:hideMark/>
          </w:tcPr>
          <w:p w14:paraId="7A0900D1" w14:textId="77777777" w:rsidR="00014C83" w:rsidRPr="00014C83" w:rsidRDefault="00014C83" w:rsidP="00014C83">
            <w:pPr>
              <w:jc w:val="right"/>
              <w:rPr>
                <w:rFonts w:cs="Arial"/>
                <w:sz w:val="16"/>
                <w:szCs w:val="16"/>
                <w:lang w:eastAsia="en-GB"/>
              </w:rPr>
            </w:pPr>
            <w:r w:rsidRPr="00014C83">
              <w:rPr>
                <w:rFonts w:cs="Arial"/>
                <w:sz w:val="16"/>
                <w:szCs w:val="16"/>
                <w:lang w:eastAsia="en-GB"/>
              </w:rPr>
              <w:t>324,967</w:t>
            </w:r>
          </w:p>
        </w:tc>
        <w:tc>
          <w:tcPr>
            <w:tcW w:w="1160" w:type="dxa"/>
            <w:tcBorders>
              <w:top w:val="single" w:sz="8" w:space="0" w:color="auto"/>
              <w:left w:val="nil"/>
              <w:bottom w:val="double" w:sz="6" w:space="0" w:color="auto"/>
              <w:right w:val="nil"/>
            </w:tcBorders>
            <w:shd w:val="clear" w:color="auto" w:fill="auto"/>
            <w:noWrap/>
            <w:vAlign w:val="center"/>
            <w:hideMark/>
          </w:tcPr>
          <w:p w14:paraId="46714E62" w14:textId="77777777" w:rsidR="00014C83" w:rsidRPr="00014C83" w:rsidRDefault="00014C83" w:rsidP="00014C83">
            <w:pPr>
              <w:jc w:val="right"/>
              <w:rPr>
                <w:rFonts w:cs="Arial"/>
                <w:sz w:val="16"/>
                <w:szCs w:val="16"/>
                <w:lang w:eastAsia="en-GB"/>
              </w:rPr>
            </w:pPr>
            <w:r w:rsidRPr="00014C83">
              <w:rPr>
                <w:rFonts w:cs="Arial"/>
                <w:sz w:val="16"/>
                <w:szCs w:val="16"/>
                <w:lang w:eastAsia="en-GB"/>
              </w:rPr>
              <w:t>0</w:t>
            </w:r>
          </w:p>
        </w:tc>
        <w:tc>
          <w:tcPr>
            <w:tcW w:w="1380" w:type="dxa"/>
            <w:tcBorders>
              <w:top w:val="single" w:sz="8" w:space="0" w:color="auto"/>
              <w:left w:val="nil"/>
              <w:bottom w:val="double" w:sz="6" w:space="0" w:color="auto"/>
              <w:right w:val="nil"/>
            </w:tcBorders>
            <w:shd w:val="clear" w:color="auto" w:fill="auto"/>
            <w:noWrap/>
            <w:vAlign w:val="center"/>
            <w:hideMark/>
          </w:tcPr>
          <w:p w14:paraId="03D8D435" w14:textId="77777777" w:rsidR="00014C83" w:rsidRPr="00014C83" w:rsidRDefault="00014C83" w:rsidP="00014C83">
            <w:pPr>
              <w:jc w:val="right"/>
              <w:rPr>
                <w:rFonts w:cs="Arial"/>
                <w:sz w:val="16"/>
                <w:szCs w:val="16"/>
                <w:lang w:eastAsia="en-GB"/>
              </w:rPr>
            </w:pPr>
            <w:r w:rsidRPr="00014C83">
              <w:rPr>
                <w:rFonts w:cs="Arial"/>
                <w:sz w:val="16"/>
                <w:szCs w:val="16"/>
                <w:lang w:eastAsia="en-GB"/>
              </w:rPr>
              <w:t>0</w:t>
            </w:r>
          </w:p>
        </w:tc>
        <w:tc>
          <w:tcPr>
            <w:tcW w:w="1280" w:type="dxa"/>
            <w:tcBorders>
              <w:top w:val="single" w:sz="8" w:space="0" w:color="auto"/>
              <w:left w:val="nil"/>
              <w:bottom w:val="double" w:sz="6" w:space="0" w:color="auto"/>
              <w:right w:val="nil"/>
            </w:tcBorders>
            <w:shd w:val="clear" w:color="auto" w:fill="auto"/>
            <w:noWrap/>
            <w:vAlign w:val="center"/>
            <w:hideMark/>
          </w:tcPr>
          <w:p w14:paraId="3051971F" w14:textId="77777777" w:rsidR="00014C83" w:rsidRPr="00014C83" w:rsidRDefault="00014C83" w:rsidP="00014C83">
            <w:pPr>
              <w:jc w:val="right"/>
              <w:rPr>
                <w:rFonts w:cs="Arial"/>
                <w:sz w:val="16"/>
                <w:szCs w:val="16"/>
                <w:lang w:eastAsia="en-GB"/>
              </w:rPr>
            </w:pPr>
            <w:r w:rsidRPr="00014C83">
              <w:rPr>
                <w:rFonts w:cs="Arial"/>
                <w:sz w:val="16"/>
                <w:szCs w:val="16"/>
                <w:lang w:eastAsia="en-GB"/>
              </w:rPr>
              <w:t>58,005</w:t>
            </w:r>
          </w:p>
        </w:tc>
        <w:tc>
          <w:tcPr>
            <w:tcW w:w="1160" w:type="dxa"/>
            <w:tcBorders>
              <w:top w:val="single" w:sz="8" w:space="0" w:color="auto"/>
              <w:left w:val="nil"/>
              <w:bottom w:val="double" w:sz="6" w:space="0" w:color="auto"/>
              <w:right w:val="single" w:sz="8" w:space="0" w:color="auto"/>
            </w:tcBorders>
            <w:shd w:val="clear" w:color="auto" w:fill="auto"/>
            <w:noWrap/>
            <w:vAlign w:val="center"/>
            <w:hideMark/>
          </w:tcPr>
          <w:p w14:paraId="451F5DFF" w14:textId="77777777" w:rsidR="00014C83" w:rsidRPr="00014C83" w:rsidRDefault="00014C83" w:rsidP="00014C83">
            <w:pPr>
              <w:jc w:val="right"/>
              <w:rPr>
                <w:rFonts w:cs="Arial"/>
                <w:sz w:val="16"/>
                <w:szCs w:val="16"/>
                <w:lang w:eastAsia="en-GB"/>
              </w:rPr>
            </w:pPr>
            <w:r w:rsidRPr="00014C83">
              <w:rPr>
                <w:rFonts w:cs="Arial"/>
                <w:sz w:val="16"/>
                <w:szCs w:val="16"/>
                <w:lang w:eastAsia="en-GB"/>
              </w:rPr>
              <w:t>382,972</w:t>
            </w:r>
          </w:p>
        </w:tc>
      </w:tr>
      <w:tr w:rsidR="00014C83" w:rsidRPr="00014C83" w14:paraId="46B3EC35" w14:textId="77777777" w:rsidTr="00014C83">
        <w:trPr>
          <w:trHeight w:val="300"/>
        </w:trPr>
        <w:tc>
          <w:tcPr>
            <w:tcW w:w="3534" w:type="dxa"/>
            <w:tcBorders>
              <w:top w:val="nil"/>
              <w:left w:val="single" w:sz="8" w:space="0" w:color="auto"/>
              <w:bottom w:val="nil"/>
              <w:right w:val="nil"/>
            </w:tcBorders>
            <w:shd w:val="clear" w:color="000000" w:fill="FFFFFF"/>
            <w:noWrap/>
            <w:vAlign w:val="center"/>
            <w:hideMark/>
          </w:tcPr>
          <w:p w14:paraId="62AAFF9A" w14:textId="77777777" w:rsidR="00014C83" w:rsidRPr="00014C83" w:rsidRDefault="00014C83" w:rsidP="00014C83">
            <w:pPr>
              <w:rPr>
                <w:rFonts w:ascii="Calibri" w:hAnsi="Calibri" w:cs="Calibri"/>
                <w:color w:val="000000"/>
                <w:sz w:val="16"/>
                <w:szCs w:val="16"/>
                <w:lang w:eastAsia="en-GB"/>
              </w:rPr>
            </w:pPr>
            <w:r w:rsidRPr="00014C83">
              <w:rPr>
                <w:rFonts w:ascii="Calibri" w:hAnsi="Calibri" w:cs="Calibri"/>
                <w:color w:val="000000"/>
                <w:sz w:val="16"/>
                <w:szCs w:val="16"/>
                <w:lang w:eastAsia="en-GB"/>
              </w:rPr>
              <w:t> </w:t>
            </w:r>
          </w:p>
        </w:tc>
        <w:tc>
          <w:tcPr>
            <w:tcW w:w="1140" w:type="dxa"/>
            <w:tcBorders>
              <w:top w:val="nil"/>
              <w:left w:val="nil"/>
              <w:bottom w:val="nil"/>
              <w:right w:val="nil"/>
            </w:tcBorders>
            <w:shd w:val="clear" w:color="000000" w:fill="FFFFFF"/>
            <w:noWrap/>
            <w:vAlign w:val="center"/>
            <w:hideMark/>
          </w:tcPr>
          <w:p w14:paraId="551C98A7"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 </w:t>
            </w:r>
          </w:p>
        </w:tc>
        <w:tc>
          <w:tcPr>
            <w:tcW w:w="1160" w:type="dxa"/>
            <w:tcBorders>
              <w:top w:val="nil"/>
              <w:left w:val="nil"/>
              <w:bottom w:val="nil"/>
              <w:right w:val="nil"/>
            </w:tcBorders>
            <w:shd w:val="clear" w:color="000000" w:fill="FFFFFF"/>
            <w:noWrap/>
            <w:vAlign w:val="center"/>
            <w:hideMark/>
          </w:tcPr>
          <w:p w14:paraId="4519131D"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 </w:t>
            </w:r>
          </w:p>
        </w:tc>
        <w:tc>
          <w:tcPr>
            <w:tcW w:w="1380" w:type="dxa"/>
            <w:tcBorders>
              <w:top w:val="nil"/>
              <w:left w:val="nil"/>
              <w:bottom w:val="nil"/>
              <w:right w:val="nil"/>
            </w:tcBorders>
            <w:shd w:val="clear" w:color="000000" w:fill="FFFFFF"/>
            <w:noWrap/>
            <w:vAlign w:val="center"/>
            <w:hideMark/>
          </w:tcPr>
          <w:p w14:paraId="6DFF0E35"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 </w:t>
            </w:r>
          </w:p>
        </w:tc>
        <w:tc>
          <w:tcPr>
            <w:tcW w:w="1280" w:type="dxa"/>
            <w:tcBorders>
              <w:top w:val="nil"/>
              <w:left w:val="nil"/>
              <w:bottom w:val="nil"/>
              <w:right w:val="nil"/>
            </w:tcBorders>
            <w:shd w:val="clear" w:color="000000" w:fill="FFFFFF"/>
            <w:noWrap/>
            <w:vAlign w:val="center"/>
            <w:hideMark/>
          </w:tcPr>
          <w:p w14:paraId="6CD0FCD0"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 </w:t>
            </w:r>
          </w:p>
        </w:tc>
        <w:tc>
          <w:tcPr>
            <w:tcW w:w="1160" w:type="dxa"/>
            <w:tcBorders>
              <w:top w:val="nil"/>
              <w:left w:val="nil"/>
              <w:bottom w:val="nil"/>
              <w:right w:val="single" w:sz="8" w:space="0" w:color="auto"/>
            </w:tcBorders>
            <w:shd w:val="clear" w:color="000000" w:fill="FFFFFF"/>
            <w:noWrap/>
            <w:vAlign w:val="center"/>
            <w:hideMark/>
          </w:tcPr>
          <w:p w14:paraId="287FB79E" w14:textId="77777777" w:rsidR="00014C83" w:rsidRPr="00014C83" w:rsidRDefault="00014C83" w:rsidP="00014C83">
            <w:pPr>
              <w:jc w:val="center"/>
              <w:rPr>
                <w:rFonts w:cs="Arial"/>
                <w:b/>
                <w:bCs/>
                <w:color w:val="FFFFFF"/>
                <w:sz w:val="16"/>
                <w:szCs w:val="16"/>
                <w:lang w:eastAsia="en-GB"/>
              </w:rPr>
            </w:pPr>
            <w:r w:rsidRPr="00014C83">
              <w:rPr>
                <w:rFonts w:cs="Arial"/>
                <w:b/>
                <w:bCs/>
                <w:color w:val="FFFFFF"/>
                <w:sz w:val="16"/>
                <w:szCs w:val="16"/>
                <w:lang w:eastAsia="en-GB"/>
              </w:rPr>
              <w:t> </w:t>
            </w:r>
          </w:p>
        </w:tc>
      </w:tr>
      <w:tr w:rsidR="00014C83" w:rsidRPr="00014C83" w14:paraId="6CD1BF96" w14:textId="77777777" w:rsidTr="00014C83">
        <w:trPr>
          <w:trHeight w:val="290"/>
        </w:trPr>
        <w:tc>
          <w:tcPr>
            <w:tcW w:w="3534" w:type="dxa"/>
            <w:tcBorders>
              <w:top w:val="nil"/>
              <w:left w:val="single" w:sz="8" w:space="0" w:color="auto"/>
              <w:bottom w:val="nil"/>
              <w:right w:val="nil"/>
            </w:tcBorders>
            <w:shd w:val="clear" w:color="auto" w:fill="auto"/>
            <w:noWrap/>
            <w:vAlign w:val="center"/>
            <w:hideMark/>
          </w:tcPr>
          <w:p w14:paraId="7F7995DA" w14:textId="77777777" w:rsidR="00014C83" w:rsidRPr="00014C83" w:rsidRDefault="00014C83" w:rsidP="00014C83">
            <w:pPr>
              <w:rPr>
                <w:rFonts w:cs="Arial"/>
                <w:b/>
                <w:bCs/>
                <w:color w:val="000000"/>
                <w:sz w:val="16"/>
                <w:szCs w:val="16"/>
                <w:lang w:eastAsia="en-GB"/>
              </w:rPr>
            </w:pPr>
            <w:r w:rsidRPr="00014C83">
              <w:rPr>
                <w:rFonts w:cs="Arial"/>
                <w:b/>
                <w:bCs/>
                <w:color w:val="000000"/>
                <w:sz w:val="16"/>
                <w:szCs w:val="16"/>
                <w:lang w:eastAsia="en-GB"/>
              </w:rPr>
              <w:t>2022/23</w:t>
            </w:r>
          </w:p>
        </w:tc>
        <w:tc>
          <w:tcPr>
            <w:tcW w:w="1140" w:type="dxa"/>
            <w:tcBorders>
              <w:top w:val="nil"/>
              <w:left w:val="nil"/>
              <w:bottom w:val="nil"/>
              <w:right w:val="nil"/>
            </w:tcBorders>
            <w:shd w:val="clear" w:color="auto" w:fill="auto"/>
            <w:noWrap/>
            <w:vAlign w:val="bottom"/>
            <w:hideMark/>
          </w:tcPr>
          <w:p w14:paraId="7676BBE9" w14:textId="77777777" w:rsidR="00014C83" w:rsidRPr="00014C83" w:rsidRDefault="00014C83" w:rsidP="00014C83">
            <w:pPr>
              <w:rPr>
                <w:rFonts w:cs="Arial"/>
                <w:b/>
                <w:bCs/>
                <w:color w:val="000000"/>
                <w:sz w:val="16"/>
                <w:szCs w:val="16"/>
                <w:lang w:eastAsia="en-GB"/>
              </w:rPr>
            </w:pPr>
          </w:p>
        </w:tc>
        <w:tc>
          <w:tcPr>
            <w:tcW w:w="1160" w:type="dxa"/>
            <w:tcBorders>
              <w:top w:val="nil"/>
              <w:left w:val="nil"/>
              <w:bottom w:val="nil"/>
              <w:right w:val="nil"/>
            </w:tcBorders>
            <w:shd w:val="clear" w:color="auto" w:fill="auto"/>
            <w:noWrap/>
            <w:vAlign w:val="bottom"/>
            <w:hideMark/>
          </w:tcPr>
          <w:p w14:paraId="4413D341" w14:textId="77777777" w:rsidR="00014C83" w:rsidRPr="00014C83" w:rsidRDefault="00014C83" w:rsidP="00014C83">
            <w:pPr>
              <w:rPr>
                <w:rFonts w:ascii="Times New Roman" w:hAnsi="Times New Roman"/>
                <w:sz w:val="20"/>
                <w:szCs w:val="20"/>
                <w:lang w:eastAsia="en-GB"/>
              </w:rPr>
            </w:pPr>
          </w:p>
        </w:tc>
        <w:tc>
          <w:tcPr>
            <w:tcW w:w="1380" w:type="dxa"/>
            <w:tcBorders>
              <w:top w:val="nil"/>
              <w:left w:val="nil"/>
              <w:bottom w:val="nil"/>
              <w:right w:val="nil"/>
            </w:tcBorders>
            <w:shd w:val="clear" w:color="auto" w:fill="auto"/>
            <w:noWrap/>
            <w:vAlign w:val="bottom"/>
            <w:hideMark/>
          </w:tcPr>
          <w:p w14:paraId="479C36F6" w14:textId="77777777" w:rsidR="00014C83" w:rsidRPr="00014C83" w:rsidRDefault="00014C83" w:rsidP="00014C83">
            <w:pPr>
              <w:rPr>
                <w:rFonts w:ascii="Times New Roman" w:hAnsi="Times New Roman"/>
                <w:sz w:val="20"/>
                <w:szCs w:val="20"/>
                <w:lang w:eastAsia="en-GB"/>
              </w:rPr>
            </w:pPr>
          </w:p>
        </w:tc>
        <w:tc>
          <w:tcPr>
            <w:tcW w:w="1280" w:type="dxa"/>
            <w:tcBorders>
              <w:top w:val="nil"/>
              <w:left w:val="nil"/>
              <w:bottom w:val="nil"/>
              <w:right w:val="nil"/>
            </w:tcBorders>
            <w:shd w:val="clear" w:color="auto" w:fill="auto"/>
            <w:noWrap/>
            <w:vAlign w:val="bottom"/>
            <w:hideMark/>
          </w:tcPr>
          <w:p w14:paraId="4EF546BF" w14:textId="77777777" w:rsidR="00014C83" w:rsidRPr="00014C83" w:rsidRDefault="00014C83" w:rsidP="00014C83">
            <w:pPr>
              <w:rPr>
                <w:rFonts w:ascii="Times New Roman" w:hAnsi="Times New Roman"/>
                <w:sz w:val="20"/>
                <w:szCs w:val="20"/>
                <w:lang w:eastAsia="en-GB"/>
              </w:rPr>
            </w:pPr>
          </w:p>
        </w:tc>
        <w:tc>
          <w:tcPr>
            <w:tcW w:w="1160" w:type="dxa"/>
            <w:tcBorders>
              <w:top w:val="nil"/>
              <w:left w:val="nil"/>
              <w:bottom w:val="nil"/>
              <w:right w:val="single" w:sz="8" w:space="0" w:color="auto"/>
            </w:tcBorders>
            <w:shd w:val="clear" w:color="auto" w:fill="auto"/>
            <w:noWrap/>
            <w:vAlign w:val="center"/>
            <w:hideMark/>
          </w:tcPr>
          <w:p w14:paraId="32A7DCE3" w14:textId="77777777"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 </w:t>
            </w:r>
          </w:p>
        </w:tc>
      </w:tr>
      <w:tr w:rsidR="00014C83" w:rsidRPr="00014C83" w14:paraId="727EEC98" w14:textId="77777777" w:rsidTr="00014C83">
        <w:trPr>
          <w:trHeight w:val="290"/>
        </w:trPr>
        <w:tc>
          <w:tcPr>
            <w:tcW w:w="3534" w:type="dxa"/>
            <w:tcBorders>
              <w:top w:val="nil"/>
              <w:left w:val="single" w:sz="8" w:space="0" w:color="auto"/>
              <w:bottom w:val="nil"/>
              <w:right w:val="nil"/>
            </w:tcBorders>
            <w:shd w:val="clear" w:color="auto" w:fill="auto"/>
            <w:noWrap/>
            <w:vAlign w:val="center"/>
            <w:hideMark/>
          </w:tcPr>
          <w:p w14:paraId="45AFD680" w14:textId="77777777"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Chief Executive</w:t>
            </w:r>
          </w:p>
        </w:tc>
        <w:tc>
          <w:tcPr>
            <w:tcW w:w="1140" w:type="dxa"/>
            <w:tcBorders>
              <w:top w:val="nil"/>
              <w:left w:val="nil"/>
              <w:bottom w:val="nil"/>
              <w:right w:val="nil"/>
            </w:tcBorders>
            <w:shd w:val="clear" w:color="auto" w:fill="auto"/>
            <w:noWrap/>
            <w:vAlign w:val="center"/>
            <w:hideMark/>
          </w:tcPr>
          <w:p w14:paraId="05C4D3D4"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104,262</w:t>
            </w:r>
          </w:p>
        </w:tc>
        <w:tc>
          <w:tcPr>
            <w:tcW w:w="1160" w:type="dxa"/>
            <w:tcBorders>
              <w:top w:val="nil"/>
              <w:left w:val="nil"/>
              <w:bottom w:val="nil"/>
              <w:right w:val="nil"/>
            </w:tcBorders>
            <w:shd w:val="clear" w:color="auto" w:fill="auto"/>
            <w:noWrap/>
            <w:vAlign w:val="center"/>
            <w:hideMark/>
          </w:tcPr>
          <w:p w14:paraId="6AFF31FF"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0</w:t>
            </w:r>
          </w:p>
        </w:tc>
        <w:tc>
          <w:tcPr>
            <w:tcW w:w="1380" w:type="dxa"/>
            <w:tcBorders>
              <w:top w:val="nil"/>
              <w:left w:val="nil"/>
              <w:bottom w:val="nil"/>
              <w:right w:val="nil"/>
            </w:tcBorders>
            <w:shd w:val="clear" w:color="auto" w:fill="auto"/>
            <w:noWrap/>
            <w:vAlign w:val="center"/>
            <w:hideMark/>
          </w:tcPr>
          <w:p w14:paraId="5B2DF680"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0</w:t>
            </w:r>
          </w:p>
        </w:tc>
        <w:tc>
          <w:tcPr>
            <w:tcW w:w="1280" w:type="dxa"/>
            <w:tcBorders>
              <w:top w:val="nil"/>
              <w:left w:val="nil"/>
              <w:bottom w:val="nil"/>
              <w:right w:val="nil"/>
            </w:tcBorders>
            <w:shd w:val="clear" w:color="auto" w:fill="auto"/>
            <w:noWrap/>
            <w:vAlign w:val="center"/>
            <w:hideMark/>
          </w:tcPr>
          <w:p w14:paraId="0D5677E0"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18,098</w:t>
            </w:r>
          </w:p>
        </w:tc>
        <w:tc>
          <w:tcPr>
            <w:tcW w:w="1160" w:type="dxa"/>
            <w:tcBorders>
              <w:top w:val="nil"/>
              <w:left w:val="nil"/>
              <w:bottom w:val="nil"/>
              <w:right w:val="single" w:sz="8" w:space="0" w:color="auto"/>
            </w:tcBorders>
            <w:shd w:val="clear" w:color="auto" w:fill="auto"/>
            <w:noWrap/>
            <w:vAlign w:val="center"/>
            <w:hideMark/>
          </w:tcPr>
          <w:p w14:paraId="49418B04"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122,360</w:t>
            </w:r>
          </w:p>
        </w:tc>
      </w:tr>
      <w:tr w:rsidR="00014C83" w:rsidRPr="00014C83" w14:paraId="50A36C83" w14:textId="77777777" w:rsidTr="00014C83">
        <w:trPr>
          <w:trHeight w:val="290"/>
        </w:trPr>
        <w:tc>
          <w:tcPr>
            <w:tcW w:w="3534" w:type="dxa"/>
            <w:tcBorders>
              <w:top w:val="nil"/>
              <w:left w:val="single" w:sz="8" w:space="0" w:color="auto"/>
              <w:bottom w:val="nil"/>
              <w:right w:val="nil"/>
            </w:tcBorders>
            <w:shd w:val="clear" w:color="auto" w:fill="auto"/>
            <w:noWrap/>
            <w:vAlign w:val="center"/>
            <w:hideMark/>
          </w:tcPr>
          <w:p w14:paraId="0A4782C0" w14:textId="77777777"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Director of Sustainable Development</w:t>
            </w:r>
          </w:p>
        </w:tc>
        <w:tc>
          <w:tcPr>
            <w:tcW w:w="1140" w:type="dxa"/>
            <w:tcBorders>
              <w:top w:val="nil"/>
              <w:left w:val="nil"/>
              <w:bottom w:val="nil"/>
              <w:right w:val="nil"/>
            </w:tcBorders>
            <w:shd w:val="clear" w:color="auto" w:fill="auto"/>
            <w:noWrap/>
            <w:vAlign w:val="center"/>
            <w:hideMark/>
          </w:tcPr>
          <w:p w14:paraId="746FB938"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74,870</w:t>
            </w:r>
          </w:p>
        </w:tc>
        <w:tc>
          <w:tcPr>
            <w:tcW w:w="1160" w:type="dxa"/>
            <w:tcBorders>
              <w:top w:val="nil"/>
              <w:left w:val="nil"/>
              <w:bottom w:val="nil"/>
              <w:right w:val="nil"/>
            </w:tcBorders>
            <w:shd w:val="clear" w:color="auto" w:fill="auto"/>
            <w:noWrap/>
            <w:vAlign w:val="center"/>
            <w:hideMark/>
          </w:tcPr>
          <w:p w14:paraId="7D217F65"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0</w:t>
            </w:r>
          </w:p>
        </w:tc>
        <w:tc>
          <w:tcPr>
            <w:tcW w:w="1380" w:type="dxa"/>
            <w:tcBorders>
              <w:top w:val="nil"/>
              <w:left w:val="nil"/>
              <w:bottom w:val="nil"/>
              <w:right w:val="nil"/>
            </w:tcBorders>
            <w:shd w:val="clear" w:color="auto" w:fill="auto"/>
            <w:noWrap/>
            <w:vAlign w:val="center"/>
            <w:hideMark/>
          </w:tcPr>
          <w:p w14:paraId="09212ED2"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0</w:t>
            </w:r>
          </w:p>
        </w:tc>
        <w:tc>
          <w:tcPr>
            <w:tcW w:w="1280" w:type="dxa"/>
            <w:tcBorders>
              <w:top w:val="nil"/>
              <w:left w:val="nil"/>
              <w:bottom w:val="nil"/>
              <w:right w:val="nil"/>
            </w:tcBorders>
            <w:shd w:val="clear" w:color="auto" w:fill="auto"/>
            <w:noWrap/>
            <w:vAlign w:val="center"/>
            <w:hideMark/>
          </w:tcPr>
          <w:p w14:paraId="590DDBC5"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13,027</w:t>
            </w:r>
          </w:p>
        </w:tc>
        <w:tc>
          <w:tcPr>
            <w:tcW w:w="1160" w:type="dxa"/>
            <w:tcBorders>
              <w:top w:val="nil"/>
              <w:left w:val="nil"/>
              <w:bottom w:val="nil"/>
              <w:right w:val="single" w:sz="8" w:space="0" w:color="auto"/>
            </w:tcBorders>
            <w:shd w:val="clear" w:color="auto" w:fill="auto"/>
            <w:noWrap/>
            <w:vAlign w:val="center"/>
            <w:hideMark/>
          </w:tcPr>
          <w:p w14:paraId="03B4F83A"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87,897</w:t>
            </w:r>
          </w:p>
        </w:tc>
      </w:tr>
      <w:tr w:rsidR="00014C83" w:rsidRPr="00014C83" w14:paraId="5DAE0B58" w14:textId="77777777" w:rsidTr="00014C83">
        <w:trPr>
          <w:trHeight w:val="290"/>
        </w:trPr>
        <w:tc>
          <w:tcPr>
            <w:tcW w:w="3534" w:type="dxa"/>
            <w:tcBorders>
              <w:top w:val="nil"/>
              <w:left w:val="single" w:sz="8" w:space="0" w:color="auto"/>
              <w:bottom w:val="nil"/>
              <w:right w:val="nil"/>
            </w:tcBorders>
            <w:shd w:val="clear" w:color="auto" w:fill="auto"/>
            <w:noWrap/>
            <w:vAlign w:val="center"/>
            <w:hideMark/>
          </w:tcPr>
          <w:p w14:paraId="2886B435" w14:textId="77777777"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Director of Communications &amp; Resources *</w:t>
            </w:r>
          </w:p>
        </w:tc>
        <w:tc>
          <w:tcPr>
            <w:tcW w:w="1140" w:type="dxa"/>
            <w:tcBorders>
              <w:top w:val="nil"/>
              <w:left w:val="nil"/>
              <w:bottom w:val="nil"/>
              <w:right w:val="nil"/>
            </w:tcBorders>
            <w:shd w:val="clear" w:color="auto" w:fill="auto"/>
            <w:noWrap/>
            <w:vAlign w:val="center"/>
            <w:hideMark/>
          </w:tcPr>
          <w:p w14:paraId="52BC2E31"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26,524</w:t>
            </w:r>
          </w:p>
        </w:tc>
        <w:tc>
          <w:tcPr>
            <w:tcW w:w="1160" w:type="dxa"/>
            <w:tcBorders>
              <w:top w:val="nil"/>
              <w:left w:val="nil"/>
              <w:bottom w:val="nil"/>
              <w:right w:val="nil"/>
            </w:tcBorders>
            <w:shd w:val="clear" w:color="auto" w:fill="auto"/>
            <w:noWrap/>
            <w:vAlign w:val="center"/>
            <w:hideMark/>
          </w:tcPr>
          <w:p w14:paraId="1844FEF2"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0</w:t>
            </w:r>
          </w:p>
        </w:tc>
        <w:tc>
          <w:tcPr>
            <w:tcW w:w="1380" w:type="dxa"/>
            <w:tcBorders>
              <w:top w:val="nil"/>
              <w:left w:val="nil"/>
              <w:bottom w:val="nil"/>
              <w:right w:val="nil"/>
            </w:tcBorders>
            <w:shd w:val="clear" w:color="auto" w:fill="auto"/>
            <w:noWrap/>
            <w:vAlign w:val="center"/>
            <w:hideMark/>
          </w:tcPr>
          <w:p w14:paraId="29F54808"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0</w:t>
            </w:r>
          </w:p>
        </w:tc>
        <w:tc>
          <w:tcPr>
            <w:tcW w:w="1280" w:type="dxa"/>
            <w:tcBorders>
              <w:top w:val="nil"/>
              <w:left w:val="nil"/>
              <w:bottom w:val="nil"/>
              <w:right w:val="nil"/>
            </w:tcBorders>
            <w:shd w:val="clear" w:color="auto" w:fill="auto"/>
            <w:noWrap/>
            <w:vAlign w:val="center"/>
            <w:hideMark/>
          </w:tcPr>
          <w:p w14:paraId="41D924A3"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3,257</w:t>
            </w:r>
          </w:p>
        </w:tc>
        <w:tc>
          <w:tcPr>
            <w:tcW w:w="1160" w:type="dxa"/>
            <w:tcBorders>
              <w:top w:val="nil"/>
              <w:left w:val="nil"/>
              <w:bottom w:val="nil"/>
              <w:right w:val="single" w:sz="8" w:space="0" w:color="auto"/>
            </w:tcBorders>
            <w:shd w:val="clear" w:color="auto" w:fill="auto"/>
            <w:noWrap/>
            <w:vAlign w:val="center"/>
            <w:hideMark/>
          </w:tcPr>
          <w:p w14:paraId="425F50DD"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29,781</w:t>
            </w:r>
          </w:p>
        </w:tc>
      </w:tr>
      <w:tr w:rsidR="00014C83" w:rsidRPr="00014C83" w14:paraId="095AC3BA" w14:textId="77777777" w:rsidTr="00014C83">
        <w:trPr>
          <w:trHeight w:val="290"/>
        </w:trPr>
        <w:tc>
          <w:tcPr>
            <w:tcW w:w="3534" w:type="dxa"/>
            <w:tcBorders>
              <w:top w:val="nil"/>
              <w:left w:val="single" w:sz="8" w:space="0" w:color="auto"/>
              <w:bottom w:val="nil"/>
              <w:right w:val="nil"/>
            </w:tcBorders>
            <w:shd w:val="clear" w:color="auto" w:fill="auto"/>
            <w:noWrap/>
            <w:vAlign w:val="center"/>
            <w:hideMark/>
          </w:tcPr>
          <w:p w14:paraId="78F61FBC" w14:textId="77777777"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Director of Visitor Services and Resources **</w:t>
            </w:r>
          </w:p>
        </w:tc>
        <w:tc>
          <w:tcPr>
            <w:tcW w:w="1140" w:type="dxa"/>
            <w:tcBorders>
              <w:top w:val="nil"/>
              <w:left w:val="nil"/>
              <w:bottom w:val="nil"/>
              <w:right w:val="nil"/>
            </w:tcBorders>
            <w:shd w:val="clear" w:color="auto" w:fill="auto"/>
            <w:noWrap/>
            <w:vAlign w:val="center"/>
            <w:hideMark/>
          </w:tcPr>
          <w:p w14:paraId="152C574D"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54,455</w:t>
            </w:r>
          </w:p>
        </w:tc>
        <w:tc>
          <w:tcPr>
            <w:tcW w:w="1160" w:type="dxa"/>
            <w:tcBorders>
              <w:top w:val="nil"/>
              <w:left w:val="nil"/>
              <w:bottom w:val="nil"/>
              <w:right w:val="nil"/>
            </w:tcBorders>
            <w:shd w:val="clear" w:color="auto" w:fill="auto"/>
            <w:noWrap/>
            <w:vAlign w:val="center"/>
            <w:hideMark/>
          </w:tcPr>
          <w:p w14:paraId="611DDCF1"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0</w:t>
            </w:r>
          </w:p>
        </w:tc>
        <w:tc>
          <w:tcPr>
            <w:tcW w:w="1380" w:type="dxa"/>
            <w:tcBorders>
              <w:top w:val="nil"/>
              <w:left w:val="nil"/>
              <w:bottom w:val="nil"/>
              <w:right w:val="nil"/>
            </w:tcBorders>
            <w:shd w:val="clear" w:color="auto" w:fill="auto"/>
            <w:noWrap/>
            <w:vAlign w:val="center"/>
            <w:hideMark/>
          </w:tcPr>
          <w:p w14:paraId="51B1FDB0"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0</w:t>
            </w:r>
          </w:p>
        </w:tc>
        <w:tc>
          <w:tcPr>
            <w:tcW w:w="1280" w:type="dxa"/>
            <w:tcBorders>
              <w:top w:val="nil"/>
              <w:left w:val="nil"/>
              <w:bottom w:val="nil"/>
              <w:right w:val="nil"/>
            </w:tcBorders>
            <w:shd w:val="clear" w:color="auto" w:fill="auto"/>
            <w:noWrap/>
            <w:vAlign w:val="center"/>
            <w:hideMark/>
          </w:tcPr>
          <w:p w14:paraId="345E379C"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9,475</w:t>
            </w:r>
          </w:p>
        </w:tc>
        <w:tc>
          <w:tcPr>
            <w:tcW w:w="1160" w:type="dxa"/>
            <w:tcBorders>
              <w:top w:val="nil"/>
              <w:left w:val="nil"/>
              <w:bottom w:val="nil"/>
              <w:right w:val="single" w:sz="8" w:space="0" w:color="auto"/>
            </w:tcBorders>
            <w:shd w:val="clear" w:color="auto" w:fill="auto"/>
            <w:noWrap/>
            <w:vAlign w:val="center"/>
            <w:hideMark/>
          </w:tcPr>
          <w:p w14:paraId="1D881A04"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63,931</w:t>
            </w:r>
          </w:p>
        </w:tc>
      </w:tr>
      <w:tr w:rsidR="00014C83" w:rsidRPr="00014C83" w14:paraId="7ED95B60" w14:textId="77777777" w:rsidTr="00014C83">
        <w:trPr>
          <w:trHeight w:val="300"/>
        </w:trPr>
        <w:tc>
          <w:tcPr>
            <w:tcW w:w="3534" w:type="dxa"/>
            <w:tcBorders>
              <w:top w:val="nil"/>
              <w:left w:val="single" w:sz="8" w:space="0" w:color="auto"/>
              <w:bottom w:val="nil"/>
              <w:right w:val="nil"/>
            </w:tcBorders>
            <w:shd w:val="clear" w:color="auto" w:fill="auto"/>
            <w:noWrap/>
            <w:vAlign w:val="center"/>
            <w:hideMark/>
          </w:tcPr>
          <w:p w14:paraId="7A1379DA" w14:textId="77777777"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Head of Resources (S151 Officer) ***</w:t>
            </w:r>
          </w:p>
        </w:tc>
        <w:tc>
          <w:tcPr>
            <w:tcW w:w="1140" w:type="dxa"/>
            <w:tcBorders>
              <w:top w:val="nil"/>
              <w:left w:val="nil"/>
              <w:bottom w:val="nil"/>
              <w:right w:val="nil"/>
            </w:tcBorders>
            <w:shd w:val="clear" w:color="auto" w:fill="auto"/>
            <w:noWrap/>
            <w:vAlign w:val="center"/>
            <w:hideMark/>
          </w:tcPr>
          <w:p w14:paraId="5836A4BE"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31,693</w:t>
            </w:r>
          </w:p>
        </w:tc>
        <w:tc>
          <w:tcPr>
            <w:tcW w:w="1160" w:type="dxa"/>
            <w:tcBorders>
              <w:top w:val="nil"/>
              <w:left w:val="nil"/>
              <w:bottom w:val="nil"/>
              <w:right w:val="nil"/>
            </w:tcBorders>
            <w:shd w:val="clear" w:color="auto" w:fill="auto"/>
            <w:noWrap/>
            <w:vAlign w:val="center"/>
            <w:hideMark/>
          </w:tcPr>
          <w:p w14:paraId="435AF34D"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0</w:t>
            </w:r>
          </w:p>
        </w:tc>
        <w:tc>
          <w:tcPr>
            <w:tcW w:w="1380" w:type="dxa"/>
            <w:tcBorders>
              <w:top w:val="nil"/>
              <w:left w:val="nil"/>
              <w:bottom w:val="nil"/>
              <w:right w:val="nil"/>
            </w:tcBorders>
            <w:shd w:val="clear" w:color="auto" w:fill="auto"/>
            <w:noWrap/>
            <w:vAlign w:val="center"/>
            <w:hideMark/>
          </w:tcPr>
          <w:p w14:paraId="1334A87E"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0</w:t>
            </w:r>
          </w:p>
        </w:tc>
        <w:tc>
          <w:tcPr>
            <w:tcW w:w="1280" w:type="dxa"/>
            <w:tcBorders>
              <w:top w:val="nil"/>
              <w:left w:val="nil"/>
              <w:bottom w:val="nil"/>
              <w:right w:val="nil"/>
            </w:tcBorders>
            <w:shd w:val="clear" w:color="auto" w:fill="auto"/>
            <w:noWrap/>
            <w:vAlign w:val="center"/>
            <w:hideMark/>
          </w:tcPr>
          <w:p w14:paraId="6630A33E"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5,514</w:t>
            </w:r>
          </w:p>
        </w:tc>
        <w:tc>
          <w:tcPr>
            <w:tcW w:w="1160" w:type="dxa"/>
            <w:tcBorders>
              <w:top w:val="nil"/>
              <w:left w:val="nil"/>
              <w:bottom w:val="nil"/>
              <w:right w:val="single" w:sz="8" w:space="0" w:color="auto"/>
            </w:tcBorders>
            <w:shd w:val="clear" w:color="auto" w:fill="auto"/>
            <w:noWrap/>
            <w:vAlign w:val="center"/>
            <w:hideMark/>
          </w:tcPr>
          <w:p w14:paraId="72F36793"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37,207</w:t>
            </w:r>
          </w:p>
        </w:tc>
      </w:tr>
      <w:tr w:rsidR="00014C83" w:rsidRPr="00014C83" w14:paraId="65112D97" w14:textId="77777777" w:rsidTr="00014C83">
        <w:trPr>
          <w:trHeight w:val="300"/>
        </w:trPr>
        <w:tc>
          <w:tcPr>
            <w:tcW w:w="3534" w:type="dxa"/>
            <w:tcBorders>
              <w:top w:val="nil"/>
              <w:left w:val="single" w:sz="8" w:space="0" w:color="auto"/>
              <w:bottom w:val="nil"/>
              <w:right w:val="nil"/>
            </w:tcBorders>
            <w:shd w:val="clear" w:color="auto" w:fill="auto"/>
            <w:noWrap/>
            <w:vAlign w:val="center"/>
            <w:hideMark/>
          </w:tcPr>
          <w:p w14:paraId="73935E25" w14:textId="77777777"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 </w:t>
            </w:r>
          </w:p>
        </w:tc>
        <w:tc>
          <w:tcPr>
            <w:tcW w:w="1140" w:type="dxa"/>
            <w:tcBorders>
              <w:top w:val="single" w:sz="8" w:space="0" w:color="auto"/>
              <w:left w:val="nil"/>
              <w:bottom w:val="double" w:sz="6" w:space="0" w:color="auto"/>
              <w:right w:val="nil"/>
            </w:tcBorders>
            <w:shd w:val="clear" w:color="auto" w:fill="auto"/>
            <w:noWrap/>
            <w:vAlign w:val="center"/>
            <w:hideMark/>
          </w:tcPr>
          <w:p w14:paraId="778F9D69"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291,804</w:t>
            </w:r>
          </w:p>
        </w:tc>
        <w:tc>
          <w:tcPr>
            <w:tcW w:w="1160" w:type="dxa"/>
            <w:tcBorders>
              <w:top w:val="single" w:sz="8" w:space="0" w:color="auto"/>
              <w:left w:val="nil"/>
              <w:bottom w:val="double" w:sz="6" w:space="0" w:color="auto"/>
              <w:right w:val="nil"/>
            </w:tcBorders>
            <w:shd w:val="clear" w:color="auto" w:fill="auto"/>
            <w:noWrap/>
            <w:vAlign w:val="center"/>
            <w:hideMark/>
          </w:tcPr>
          <w:p w14:paraId="5B96BB9B"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0</w:t>
            </w:r>
          </w:p>
        </w:tc>
        <w:tc>
          <w:tcPr>
            <w:tcW w:w="1380" w:type="dxa"/>
            <w:tcBorders>
              <w:top w:val="single" w:sz="8" w:space="0" w:color="auto"/>
              <w:left w:val="nil"/>
              <w:bottom w:val="double" w:sz="6" w:space="0" w:color="auto"/>
              <w:right w:val="nil"/>
            </w:tcBorders>
            <w:shd w:val="clear" w:color="auto" w:fill="auto"/>
            <w:noWrap/>
            <w:vAlign w:val="center"/>
            <w:hideMark/>
          </w:tcPr>
          <w:p w14:paraId="40A809E4"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0</w:t>
            </w:r>
          </w:p>
        </w:tc>
        <w:tc>
          <w:tcPr>
            <w:tcW w:w="1280" w:type="dxa"/>
            <w:tcBorders>
              <w:top w:val="single" w:sz="8" w:space="0" w:color="auto"/>
              <w:left w:val="nil"/>
              <w:bottom w:val="double" w:sz="6" w:space="0" w:color="auto"/>
              <w:right w:val="nil"/>
            </w:tcBorders>
            <w:shd w:val="clear" w:color="auto" w:fill="auto"/>
            <w:noWrap/>
            <w:vAlign w:val="center"/>
            <w:hideMark/>
          </w:tcPr>
          <w:p w14:paraId="09904ED7"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49,372</w:t>
            </w:r>
          </w:p>
        </w:tc>
        <w:tc>
          <w:tcPr>
            <w:tcW w:w="1160" w:type="dxa"/>
            <w:tcBorders>
              <w:top w:val="single" w:sz="8" w:space="0" w:color="auto"/>
              <w:left w:val="nil"/>
              <w:bottom w:val="double" w:sz="6" w:space="0" w:color="auto"/>
              <w:right w:val="single" w:sz="8" w:space="0" w:color="auto"/>
            </w:tcBorders>
            <w:shd w:val="clear" w:color="auto" w:fill="auto"/>
            <w:noWrap/>
            <w:vAlign w:val="center"/>
            <w:hideMark/>
          </w:tcPr>
          <w:p w14:paraId="002D4DE0" w14:textId="77777777" w:rsidR="00014C83" w:rsidRPr="00014C83" w:rsidRDefault="00014C83" w:rsidP="00014C83">
            <w:pPr>
              <w:jc w:val="right"/>
              <w:rPr>
                <w:rFonts w:cs="Arial"/>
                <w:color w:val="000000"/>
                <w:sz w:val="16"/>
                <w:szCs w:val="16"/>
                <w:lang w:eastAsia="en-GB"/>
              </w:rPr>
            </w:pPr>
            <w:r w:rsidRPr="00014C83">
              <w:rPr>
                <w:rFonts w:cs="Arial"/>
                <w:color w:val="000000"/>
                <w:sz w:val="16"/>
                <w:szCs w:val="16"/>
                <w:lang w:eastAsia="en-GB"/>
              </w:rPr>
              <w:t>341,176</w:t>
            </w:r>
          </w:p>
        </w:tc>
      </w:tr>
      <w:tr w:rsidR="00014C83" w:rsidRPr="00014C83" w14:paraId="79D92002" w14:textId="77777777" w:rsidTr="00014C83">
        <w:trPr>
          <w:trHeight w:val="310"/>
        </w:trPr>
        <w:tc>
          <w:tcPr>
            <w:tcW w:w="3534" w:type="dxa"/>
            <w:tcBorders>
              <w:top w:val="nil"/>
              <w:left w:val="single" w:sz="8" w:space="0" w:color="auto"/>
              <w:bottom w:val="single" w:sz="8" w:space="0" w:color="auto"/>
              <w:right w:val="nil"/>
            </w:tcBorders>
            <w:shd w:val="clear" w:color="auto" w:fill="auto"/>
            <w:noWrap/>
            <w:vAlign w:val="center"/>
            <w:hideMark/>
          </w:tcPr>
          <w:p w14:paraId="5F0EE1EE" w14:textId="77777777"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 </w:t>
            </w:r>
          </w:p>
        </w:tc>
        <w:tc>
          <w:tcPr>
            <w:tcW w:w="1140" w:type="dxa"/>
            <w:tcBorders>
              <w:top w:val="nil"/>
              <w:left w:val="nil"/>
              <w:bottom w:val="single" w:sz="8" w:space="0" w:color="auto"/>
              <w:right w:val="nil"/>
            </w:tcBorders>
            <w:shd w:val="clear" w:color="auto" w:fill="auto"/>
            <w:noWrap/>
            <w:vAlign w:val="center"/>
            <w:hideMark/>
          </w:tcPr>
          <w:p w14:paraId="58FE5B26" w14:textId="77777777"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 </w:t>
            </w:r>
          </w:p>
        </w:tc>
        <w:tc>
          <w:tcPr>
            <w:tcW w:w="1160" w:type="dxa"/>
            <w:tcBorders>
              <w:top w:val="nil"/>
              <w:left w:val="nil"/>
              <w:bottom w:val="single" w:sz="8" w:space="0" w:color="auto"/>
              <w:right w:val="nil"/>
            </w:tcBorders>
            <w:shd w:val="clear" w:color="auto" w:fill="auto"/>
            <w:noWrap/>
            <w:vAlign w:val="center"/>
            <w:hideMark/>
          </w:tcPr>
          <w:p w14:paraId="30FBAC07" w14:textId="77777777"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 </w:t>
            </w:r>
          </w:p>
        </w:tc>
        <w:tc>
          <w:tcPr>
            <w:tcW w:w="1380" w:type="dxa"/>
            <w:tcBorders>
              <w:top w:val="nil"/>
              <w:left w:val="nil"/>
              <w:bottom w:val="single" w:sz="8" w:space="0" w:color="auto"/>
              <w:right w:val="nil"/>
            </w:tcBorders>
            <w:shd w:val="clear" w:color="auto" w:fill="auto"/>
            <w:noWrap/>
            <w:vAlign w:val="center"/>
            <w:hideMark/>
          </w:tcPr>
          <w:p w14:paraId="42035F9C" w14:textId="77777777"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 </w:t>
            </w:r>
          </w:p>
        </w:tc>
        <w:tc>
          <w:tcPr>
            <w:tcW w:w="1280" w:type="dxa"/>
            <w:tcBorders>
              <w:top w:val="nil"/>
              <w:left w:val="nil"/>
              <w:bottom w:val="single" w:sz="8" w:space="0" w:color="auto"/>
              <w:right w:val="nil"/>
            </w:tcBorders>
            <w:shd w:val="clear" w:color="auto" w:fill="auto"/>
            <w:noWrap/>
            <w:vAlign w:val="center"/>
            <w:hideMark/>
          </w:tcPr>
          <w:p w14:paraId="1677C010" w14:textId="77777777"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 </w:t>
            </w:r>
          </w:p>
        </w:tc>
        <w:tc>
          <w:tcPr>
            <w:tcW w:w="1160" w:type="dxa"/>
            <w:tcBorders>
              <w:top w:val="nil"/>
              <w:left w:val="nil"/>
              <w:bottom w:val="single" w:sz="8" w:space="0" w:color="auto"/>
              <w:right w:val="single" w:sz="8" w:space="0" w:color="auto"/>
            </w:tcBorders>
            <w:shd w:val="clear" w:color="auto" w:fill="auto"/>
            <w:noWrap/>
            <w:vAlign w:val="center"/>
            <w:hideMark/>
          </w:tcPr>
          <w:p w14:paraId="0B0FD7DE" w14:textId="77777777" w:rsidR="00014C83" w:rsidRPr="00014C83" w:rsidRDefault="00014C83" w:rsidP="00014C83">
            <w:pPr>
              <w:rPr>
                <w:rFonts w:cs="Arial"/>
                <w:color w:val="000000"/>
                <w:sz w:val="16"/>
                <w:szCs w:val="16"/>
                <w:lang w:eastAsia="en-GB"/>
              </w:rPr>
            </w:pPr>
            <w:r w:rsidRPr="00014C83">
              <w:rPr>
                <w:rFonts w:cs="Arial"/>
                <w:color w:val="000000"/>
                <w:sz w:val="16"/>
                <w:szCs w:val="16"/>
                <w:lang w:eastAsia="en-GB"/>
              </w:rPr>
              <w:t> </w:t>
            </w:r>
          </w:p>
        </w:tc>
      </w:tr>
    </w:tbl>
    <w:p w14:paraId="7EE32C43" w14:textId="77777777" w:rsidR="00014C83" w:rsidRDefault="00014C83" w:rsidP="0070459C">
      <w:pPr>
        <w:pStyle w:val="BlockText"/>
        <w:tabs>
          <w:tab w:val="clear" w:pos="1843"/>
          <w:tab w:val="left" w:pos="567"/>
        </w:tabs>
        <w:ind w:left="0" w:right="0"/>
        <w:rPr>
          <w:bCs/>
          <w:sz w:val="23"/>
          <w:szCs w:val="23"/>
        </w:rPr>
      </w:pPr>
    </w:p>
    <w:p w14:paraId="57391656" w14:textId="2979DDB1" w:rsidR="001377F8" w:rsidRPr="00DF7226" w:rsidRDefault="001377F8" w:rsidP="0070459C">
      <w:pPr>
        <w:pStyle w:val="BlockText"/>
        <w:tabs>
          <w:tab w:val="clear" w:pos="1843"/>
          <w:tab w:val="left" w:pos="567"/>
        </w:tabs>
        <w:ind w:left="0" w:right="0"/>
        <w:rPr>
          <w:rFonts w:cs="Arial"/>
          <w:color w:val="000000"/>
          <w:sz w:val="16"/>
          <w:szCs w:val="16"/>
        </w:rPr>
      </w:pPr>
      <w:r>
        <w:rPr>
          <w:rFonts w:cs="Arial"/>
          <w:color w:val="000000"/>
          <w:sz w:val="16"/>
          <w:szCs w:val="16"/>
        </w:rPr>
        <w:t>*</w:t>
      </w:r>
      <w:r w:rsidRPr="001377F8">
        <w:rPr>
          <w:rFonts w:cs="Arial"/>
          <w:color w:val="000000"/>
          <w:sz w:val="16"/>
          <w:szCs w:val="16"/>
        </w:rPr>
        <w:t xml:space="preserve">(S151 Officer to </w:t>
      </w:r>
      <w:r w:rsidR="000820C9">
        <w:rPr>
          <w:rFonts w:cs="Arial"/>
          <w:color w:val="000000"/>
          <w:sz w:val="16"/>
          <w:szCs w:val="16"/>
        </w:rPr>
        <w:t xml:space="preserve">30 </w:t>
      </w:r>
      <w:r w:rsidRPr="001377F8">
        <w:rPr>
          <w:rFonts w:cs="Arial"/>
          <w:color w:val="000000"/>
          <w:sz w:val="16"/>
          <w:szCs w:val="16"/>
        </w:rPr>
        <w:t>June 2022)</w:t>
      </w:r>
      <w:r w:rsidR="00DF7226">
        <w:rPr>
          <w:rFonts w:cs="Arial"/>
          <w:color w:val="000000"/>
          <w:sz w:val="16"/>
          <w:szCs w:val="16"/>
        </w:rPr>
        <w:t xml:space="preserve">  </w:t>
      </w:r>
      <w:r>
        <w:rPr>
          <w:rFonts w:cs="Arial"/>
          <w:color w:val="000000"/>
          <w:sz w:val="16"/>
          <w:szCs w:val="16"/>
        </w:rPr>
        <w:t>**</w:t>
      </w:r>
      <w:r w:rsidRPr="001377F8">
        <w:rPr>
          <w:rFonts w:cs="Arial"/>
          <w:color w:val="000000"/>
          <w:sz w:val="16"/>
          <w:szCs w:val="16"/>
        </w:rPr>
        <w:t>(new post from 1 July 2022)</w:t>
      </w:r>
      <w:r w:rsidR="00DF7226">
        <w:rPr>
          <w:rFonts w:cs="Arial"/>
          <w:color w:val="000000"/>
          <w:sz w:val="16"/>
          <w:szCs w:val="16"/>
        </w:rPr>
        <w:t xml:space="preserve">  </w:t>
      </w:r>
      <w:r>
        <w:rPr>
          <w:rFonts w:cs="Arial"/>
          <w:color w:val="000000"/>
          <w:sz w:val="16"/>
          <w:szCs w:val="16"/>
        </w:rPr>
        <w:t>***</w:t>
      </w:r>
      <w:r w:rsidRPr="001377F8">
        <w:rPr>
          <w:rFonts w:cs="Arial"/>
          <w:color w:val="000000"/>
          <w:sz w:val="16"/>
          <w:szCs w:val="16"/>
        </w:rPr>
        <w:t>(S151 Officer from 3 October 2022)</w:t>
      </w:r>
    </w:p>
    <w:p w14:paraId="485A464E" w14:textId="77777777" w:rsidR="0052081A" w:rsidRPr="004D5CA8" w:rsidRDefault="0052081A" w:rsidP="0070459C">
      <w:pPr>
        <w:pStyle w:val="BlockText"/>
        <w:tabs>
          <w:tab w:val="clear" w:pos="1843"/>
          <w:tab w:val="left" w:pos="709"/>
        </w:tabs>
        <w:ind w:left="0" w:right="0"/>
        <w:rPr>
          <w:sz w:val="23"/>
          <w:szCs w:val="23"/>
          <w:highlight w:val="yellow"/>
        </w:rPr>
      </w:pPr>
    </w:p>
    <w:p w14:paraId="485A4651" w14:textId="77777777" w:rsidR="00CC7E49" w:rsidRPr="00FA4708" w:rsidRDefault="00CC7E49" w:rsidP="0070459C">
      <w:pPr>
        <w:pStyle w:val="BlockText"/>
        <w:tabs>
          <w:tab w:val="clear" w:pos="1843"/>
          <w:tab w:val="left" w:pos="709"/>
        </w:tabs>
        <w:ind w:left="0" w:right="0"/>
        <w:rPr>
          <w:sz w:val="23"/>
          <w:szCs w:val="23"/>
        </w:rPr>
      </w:pPr>
      <w:bookmarkStart w:id="171" w:name="_MON_1557833814"/>
      <w:bookmarkEnd w:id="171"/>
      <w:r w:rsidRPr="00FA4708">
        <w:rPr>
          <w:sz w:val="23"/>
          <w:szCs w:val="23"/>
        </w:rPr>
        <w:t xml:space="preserve">The Accounts and Audit Regulations 2015 </w:t>
      </w:r>
      <w:r w:rsidR="003A2C62" w:rsidRPr="00FA4708">
        <w:rPr>
          <w:sz w:val="23"/>
          <w:szCs w:val="23"/>
        </w:rPr>
        <w:t xml:space="preserve">also </w:t>
      </w:r>
      <w:r w:rsidRPr="00FA4708">
        <w:rPr>
          <w:sz w:val="23"/>
          <w:szCs w:val="23"/>
        </w:rPr>
        <w:t xml:space="preserve">require that local authorities disclose details of the number of other employees whose remuneration, excluding pension contributions, exceeds £50,000 in bands of £5,000. </w:t>
      </w:r>
    </w:p>
    <w:p w14:paraId="057FBF85" w14:textId="77777777" w:rsidR="00FA4708" w:rsidRDefault="00FA4708" w:rsidP="0070459C">
      <w:pPr>
        <w:pStyle w:val="BlockText"/>
        <w:tabs>
          <w:tab w:val="clear" w:pos="1843"/>
          <w:tab w:val="left" w:pos="709"/>
        </w:tabs>
        <w:ind w:left="0" w:right="0"/>
        <w:rPr>
          <w:sz w:val="23"/>
          <w:szCs w:val="23"/>
          <w:highlight w:val="yellow"/>
        </w:rPr>
      </w:pPr>
    </w:p>
    <w:tbl>
      <w:tblPr>
        <w:tblW w:w="4980" w:type="dxa"/>
        <w:jc w:val="center"/>
        <w:tblLook w:val="04A0" w:firstRow="1" w:lastRow="0" w:firstColumn="1" w:lastColumn="0" w:noHBand="0" w:noVBand="1"/>
      </w:tblPr>
      <w:tblGrid>
        <w:gridCol w:w="1220"/>
        <w:gridCol w:w="2480"/>
        <w:gridCol w:w="1280"/>
      </w:tblGrid>
      <w:tr w:rsidR="00A137F4" w:rsidRPr="00A137F4" w14:paraId="1A6A1A60" w14:textId="77777777" w:rsidTr="00DF7226">
        <w:trPr>
          <w:trHeight w:val="690"/>
          <w:jc w:val="center"/>
        </w:trPr>
        <w:tc>
          <w:tcPr>
            <w:tcW w:w="1220" w:type="dxa"/>
            <w:tcBorders>
              <w:top w:val="single" w:sz="18" w:space="0" w:color="auto"/>
              <w:left w:val="single" w:sz="18" w:space="0" w:color="auto"/>
              <w:bottom w:val="nil"/>
              <w:right w:val="single" w:sz="8" w:space="0" w:color="auto"/>
            </w:tcBorders>
            <w:shd w:val="clear" w:color="000000" w:fill="000000"/>
            <w:vAlign w:val="center"/>
            <w:hideMark/>
          </w:tcPr>
          <w:p w14:paraId="426B65E3" w14:textId="77777777" w:rsidR="00A137F4" w:rsidRPr="00A137F4" w:rsidRDefault="00A137F4" w:rsidP="00A137F4">
            <w:pPr>
              <w:jc w:val="center"/>
              <w:rPr>
                <w:rFonts w:cs="Arial"/>
                <w:color w:val="FFFFFF"/>
                <w:sz w:val="18"/>
                <w:szCs w:val="18"/>
                <w:lang w:eastAsia="en-GB"/>
              </w:rPr>
            </w:pPr>
            <w:r w:rsidRPr="00A137F4">
              <w:rPr>
                <w:rFonts w:cs="Arial"/>
                <w:color w:val="FFFFFF"/>
                <w:sz w:val="18"/>
                <w:szCs w:val="18"/>
                <w:lang w:eastAsia="en-GB"/>
              </w:rPr>
              <w:t>No of Employees</w:t>
            </w:r>
          </w:p>
        </w:tc>
        <w:tc>
          <w:tcPr>
            <w:tcW w:w="2480" w:type="dxa"/>
            <w:tcBorders>
              <w:top w:val="single" w:sz="18" w:space="0" w:color="auto"/>
              <w:left w:val="nil"/>
              <w:bottom w:val="nil"/>
              <w:right w:val="nil"/>
            </w:tcBorders>
            <w:shd w:val="clear" w:color="000000" w:fill="000000"/>
            <w:vAlign w:val="center"/>
            <w:hideMark/>
          </w:tcPr>
          <w:p w14:paraId="2D307DFF" w14:textId="77777777" w:rsidR="00A137F4" w:rsidRPr="00A137F4" w:rsidRDefault="00A137F4" w:rsidP="00A137F4">
            <w:pPr>
              <w:jc w:val="center"/>
              <w:rPr>
                <w:rFonts w:cs="Arial"/>
                <w:color w:val="FFFFFF"/>
                <w:sz w:val="18"/>
                <w:szCs w:val="18"/>
                <w:lang w:eastAsia="en-GB"/>
              </w:rPr>
            </w:pPr>
            <w:r w:rsidRPr="00A137F4">
              <w:rPr>
                <w:rFonts w:cs="Arial"/>
                <w:color w:val="FFFFFF"/>
                <w:sz w:val="18"/>
                <w:szCs w:val="18"/>
                <w:lang w:eastAsia="en-GB"/>
              </w:rPr>
              <w:t>Remuneration Band</w:t>
            </w:r>
          </w:p>
        </w:tc>
        <w:tc>
          <w:tcPr>
            <w:tcW w:w="1280" w:type="dxa"/>
            <w:tcBorders>
              <w:top w:val="single" w:sz="18" w:space="0" w:color="auto"/>
              <w:left w:val="single" w:sz="8" w:space="0" w:color="auto"/>
              <w:bottom w:val="nil"/>
              <w:right w:val="single" w:sz="18" w:space="0" w:color="auto"/>
            </w:tcBorders>
            <w:shd w:val="clear" w:color="000000" w:fill="000000"/>
            <w:vAlign w:val="center"/>
            <w:hideMark/>
          </w:tcPr>
          <w:p w14:paraId="385E72E2" w14:textId="77777777" w:rsidR="00A137F4" w:rsidRPr="00A137F4" w:rsidRDefault="00A137F4" w:rsidP="00A137F4">
            <w:pPr>
              <w:jc w:val="center"/>
              <w:rPr>
                <w:rFonts w:cs="Arial"/>
                <w:color w:val="FFFFFF"/>
                <w:sz w:val="18"/>
                <w:szCs w:val="18"/>
                <w:lang w:eastAsia="en-GB"/>
              </w:rPr>
            </w:pPr>
            <w:r w:rsidRPr="00A137F4">
              <w:rPr>
                <w:rFonts w:cs="Arial"/>
                <w:color w:val="FFFFFF"/>
                <w:sz w:val="18"/>
                <w:szCs w:val="18"/>
                <w:lang w:eastAsia="en-GB"/>
              </w:rPr>
              <w:t>No of Employees</w:t>
            </w:r>
          </w:p>
        </w:tc>
      </w:tr>
      <w:tr w:rsidR="00A137F4" w:rsidRPr="00A137F4" w14:paraId="15CD0343" w14:textId="77777777" w:rsidTr="00DF7226">
        <w:trPr>
          <w:trHeight w:val="300"/>
          <w:jc w:val="center"/>
        </w:trPr>
        <w:tc>
          <w:tcPr>
            <w:tcW w:w="1220" w:type="dxa"/>
            <w:tcBorders>
              <w:top w:val="nil"/>
              <w:left w:val="single" w:sz="18" w:space="0" w:color="auto"/>
              <w:bottom w:val="single" w:sz="8" w:space="0" w:color="auto"/>
              <w:right w:val="single" w:sz="8" w:space="0" w:color="auto"/>
            </w:tcBorders>
            <w:shd w:val="clear" w:color="000000" w:fill="000000"/>
            <w:noWrap/>
            <w:vAlign w:val="center"/>
            <w:hideMark/>
          </w:tcPr>
          <w:p w14:paraId="73829948" w14:textId="77777777" w:rsidR="00A137F4" w:rsidRPr="00A137F4" w:rsidRDefault="00A137F4" w:rsidP="00A137F4">
            <w:pPr>
              <w:jc w:val="center"/>
              <w:rPr>
                <w:rFonts w:cs="Arial"/>
                <w:color w:val="FFFFFF"/>
                <w:sz w:val="18"/>
                <w:szCs w:val="18"/>
                <w:lang w:eastAsia="en-GB"/>
              </w:rPr>
            </w:pPr>
            <w:r w:rsidRPr="00A137F4">
              <w:rPr>
                <w:rFonts w:cs="Arial"/>
                <w:color w:val="FFFFFF"/>
                <w:sz w:val="18"/>
                <w:szCs w:val="18"/>
                <w:lang w:eastAsia="en-GB"/>
              </w:rPr>
              <w:t>2022/23</w:t>
            </w:r>
          </w:p>
        </w:tc>
        <w:tc>
          <w:tcPr>
            <w:tcW w:w="2480" w:type="dxa"/>
            <w:tcBorders>
              <w:top w:val="nil"/>
              <w:left w:val="nil"/>
              <w:bottom w:val="single" w:sz="8" w:space="0" w:color="auto"/>
              <w:right w:val="nil"/>
            </w:tcBorders>
            <w:shd w:val="clear" w:color="000000" w:fill="000000"/>
            <w:noWrap/>
            <w:vAlign w:val="center"/>
            <w:hideMark/>
          </w:tcPr>
          <w:p w14:paraId="743F5923" w14:textId="77777777" w:rsidR="00A137F4" w:rsidRPr="00A137F4" w:rsidRDefault="00A137F4" w:rsidP="00A137F4">
            <w:pPr>
              <w:jc w:val="center"/>
              <w:rPr>
                <w:rFonts w:cs="Arial"/>
                <w:color w:val="FFFFFF"/>
                <w:sz w:val="18"/>
                <w:szCs w:val="18"/>
                <w:lang w:eastAsia="en-GB"/>
              </w:rPr>
            </w:pPr>
            <w:r w:rsidRPr="00A137F4">
              <w:rPr>
                <w:rFonts w:cs="Arial"/>
                <w:color w:val="FFFFFF"/>
                <w:sz w:val="18"/>
                <w:szCs w:val="18"/>
                <w:lang w:eastAsia="en-GB"/>
              </w:rPr>
              <w:t> </w:t>
            </w:r>
          </w:p>
        </w:tc>
        <w:tc>
          <w:tcPr>
            <w:tcW w:w="1280" w:type="dxa"/>
            <w:tcBorders>
              <w:top w:val="nil"/>
              <w:left w:val="single" w:sz="8" w:space="0" w:color="auto"/>
              <w:bottom w:val="single" w:sz="8" w:space="0" w:color="auto"/>
              <w:right w:val="single" w:sz="18" w:space="0" w:color="auto"/>
            </w:tcBorders>
            <w:shd w:val="clear" w:color="000000" w:fill="000000"/>
            <w:noWrap/>
            <w:vAlign w:val="center"/>
            <w:hideMark/>
          </w:tcPr>
          <w:p w14:paraId="3D4B88D4" w14:textId="77777777" w:rsidR="00A137F4" w:rsidRPr="00A137F4" w:rsidRDefault="00A137F4" w:rsidP="00A137F4">
            <w:pPr>
              <w:jc w:val="center"/>
              <w:rPr>
                <w:rFonts w:cs="Arial"/>
                <w:color w:val="FFFFFF"/>
                <w:sz w:val="18"/>
                <w:szCs w:val="18"/>
                <w:lang w:eastAsia="en-GB"/>
              </w:rPr>
            </w:pPr>
            <w:r w:rsidRPr="00A137F4">
              <w:rPr>
                <w:rFonts w:cs="Arial"/>
                <w:color w:val="FFFFFF"/>
                <w:sz w:val="18"/>
                <w:szCs w:val="18"/>
                <w:lang w:eastAsia="en-GB"/>
              </w:rPr>
              <w:t>2023/24</w:t>
            </w:r>
          </w:p>
        </w:tc>
      </w:tr>
      <w:tr w:rsidR="00A137F4" w:rsidRPr="00A137F4" w14:paraId="01EF734C" w14:textId="77777777" w:rsidTr="00DF7226">
        <w:trPr>
          <w:trHeight w:val="290"/>
          <w:jc w:val="center"/>
        </w:trPr>
        <w:tc>
          <w:tcPr>
            <w:tcW w:w="1220" w:type="dxa"/>
            <w:tcBorders>
              <w:top w:val="nil"/>
              <w:left w:val="single" w:sz="18" w:space="0" w:color="auto"/>
              <w:bottom w:val="nil"/>
              <w:right w:val="single" w:sz="8" w:space="0" w:color="auto"/>
            </w:tcBorders>
            <w:shd w:val="clear" w:color="auto" w:fill="auto"/>
            <w:noWrap/>
            <w:vAlign w:val="center"/>
            <w:hideMark/>
          </w:tcPr>
          <w:p w14:paraId="07206F27" w14:textId="77777777" w:rsidR="00A137F4" w:rsidRPr="00A137F4" w:rsidRDefault="00A137F4" w:rsidP="00A137F4">
            <w:pPr>
              <w:jc w:val="center"/>
              <w:rPr>
                <w:rFonts w:ascii="Calibri" w:hAnsi="Calibri" w:cs="Calibri"/>
                <w:color w:val="000000"/>
                <w:sz w:val="22"/>
                <w:szCs w:val="22"/>
                <w:lang w:eastAsia="en-GB"/>
              </w:rPr>
            </w:pPr>
            <w:r w:rsidRPr="00A137F4">
              <w:rPr>
                <w:rFonts w:ascii="Calibri" w:hAnsi="Calibri" w:cs="Calibri"/>
                <w:color w:val="000000"/>
                <w:sz w:val="22"/>
                <w:szCs w:val="22"/>
                <w:lang w:eastAsia="en-GB"/>
              </w:rPr>
              <w:t>3</w:t>
            </w:r>
          </w:p>
        </w:tc>
        <w:tc>
          <w:tcPr>
            <w:tcW w:w="2480" w:type="dxa"/>
            <w:tcBorders>
              <w:top w:val="nil"/>
              <w:left w:val="nil"/>
              <w:bottom w:val="nil"/>
              <w:right w:val="nil"/>
            </w:tcBorders>
            <w:shd w:val="clear" w:color="000000" w:fill="FFFFFF"/>
            <w:noWrap/>
            <w:vAlign w:val="center"/>
            <w:hideMark/>
          </w:tcPr>
          <w:p w14:paraId="0254CFAA" w14:textId="77777777" w:rsidR="00A137F4" w:rsidRPr="00A137F4" w:rsidRDefault="00A137F4" w:rsidP="00A137F4">
            <w:pPr>
              <w:jc w:val="center"/>
              <w:rPr>
                <w:rFonts w:cs="Arial"/>
                <w:color w:val="000000"/>
                <w:sz w:val="20"/>
                <w:szCs w:val="20"/>
                <w:lang w:eastAsia="en-GB"/>
              </w:rPr>
            </w:pPr>
            <w:r w:rsidRPr="00A137F4">
              <w:rPr>
                <w:rFonts w:cs="Arial"/>
                <w:color w:val="000000"/>
                <w:sz w:val="20"/>
                <w:szCs w:val="20"/>
                <w:lang w:eastAsia="en-GB"/>
              </w:rPr>
              <w:t>£50,000 - £54,999</w:t>
            </w:r>
          </w:p>
        </w:tc>
        <w:tc>
          <w:tcPr>
            <w:tcW w:w="1280" w:type="dxa"/>
            <w:tcBorders>
              <w:top w:val="nil"/>
              <w:left w:val="single" w:sz="8" w:space="0" w:color="auto"/>
              <w:bottom w:val="nil"/>
              <w:right w:val="single" w:sz="18" w:space="0" w:color="auto"/>
            </w:tcBorders>
            <w:shd w:val="clear" w:color="auto" w:fill="auto"/>
            <w:noWrap/>
            <w:vAlign w:val="center"/>
            <w:hideMark/>
          </w:tcPr>
          <w:p w14:paraId="0AAF4B7B" w14:textId="77777777" w:rsidR="00A137F4" w:rsidRPr="00A137F4" w:rsidRDefault="00A137F4" w:rsidP="00A137F4">
            <w:pPr>
              <w:jc w:val="center"/>
              <w:rPr>
                <w:rFonts w:ascii="Calibri" w:hAnsi="Calibri" w:cs="Calibri"/>
                <w:color w:val="000000"/>
                <w:sz w:val="22"/>
                <w:szCs w:val="22"/>
                <w:lang w:eastAsia="en-GB"/>
              </w:rPr>
            </w:pPr>
            <w:r w:rsidRPr="00A137F4">
              <w:rPr>
                <w:rFonts w:ascii="Calibri" w:hAnsi="Calibri" w:cs="Calibri"/>
                <w:color w:val="000000"/>
                <w:sz w:val="22"/>
                <w:szCs w:val="22"/>
                <w:lang w:eastAsia="en-GB"/>
              </w:rPr>
              <w:t>7</w:t>
            </w:r>
          </w:p>
        </w:tc>
      </w:tr>
      <w:tr w:rsidR="00A137F4" w:rsidRPr="00A137F4" w14:paraId="02132FFA" w14:textId="77777777" w:rsidTr="00DF7226">
        <w:trPr>
          <w:trHeight w:val="290"/>
          <w:jc w:val="center"/>
        </w:trPr>
        <w:tc>
          <w:tcPr>
            <w:tcW w:w="1220" w:type="dxa"/>
            <w:tcBorders>
              <w:top w:val="nil"/>
              <w:left w:val="single" w:sz="18" w:space="0" w:color="auto"/>
              <w:bottom w:val="nil"/>
              <w:right w:val="single" w:sz="8" w:space="0" w:color="auto"/>
            </w:tcBorders>
            <w:shd w:val="clear" w:color="auto" w:fill="auto"/>
            <w:noWrap/>
            <w:vAlign w:val="center"/>
            <w:hideMark/>
          </w:tcPr>
          <w:p w14:paraId="5A26EB43" w14:textId="77777777" w:rsidR="00A137F4" w:rsidRPr="00A137F4" w:rsidRDefault="00A137F4" w:rsidP="00A137F4">
            <w:pPr>
              <w:jc w:val="center"/>
              <w:rPr>
                <w:rFonts w:ascii="Calibri" w:hAnsi="Calibri" w:cs="Calibri"/>
                <w:color w:val="000000"/>
                <w:sz w:val="22"/>
                <w:szCs w:val="22"/>
                <w:lang w:eastAsia="en-GB"/>
              </w:rPr>
            </w:pPr>
            <w:r w:rsidRPr="00A137F4">
              <w:rPr>
                <w:rFonts w:ascii="Calibri" w:hAnsi="Calibri" w:cs="Calibri"/>
                <w:color w:val="000000"/>
                <w:sz w:val="22"/>
                <w:szCs w:val="22"/>
                <w:lang w:eastAsia="en-GB"/>
              </w:rPr>
              <w:t>3</w:t>
            </w:r>
          </w:p>
        </w:tc>
        <w:tc>
          <w:tcPr>
            <w:tcW w:w="2480" w:type="dxa"/>
            <w:tcBorders>
              <w:top w:val="nil"/>
              <w:left w:val="nil"/>
              <w:bottom w:val="nil"/>
              <w:right w:val="nil"/>
            </w:tcBorders>
            <w:shd w:val="clear" w:color="000000" w:fill="FFFFFF"/>
            <w:noWrap/>
            <w:vAlign w:val="center"/>
            <w:hideMark/>
          </w:tcPr>
          <w:p w14:paraId="221C50EC" w14:textId="77777777" w:rsidR="00A137F4" w:rsidRPr="00A137F4" w:rsidRDefault="00A137F4" w:rsidP="00A137F4">
            <w:pPr>
              <w:jc w:val="center"/>
              <w:rPr>
                <w:rFonts w:cs="Arial"/>
                <w:color w:val="000000"/>
                <w:sz w:val="20"/>
                <w:szCs w:val="20"/>
                <w:lang w:eastAsia="en-GB"/>
              </w:rPr>
            </w:pPr>
            <w:r w:rsidRPr="00A137F4">
              <w:rPr>
                <w:rFonts w:cs="Arial"/>
                <w:color w:val="000000"/>
                <w:sz w:val="20"/>
                <w:szCs w:val="20"/>
                <w:lang w:eastAsia="en-GB"/>
              </w:rPr>
              <w:t>£55,000 - £59,999</w:t>
            </w:r>
          </w:p>
        </w:tc>
        <w:tc>
          <w:tcPr>
            <w:tcW w:w="1280" w:type="dxa"/>
            <w:tcBorders>
              <w:top w:val="nil"/>
              <w:left w:val="single" w:sz="8" w:space="0" w:color="auto"/>
              <w:bottom w:val="nil"/>
              <w:right w:val="single" w:sz="18" w:space="0" w:color="auto"/>
            </w:tcBorders>
            <w:shd w:val="clear" w:color="auto" w:fill="auto"/>
            <w:noWrap/>
            <w:vAlign w:val="center"/>
            <w:hideMark/>
          </w:tcPr>
          <w:p w14:paraId="335940AE" w14:textId="77777777" w:rsidR="00A137F4" w:rsidRPr="00A137F4" w:rsidRDefault="00A137F4" w:rsidP="00A137F4">
            <w:pPr>
              <w:jc w:val="center"/>
              <w:rPr>
                <w:rFonts w:ascii="Calibri" w:hAnsi="Calibri" w:cs="Calibri"/>
                <w:color w:val="000000"/>
                <w:sz w:val="22"/>
                <w:szCs w:val="22"/>
                <w:lang w:eastAsia="en-GB"/>
              </w:rPr>
            </w:pPr>
            <w:r w:rsidRPr="00A137F4">
              <w:rPr>
                <w:rFonts w:ascii="Calibri" w:hAnsi="Calibri" w:cs="Calibri"/>
                <w:color w:val="000000"/>
                <w:sz w:val="22"/>
                <w:szCs w:val="22"/>
                <w:lang w:eastAsia="en-GB"/>
              </w:rPr>
              <w:t>2</w:t>
            </w:r>
          </w:p>
        </w:tc>
      </w:tr>
      <w:tr w:rsidR="00A137F4" w:rsidRPr="00A137F4" w14:paraId="6F2F98FF" w14:textId="77777777" w:rsidTr="00DF7226">
        <w:trPr>
          <w:trHeight w:val="290"/>
          <w:jc w:val="center"/>
        </w:trPr>
        <w:tc>
          <w:tcPr>
            <w:tcW w:w="1220" w:type="dxa"/>
            <w:tcBorders>
              <w:top w:val="nil"/>
              <w:left w:val="single" w:sz="18" w:space="0" w:color="auto"/>
              <w:bottom w:val="nil"/>
              <w:right w:val="single" w:sz="8" w:space="0" w:color="auto"/>
            </w:tcBorders>
            <w:shd w:val="clear" w:color="auto" w:fill="auto"/>
            <w:noWrap/>
            <w:vAlign w:val="center"/>
            <w:hideMark/>
          </w:tcPr>
          <w:p w14:paraId="3524385A" w14:textId="77777777" w:rsidR="00A137F4" w:rsidRPr="00A137F4" w:rsidRDefault="00A137F4" w:rsidP="00A137F4">
            <w:pPr>
              <w:jc w:val="center"/>
              <w:rPr>
                <w:rFonts w:ascii="Calibri" w:hAnsi="Calibri" w:cs="Calibri"/>
                <w:color w:val="000000"/>
                <w:sz w:val="22"/>
                <w:szCs w:val="22"/>
                <w:lang w:eastAsia="en-GB"/>
              </w:rPr>
            </w:pPr>
            <w:r w:rsidRPr="00A137F4">
              <w:rPr>
                <w:rFonts w:ascii="Calibri" w:hAnsi="Calibri" w:cs="Calibri"/>
                <w:color w:val="000000"/>
                <w:sz w:val="22"/>
                <w:szCs w:val="22"/>
                <w:lang w:eastAsia="en-GB"/>
              </w:rPr>
              <w:t>1</w:t>
            </w:r>
          </w:p>
        </w:tc>
        <w:tc>
          <w:tcPr>
            <w:tcW w:w="2480" w:type="dxa"/>
            <w:tcBorders>
              <w:top w:val="nil"/>
              <w:left w:val="nil"/>
              <w:bottom w:val="nil"/>
              <w:right w:val="nil"/>
            </w:tcBorders>
            <w:shd w:val="clear" w:color="000000" w:fill="FFFFFF"/>
            <w:noWrap/>
            <w:vAlign w:val="center"/>
            <w:hideMark/>
          </w:tcPr>
          <w:p w14:paraId="4992A6D2" w14:textId="77777777" w:rsidR="00A137F4" w:rsidRPr="00A137F4" w:rsidRDefault="00A137F4" w:rsidP="00A137F4">
            <w:pPr>
              <w:jc w:val="center"/>
              <w:rPr>
                <w:rFonts w:cs="Arial"/>
                <w:color w:val="000000"/>
                <w:sz w:val="20"/>
                <w:szCs w:val="20"/>
                <w:lang w:eastAsia="en-GB"/>
              </w:rPr>
            </w:pPr>
            <w:r w:rsidRPr="00A137F4">
              <w:rPr>
                <w:rFonts w:cs="Arial"/>
                <w:color w:val="000000"/>
                <w:sz w:val="20"/>
                <w:szCs w:val="20"/>
                <w:lang w:eastAsia="en-GB"/>
              </w:rPr>
              <w:t>£60,000 - £64,999</w:t>
            </w:r>
          </w:p>
        </w:tc>
        <w:tc>
          <w:tcPr>
            <w:tcW w:w="1280" w:type="dxa"/>
            <w:tcBorders>
              <w:top w:val="nil"/>
              <w:left w:val="single" w:sz="8" w:space="0" w:color="auto"/>
              <w:bottom w:val="nil"/>
              <w:right w:val="single" w:sz="18" w:space="0" w:color="auto"/>
            </w:tcBorders>
            <w:shd w:val="clear" w:color="auto" w:fill="auto"/>
            <w:noWrap/>
            <w:vAlign w:val="center"/>
            <w:hideMark/>
          </w:tcPr>
          <w:p w14:paraId="1A1693C4" w14:textId="77777777" w:rsidR="00A137F4" w:rsidRPr="00A137F4" w:rsidRDefault="00A137F4" w:rsidP="00A137F4">
            <w:pPr>
              <w:jc w:val="center"/>
              <w:rPr>
                <w:rFonts w:ascii="Calibri" w:hAnsi="Calibri" w:cs="Calibri"/>
                <w:color w:val="000000"/>
                <w:sz w:val="22"/>
                <w:szCs w:val="22"/>
                <w:lang w:eastAsia="en-GB"/>
              </w:rPr>
            </w:pPr>
            <w:r w:rsidRPr="00A137F4">
              <w:rPr>
                <w:rFonts w:ascii="Calibri" w:hAnsi="Calibri" w:cs="Calibri"/>
                <w:color w:val="000000"/>
                <w:sz w:val="22"/>
                <w:szCs w:val="22"/>
                <w:lang w:eastAsia="en-GB"/>
              </w:rPr>
              <w:t>1</w:t>
            </w:r>
          </w:p>
        </w:tc>
      </w:tr>
      <w:tr w:rsidR="00A137F4" w:rsidRPr="00A137F4" w14:paraId="2F6B5025" w14:textId="77777777" w:rsidTr="00DF7226">
        <w:trPr>
          <w:trHeight w:val="300"/>
          <w:jc w:val="center"/>
        </w:trPr>
        <w:tc>
          <w:tcPr>
            <w:tcW w:w="1220" w:type="dxa"/>
            <w:tcBorders>
              <w:top w:val="nil"/>
              <w:left w:val="single" w:sz="18" w:space="0" w:color="auto"/>
              <w:bottom w:val="single" w:sz="18" w:space="0" w:color="auto"/>
              <w:right w:val="single" w:sz="8" w:space="0" w:color="auto"/>
            </w:tcBorders>
            <w:shd w:val="clear" w:color="auto" w:fill="auto"/>
            <w:noWrap/>
            <w:vAlign w:val="center"/>
            <w:hideMark/>
          </w:tcPr>
          <w:p w14:paraId="100D63D4" w14:textId="77777777" w:rsidR="00A137F4" w:rsidRPr="00A137F4" w:rsidRDefault="00A137F4" w:rsidP="00A137F4">
            <w:pPr>
              <w:jc w:val="center"/>
              <w:rPr>
                <w:rFonts w:ascii="Calibri" w:hAnsi="Calibri" w:cs="Calibri"/>
                <w:color w:val="000000"/>
                <w:sz w:val="22"/>
                <w:szCs w:val="22"/>
                <w:lang w:eastAsia="en-GB"/>
              </w:rPr>
            </w:pPr>
            <w:r w:rsidRPr="00A137F4">
              <w:rPr>
                <w:rFonts w:ascii="Calibri" w:hAnsi="Calibri" w:cs="Calibri"/>
                <w:color w:val="000000"/>
                <w:sz w:val="22"/>
                <w:szCs w:val="22"/>
                <w:lang w:eastAsia="en-GB"/>
              </w:rPr>
              <w:t>1</w:t>
            </w:r>
          </w:p>
        </w:tc>
        <w:tc>
          <w:tcPr>
            <w:tcW w:w="2480" w:type="dxa"/>
            <w:tcBorders>
              <w:top w:val="nil"/>
              <w:left w:val="nil"/>
              <w:bottom w:val="single" w:sz="18" w:space="0" w:color="auto"/>
              <w:right w:val="nil"/>
            </w:tcBorders>
            <w:shd w:val="clear" w:color="000000" w:fill="FFFFFF"/>
            <w:noWrap/>
            <w:vAlign w:val="center"/>
            <w:hideMark/>
          </w:tcPr>
          <w:p w14:paraId="6CBB72C9" w14:textId="77777777" w:rsidR="00A137F4" w:rsidRPr="00A137F4" w:rsidRDefault="00A137F4" w:rsidP="00A137F4">
            <w:pPr>
              <w:jc w:val="center"/>
              <w:rPr>
                <w:rFonts w:cs="Arial"/>
                <w:color w:val="000000"/>
                <w:sz w:val="20"/>
                <w:szCs w:val="20"/>
                <w:lang w:eastAsia="en-GB"/>
              </w:rPr>
            </w:pPr>
            <w:r w:rsidRPr="00A137F4">
              <w:rPr>
                <w:rFonts w:cs="Arial"/>
                <w:color w:val="000000"/>
                <w:sz w:val="20"/>
                <w:szCs w:val="20"/>
                <w:lang w:eastAsia="en-GB"/>
              </w:rPr>
              <w:t>£65,000 - £69,999</w:t>
            </w:r>
          </w:p>
        </w:tc>
        <w:tc>
          <w:tcPr>
            <w:tcW w:w="1280" w:type="dxa"/>
            <w:tcBorders>
              <w:top w:val="nil"/>
              <w:left w:val="single" w:sz="8" w:space="0" w:color="auto"/>
              <w:bottom w:val="single" w:sz="18" w:space="0" w:color="auto"/>
              <w:right w:val="single" w:sz="18" w:space="0" w:color="auto"/>
            </w:tcBorders>
            <w:shd w:val="clear" w:color="auto" w:fill="auto"/>
            <w:noWrap/>
            <w:vAlign w:val="center"/>
            <w:hideMark/>
          </w:tcPr>
          <w:p w14:paraId="6E2F80C1" w14:textId="77777777" w:rsidR="00A137F4" w:rsidRPr="00A137F4" w:rsidRDefault="00A137F4" w:rsidP="00A137F4">
            <w:pPr>
              <w:jc w:val="center"/>
              <w:rPr>
                <w:rFonts w:ascii="Calibri" w:hAnsi="Calibri" w:cs="Calibri"/>
                <w:color w:val="000000"/>
                <w:sz w:val="22"/>
                <w:szCs w:val="22"/>
                <w:lang w:eastAsia="en-GB"/>
              </w:rPr>
            </w:pPr>
            <w:r w:rsidRPr="00A137F4">
              <w:rPr>
                <w:rFonts w:ascii="Calibri" w:hAnsi="Calibri" w:cs="Calibri"/>
                <w:color w:val="000000"/>
                <w:sz w:val="22"/>
                <w:szCs w:val="22"/>
                <w:lang w:eastAsia="en-GB"/>
              </w:rPr>
              <w:t>2</w:t>
            </w:r>
          </w:p>
        </w:tc>
      </w:tr>
    </w:tbl>
    <w:p w14:paraId="5931DBA6" w14:textId="77777777" w:rsidR="00AD0DAA" w:rsidRDefault="00AD0DAA" w:rsidP="0070459C">
      <w:pPr>
        <w:rPr>
          <w:lang w:eastAsia="en-GB"/>
        </w:rPr>
      </w:pPr>
      <w:bookmarkStart w:id="172" w:name="_MON_1429554262"/>
      <w:bookmarkStart w:id="173" w:name="_MON_1361867940"/>
      <w:bookmarkStart w:id="174" w:name="_MON_1361868003"/>
      <w:bookmarkStart w:id="175" w:name="_MON_1361868019"/>
      <w:bookmarkStart w:id="176" w:name="_MON_1366115557"/>
      <w:bookmarkStart w:id="177" w:name="_MON_1369553011"/>
      <w:bookmarkStart w:id="178" w:name="_MON_1395561547"/>
      <w:bookmarkStart w:id="179" w:name="_MON_1395561564"/>
      <w:bookmarkStart w:id="180" w:name="_MON_1395662749"/>
      <w:bookmarkStart w:id="181" w:name="_MON_1395662934"/>
      <w:bookmarkStart w:id="182" w:name="_MON_1401171493"/>
      <w:bookmarkStart w:id="183" w:name="_MON_1402319446"/>
      <w:bookmarkStart w:id="184" w:name="_MON_1402319536"/>
      <w:bookmarkStart w:id="185" w:name="_MON_1402319876"/>
      <w:bookmarkStart w:id="186" w:name="_MON_1402319896"/>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485A4657" w14:textId="505DD606" w:rsidR="004050EA" w:rsidRPr="00FA4708" w:rsidRDefault="00AD0DAA" w:rsidP="0070459C">
      <w:pPr>
        <w:rPr>
          <w:lang w:eastAsia="en-GB"/>
        </w:rPr>
      </w:pPr>
      <w:r>
        <w:rPr>
          <w:lang w:eastAsia="en-GB"/>
        </w:rPr>
        <w:t xml:space="preserve">Exit Packages in the year are summarised below </w:t>
      </w:r>
    </w:p>
    <w:p w14:paraId="485A4658" w14:textId="20128AB5" w:rsidR="0095291D" w:rsidRDefault="0095291D" w:rsidP="0070459C">
      <w:pPr>
        <w:rPr>
          <w:highlight w:val="yellow"/>
          <w:lang w:eastAsia="en-GB"/>
        </w:rPr>
      </w:pPr>
    </w:p>
    <w:tbl>
      <w:tblPr>
        <w:tblW w:w="5696" w:type="dxa"/>
        <w:jc w:val="center"/>
        <w:tblLook w:val="04A0" w:firstRow="1" w:lastRow="0" w:firstColumn="1" w:lastColumn="0" w:noHBand="0" w:noVBand="1"/>
      </w:tblPr>
      <w:tblGrid>
        <w:gridCol w:w="1448"/>
        <w:gridCol w:w="1196"/>
        <w:gridCol w:w="1756"/>
        <w:gridCol w:w="1296"/>
      </w:tblGrid>
      <w:tr w:rsidR="00AD0DAA" w:rsidRPr="00AD0DAA" w14:paraId="3A439A41" w14:textId="77777777" w:rsidTr="00DF7226">
        <w:trPr>
          <w:trHeight w:val="580"/>
          <w:jc w:val="center"/>
        </w:trPr>
        <w:tc>
          <w:tcPr>
            <w:tcW w:w="1448" w:type="dxa"/>
            <w:tcBorders>
              <w:top w:val="single" w:sz="8" w:space="0" w:color="auto"/>
              <w:left w:val="single" w:sz="8" w:space="0" w:color="auto"/>
              <w:bottom w:val="nil"/>
              <w:right w:val="nil"/>
            </w:tcBorders>
            <w:shd w:val="clear" w:color="000000" w:fill="000000"/>
            <w:noWrap/>
            <w:vAlign w:val="center"/>
            <w:hideMark/>
          </w:tcPr>
          <w:p w14:paraId="2030CB98" w14:textId="77777777" w:rsidR="00AD0DAA" w:rsidRPr="00AD0DAA" w:rsidRDefault="00AD0DAA" w:rsidP="00AD0DAA">
            <w:pPr>
              <w:rPr>
                <w:rFonts w:ascii="Aptos Narrow" w:hAnsi="Aptos Narrow"/>
                <w:b/>
                <w:bCs/>
                <w:color w:val="FFFFFF"/>
                <w:sz w:val="22"/>
                <w:szCs w:val="22"/>
                <w:lang w:eastAsia="en-GB"/>
              </w:rPr>
            </w:pPr>
            <w:r w:rsidRPr="00AD0DAA">
              <w:rPr>
                <w:rFonts w:ascii="Aptos Narrow" w:hAnsi="Aptos Narrow"/>
                <w:b/>
                <w:bCs/>
                <w:color w:val="FFFFFF"/>
                <w:sz w:val="22"/>
                <w:szCs w:val="22"/>
                <w:lang w:eastAsia="en-GB"/>
              </w:rPr>
              <w:t> </w:t>
            </w:r>
          </w:p>
        </w:tc>
        <w:tc>
          <w:tcPr>
            <w:tcW w:w="1196" w:type="dxa"/>
            <w:tcBorders>
              <w:top w:val="single" w:sz="8" w:space="0" w:color="auto"/>
              <w:left w:val="nil"/>
              <w:bottom w:val="nil"/>
              <w:right w:val="nil"/>
            </w:tcBorders>
            <w:shd w:val="clear" w:color="000000" w:fill="000000"/>
            <w:noWrap/>
            <w:vAlign w:val="center"/>
            <w:hideMark/>
          </w:tcPr>
          <w:p w14:paraId="0AFF3906" w14:textId="77777777" w:rsidR="00AD0DAA" w:rsidRPr="00AD0DAA" w:rsidRDefault="00AD0DAA" w:rsidP="00AD0DAA">
            <w:pPr>
              <w:jc w:val="center"/>
              <w:rPr>
                <w:rFonts w:ascii="Aptos Narrow" w:hAnsi="Aptos Narrow"/>
                <w:b/>
                <w:bCs/>
                <w:color w:val="FFFFFF"/>
                <w:sz w:val="22"/>
                <w:szCs w:val="22"/>
                <w:lang w:eastAsia="en-GB"/>
              </w:rPr>
            </w:pPr>
            <w:r w:rsidRPr="00AD0DAA">
              <w:rPr>
                <w:rFonts w:ascii="Aptos Narrow" w:hAnsi="Aptos Narrow"/>
                <w:b/>
                <w:bCs/>
                <w:color w:val="FFFFFF"/>
                <w:sz w:val="22"/>
                <w:szCs w:val="22"/>
                <w:lang w:eastAsia="en-GB"/>
              </w:rPr>
              <w:t>Number</w:t>
            </w:r>
          </w:p>
        </w:tc>
        <w:tc>
          <w:tcPr>
            <w:tcW w:w="1756" w:type="dxa"/>
            <w:tcBorders>
              <w:top w:val="single" w:sz="8" w:space="0" w:color="auto"/>
              <w:left w:val="nil"/>
              <w:bottom w:val="nil"/>
              <w:right w:val="nil"/>
            </w:tcBorders>
            <w:shd w:val="clear" w:color="000000" w:fill="000000"/>
            <w:vAlign w:val="center"/>
            <w:hideMark/>
          </w:tcPr>
          <w:p w14:paraId="7C3B547F" w14:textId="77777777" w:rsidR="00AD0DAA" w:rsidRPr="00AD0DAA" w:rsidRDefault="00AD0DAA" w:rsidP="00AD0DAA">
            <w:pPr>
              <w:jc w:val="center"/>
              <w:rPr>
                <w:rFonts w:ascii="Aptos Narrow" w:hAnsi="Aptos Narrow"/>
                <w:b/>
                <w:bCs/>
                <w:color w:val="FFFFFF"/>
                <w:sz w:val="22"/>
                <w:szCs w:val="22"/>
                <w:lang w:eastAsia="en-GB"/>
              </w:rPr>
            </w:pPr>
            <w:r w:rsidRPr="00AD0DAA">
              <w:rPr>
                <w:rFonts w:ascii="Aptos Narrow" w:hAnsi="Aptos Narrow"/>
                <w:b/>
                <w:bCs/>
                <w:color w:val="FFFFFF"/>
                <w:sz w:val="22"/>
                <w:szCs w:val="22"/>
                <w:lang w:eastAsia="en-GB"/>
              </w:rPr>
              <w:t>Value Range</w:t>
            </w:r>
            <w:r w:rsidRPr="00AD0DAA">
              <w:rPr>
                <w:rFonts w:ascii="Aptos Narrow" w:hAnsi="Aptos Narrow"/>
                <w:b/>
                <w:bCs/>
                <w:color w:val="FFFFFF"/>
                <w:sz w:val="22"/>
                <w:szCs w:val="22"/>
                <w:lang w:eastAsia="en-GB"/>
              </w:rPr>
              <w:br/>
              <w:t>£</w:t>
            </w:r>
          </w:p>
        </w:tc>
        <w:tc>
          <w:tcPr>
            <w:tcW w:w="1296" w:type="dxa"/>
            <w:tcBorders>
              <w:top w:val="single" w:sz="8" w:space="0" w:color="auto"/>
              <w:left w:val="nil"/>
              <w:bottom w:val="nil"/>
              <w:right w:val="single" w:sz="8" w:space="0" w:color="auto"/>
            </w:tcBorders>
            <w:shd w:val="clear" w:color="000000" w:fill="000000"/>
            <w:vAlign w:val="center"/>
            <w:hideMark/>
          </w:tcPr>
          <w:p w14:paraId="0B258A9F" w14:textId="77777777" w:rsidR="00AD0DAA" w:rsidRPr="00AD0DAA" w:rsidRDefault="00AD0DAA" w:rsidP="00AD0DAA">
            <w:pPr>
              <w:jc w:val="center"/>
              <w:rPr>
                <w:rFonts w:ascii="Aptos Narrow" w:hAnsi="Aptos Narrow"/>
                <w:b/>
                <w:bCs/>
                <w:color w:val="FFFFFF"/>
                <w:sz w:val="22"/>
                <w:szCs w:val="22"/>
                <w:lang w:eastAsia="en-GB"/>
              </w:rPr>
            </w:pPr>
            <w:r w:rsidRPr="00AD0DAA">
              <w:rPr>
                <w:rFonts w:ascii="Aptos Narrow" w:hAnsi="Aptos Narrow"/>
                <w:b/>
                <w:bCs/>
                <w:color w:val="FFFFFF"/>
                <w:sz w:val="22"/>
                <w:szCs w:val="22"/>
                <w:lang w:eastAsia="en-GB"/>
              </w:rPr>
              <w:t>Total</w:t>
            </w:r>
            <w:r w:rsidRPr="00AD0DAA">
              <w:rPr>
                <w:rFonts w:ascii="Aptos Narrow" w:hAnsi="Aptos Narrow"/>
                <w:b/>
                <w:bCs/>
                <w:color w:val="FFFFFF"/>
                <w:sz w:val="22"/>
                <w:szCs w:val="22"/>
                <w:lang w:eastAsia="en-GB"/>
              </w:rPr>
              <w:br/>
              <w:t>£000</w:t>
            </w:r>
          </w:p>
        </w:tc>
      </w:tr>
      <w:tr w:rsidR="00AD0DAA" w:rsidRPr="00AD0DAA" w14:paraId="72DA2930" w14:textId="77777777" w:rsidTr="00DF7226">
        <w:trPr>
          <w:trHeight w:val="290"/>
          <w:jc w:val="center"/>
        </w:trPr>
        <w:tc>
          <w:tcPr>
            <w:tcW w:w="1448" w:type="dxa"/>
            <w:tcBorders>
              <w:top w:val="nil"/>
              <w:left w:val="single" w:sz="8" w:space="0" w:color="auto"/>
              <w:bottom w:val="nil"/>
              <w:right w:val="nil"/>
            </w:tcBorders>
            <w:shd w:val="clear" w:color="auto" w:fill="auto"/>
            <w:noWrap/>
            <w:vAlign w:val="bottom"/>
            <w:hideMark/>
          </w:tcPr>
          <w:p w14:paraId="4E8174B2" w14:textId="77777777" w:rsidR="00AD0DAA" w:rsidRPr="00AD0DAA" w:rsidRDefault="00AD0DAA" w:rsidP="00AD0DAA">
            <w:pPr>
              <w:rPr>
                <w:rFonts w:ascii="Aptos Narrow" w:hAnsi="Aptos Narrow"/>
                <w:b/>
                <w:bCs/>
                <w:color w:val="000000"/>
                <w:sz w:val="22"/>
                <w:szCs w:val="22"/>
                <w:lang w:eastAsia="en-GB"/>
              </w:rPr>
            </w:pPr>
            <w:r w:rsidRPr="00AD0DAA">
              <w:rPr>
                <w:rFonts w:ascii="Aptos Narrow" w:hAnsi="Aptos Narrow"/>
                <w:b/>
                <w:bCs/>
                <w:color w:val="000000"/>
                <w:sz w:val="22"/>
                <w:szCs w:val="22"/>
                <w:lang w:eastAsia="en-GB"/>
              </w:rPr>
              <w:t>2023/24</w:t>
            </w:r>
          </w:p>
        </w:tc>
        <w:tc>
          <w:tcPr>
            <w:tcW w:w="1196" w:type="dxa"/>
            <w:tcBorders>
              <w:top w:val="nil"/>
              <w:left w:val="nil"/>
              <w:bottom w:val="nil"/>
              <w:right w:val="nil"/>
            </w:tcBorders>
            <w:shd w:val="clear" w:color="auto" w:fill="auto"/>
            <w:noWrap/>
            <w:vAlign w:val="bottom"/>
            <w:hideMark/>
          </w:tcPr>
          <w:p w14:paraId="5766BCA2" w14:textId="77777777" w:rsidR="00AD0DAA" w:rsidRPr="00AD0DAA" w:rsidRDefault="00AD0DAA" w:rsidP="00AD0DAA">
            <w:pPr>
              <w:rPr>
                <w:rFonts w:ascii="Aptos Narrow" w:hAnsi="Aptos Narrow"/>
                <w:color w:val="000000"/>
                <w:sz w:val="22"/>
                <w:szCs w:val="22"/>
                <w:lang w:eastAsia="en-GB"/>
              </w:rPr>
            </w:pPr>
          </w:p>
        </w:tc>
        <w:tc>
          <w:tcPr>
            <w:tcW w:w="1756" w:type="dxa"/>
            <w:tcBorders>
              <w:top w:val="nil"/>
              <w:left w:val="nil"/>
              <w:bottom w:val="nil"/>
              <w:right w:val="nil"/>
            </w:tcBorders>
            <w:shd w:val="clear" w:color="auto" w:fill="auto"/>
            <w:noWrap/>
            <w:vAlign w:val="bottom"/>
            <w:hideMark/>
          </w:tcPr>
          <w:p w14:paraId="1B5F893E" w14:textId="77777777" w:rsidR="00AD0DAA" w:rsidRPr="00AD0DAA" w:rsidRDefault="00AD0DAA" w:rsidP="00AD0DAA">
            <w:pPr>
              <w:rPr>
                <w:rFonts w:ascii="Times New Roman" w:hAnsi="Times New Roman"/>
                <w:sz w:val="20"/>
                <w:szCs w:val="20"/>
                <w:lang w:eastAsia="en-GB"/>
              </w:rPr>
            </w:pPr>
          </w:p>
        </w:tc>
        <w:tc>
          <w:tcPr>
            <w:tcW w:w="1296" w:type="dxa"/>
            <w:tcBorders>
              <w:top w:val="nil"/>
              <w:left w:val="nil"/>
              <w:bottom w:val="nil"/>
              <w:right w:val="single" w:sz="8" w:space="0" w:color="auto"/>
            </w:tcBorders>
            <w:shd w:val="clear" w:color="auto" w:fill="auto"/>
            <w:noWrap/>
            <w:vAlign w:val="bottom"/>
            <w:hideMark/>
          </w:tcPr>
          <w:p w14:paraId="3B20C2B3" w14:textId="77777777" w:rsidR="00AD0DAA" w:rsidRPr="00AD0DAA" w:rsidRDefault="00AD0DAA" w:rsidP="00AD0DAA">
            <w:pPr>
              <w:jc w:val="right"/>
              <w:rPr>
                <w:rFonts w:ascii="Aptos Narrow" w:hAnsi="Aptos Narrow"/>
                <w:color w:val="000000"/>
                <w:sz w:val="22"/>
                <w:szCs w:val="22"/>
                <w:lang w:eastAsia="en-GB"/>
              </w:rPr>
            </w:pPr>
            <w:r w:rsidRPr="00AD0DAA">
              <w:rPr>
                <w:rFonts w:ascii="Aptos Narrow" w:hAnsi="Aptos Narrow"/>
                <w:color w:val="000000"/>
                <w:sz w:val="22"/>
                <w:szCs w:val="22"/>
                <w:lang w:eastAsia="en-GB"/>
              </w:rPr>
              <w:t> </w:t>
            </w:r>
          </w:p>
        </w:tc>
      </w:tr>
      <w:tr w:rsidR="00AD0DAA" w:rsidRPr="00AD0DAA" w14:paraId="766F62D4" w14:textId="77777777" w:rsidTr="00DF7226">
        <w:trPr>
          <w:trHeight w:val="290"/>
          <w:jc w:val="center"/>
        </w:trPr>
        <w:tc>
          <w:tcPr>
            <w:tcW w:w="1448" w:type="dxa"/>
            <w:tcBorders>
              <w:top w:val="nil"/>
              <w:left w:val="single" w:sz="8" w:space="0" w:color="auto"/>
              <w:bottom w:val="nil"/>
              <w:right w:val="nil"/>
            </w:tcBorders>
            <w:shd w:val="clear" w:color="auto" w:fill="auto"/>
            <w:noWrap/>
            <w:vAlign w:val="bottom"/>
            <w:hideMark/>
          </w:tcPr>
          <w:p w14:paraId="366B0050" w14:textId="77777777" w:rsidR="00AD0DAA" w:rsidRPr="00AD0DAA" w:rsidRDefault="00AD0DAA" w:rsidP="00AD0DAA">
            <w:pPr>
              <w:rPr>
                <w:rFonts w:ascii="Aptos Narrow" w:hAnsi="Aptos Narrow"/>
                <w:color w:val="000000"/>
                <w:sz w:val="22"/>
                <w:szCs w:val="22"/>
                <w:lang w:eastAsia="en-GB"/>
              </w:rPr>
            </w:pPr>
            <w:r w:rsidRPr="00AD0DAA">
              <w:rPr>
                <w:rFonts w:ascii="Aptos Narrow" w:hAnsi="Aptos Narrow"/>
                <w:color w:val="000000"/>
                <w:sz w:val="22"/>
                <w:szCs w:val="22"/>
                <w:lang w:eastAsia="en-GB"/>
              </w:rPr>
              <w:t>Compulsory</w:t>
            </w:r>
          </w:p>
        </w:tc>
        <w:tc>
          <w:tcPr>
            <w:tcW w:w="1196" w:type="dxa"/>
            <w:tcBorders>
              <w:top w:val="nil"/>
              <w:left w:val="nil"/>
              <w:bottom w:val="nil"/>
              <w:right w:val="nil"/>
            </w:tcBorders>
            <w:shd w:val="clear" w:color="auto" w:fill="auto"/>
            <w:noWrap/>
            <w:vAlign w:val="bottom"/>
            <w:hideMark/>
          </w:tcPr>
          <w:p w14:paraId="41F7C9DD" w14:textId="476BCB0D" w:rsidR="00AD0DAA" w:rsidRPr="00AD0DAA" w:rsidRDefault="00162C02" w:rsidP="00AD0DAA">
            <w:pPr>
              <w:jc w:val="right"/>
              <w:rPr>
                <w:rFonts w:ascii="Aptos Narrow" w:hAnsi="Aptos Narrow"/>
                <w:color w:val="000000"/>
                <w:sz w:val="22"/>
                <w:szCs w:val="22"/>
                <w:lang w:eastAsia="en-GB"/>
              </w:rPr>
            </w:pPr>
            <w:r>
              <w:rPr>
                <w:rFonts w:ascii="Aptos Narrow" w:hAnsi="Aptos Narrow"/>
                <w:color w:val="000000"/>
                <w:sz w:val="22"/>
                <w:szCs w:val="22"/>
                <w:lang w:eastAsia="en-GB"/>
              </w:rPr>
              <w:t>4</w:t>
            </w:r>
          </w:p>
        </w:tc>
        <w:tc>
          <w:tcPr>
            <w:tcW w:w="1756" w:type="dxa"/>
            <w:tcBorders>
              <w:top w:val="nil"/>
              <w:left w:val="nil"/>
              <w:bottom w:val="nil"/>
              <w:right w:val="nil"/>
            </w:tcBorders>
            <w:shd w:val="clear" w:color="auto" w:fill="auto"/>
            <w:noWrap/>
            <w:vAlign w:val="bottom"/>
            <w:hideMark/>
          </w:tcPr>
          <w:p w14:paraId="5A080417" w14:textId="77777777" w:rsidR="00AD0DAA" w:rsidRPr="00AD0DAA" w:rsidRDefault="00AD0DAA" w:rsidP="00AD0DAA">
            <w:pPr>
              <w:jc w:val="center"/>
              <w:rPr>
                <w:rFonts w:ascii="Aptos Narrow" w:hAnsi="Aptos Narrow"/>
                <w:color w:val="000000"/>
                <w:sz w:val="22"/>
                <w:szCs w:val="22"/>
                <w:lang w:eastAsia="en-GB"/>
              </w:rPr>
            </w:pPr>
            <w:r w:rsidRPr="00AD0DAA">
              <w:rPr>
                <w:rFonts w:ascii="Aptos Narrow" w:hAnsi="Aptos Narrow"/>
                <w:color w:val="000000"/>
                <w:sz w:val="22"/>
                <w:szCs w:val="22"/>
                <w:lang w:eastAsia="en-GB"/>
              </w:rPr>
              <w:t>1-39,999</w:t>
            </w:r>
          </w:p>
        </w:tc>
        <w:tc>
          <w:tcPr>
            <w:tcW w:w="1296" w:type="dxa"/>
            <w:tcBorders>
              <w:top w:val="nil"/>
              <w:left w:val="nil"/>
              <w:bottom w:val="nil"/>
              <w:right w:val="single" w:sz="8" w:space="0" w:color="auto"/>
            </w:tcBorders>
            <w:shd w:val="clear" w:color="auto" w:fill="auto"/>
            <w:noWrap/>
            <w:vAlign w:val="bottom"/>
            <w:hideMark/>
          </w:tcPr>
          <w:p w14:paraId="0091DA46" w14:textId="56C0F7F5" w:rsidR="00AD0DAA" w:rsidRPr="00AD0DAA" w:rsidRDefault="00AD0DAA" w:rsidP="00AD0DAA">
            <w:pPr>
              <w:jc w:val="right"/>
              <w:rPr>
                <w:rFonts w:ascii="Aptos Narrow" w:hAnsi="Aptos Narrow"/>
                <w:color w:val="000000"/>
                <w:sz w:val="22"/>
                <w:szCs w:val="22"/>
                <w:lang w:eastAsia="en-GB"/>
              </w:rPr>
            </w:pPr>
            <w:r w:rsidRPr="00AD0DAA">
              <w:rPr>
                <w:rFonts w:ascii="Aptos Narrow" w:hAnsi="Aptos Narrow"/>
                <w:color w:val="000000"/>
                <w:sz w:val="22"/>
                <w:szCs w:val="22"/>
                <w:lang w:eastAsia="en-GB"/>
              </w:rPr>
              <w:t>3</w:t>
            </w:r>
            <w:r w:rsidR="000F52CC">
              <w:rPr>
                <w:rFonts w:ascii="Aptos Narrow" w:hAnsi="Aptos Narrow"/>
                <w:color w:val="000000"/>
                <w:sz w:val="22"/>
                <w:szCs w:val="22"/>
                <w:lang w:eastAsia="en-GB"/>
              </w:rPr>
              <w:t>9</w:t>
            </w:r>
          </w:p>
        </w:tc>
      </w:tr>
      <w:tr w:rsidR="00AD0DAA" w:rsidRPr="00AD0DAA" w14:paraId="50C65ED3" w14:textId="77777777" w:rsidTr="00DF7226">
        <w:trPr>
          <w:trHeight w:val="300"/>
          <w:jc w:val="center"/>
        </w:trPr>
        <w:tc>
          <w:tcPr>
            <w:tcW w:w="1448" w:type="dxa"/>
            <w:tcBorders>
              <w:top w:val="nil"/>
              <w:left w:val="single" w:sz="8" w:space="0" w:color="auto"/>
              <w:bottom w:val="nil"/>
              <w:right w:val="nil"/>
            </w:tcBorders>
            <w:shd w:val="clear" w:color="auto" w:fill="auto"/>
            <w:noWrap/>
            <w:vAlign w:val="bottom"/>
            <w:hideMark/>
          </w:tcPr>
          <w:p w14:paraId="212FF2EA" w14:textId="77777777" w:rsidR="00AD0DAA" w:rsidRPr="00AD0DAA" w:rsidRDefault="00AD0DAA" w:rsidP="00AD0DAA">
            <w:pPr>
              <w:rPr>
                <w:rFonts w:ascii="Aptos Narrow" w:hAnsi="Aptos Narrow"/>
                <w:b/>
                <w:bCs/>
                <w:color w:val="000000"/>
                <w:sz w:val="22"/>
                <w:szCs w:val="22"/>
                <w:lang w:eastAsia="en-GB"/>
              </w:rPr>
            </w:pPr>
            <w:r w:rsidRPr="00AD0DAA">
              <w:rPr>
                <w:rFonts w:ascii="Aptos Narrow" w:hAnsi="Aptos Narrow"/>
                <w:b/>
                <w:bCs/>
                <w:color w:val="000000"/>
                <w:sz w:val="22"/>
                <w:szCs w:val="22"/>
                <w:lang w:eastAsia="en-GB"/>
              </w:rPr>
              <w:t>2022/23</w:t>
            </w:r>
          </w:p>
        </w:tc>
        <w:tc>
          <w:tcPr>
            <w:tcW w:w="1196" w:type="dxa"/>
            <w:tcBorders>
              <w:top w:val="nil"/>
              <w:left w:val="nil"/>
              <w:bottom w:val="nil"/>
              <w:right w:val="nil"/>
            </w:tcBorders>
            <w:shd w:val="clear" w:color="auto" w:fill="auto"/>
            <w:noWrap/>
            <w:vAlign w:val="bottom"/>
            <w:hideMark/>
          </w:tcPr>
          <w:p w14:paraId="4786C436" w14:textId="77777777" w:rsidR="00AD0DAA" w:rsidRPr="00AD0DAA" w:rsidRDefault="00AD0DAA" w:rsidP="00AD0DAA">
            <w:pPr>
              <w:rPr>
                <w:rFonts w:ascii="Aptos Narrow" w:hAnsi="Aptos Narrow"/>
                <w:color w:val="000000"/>
                <w:sz w:val="22"/>
                <w:szCs w:val="22"/>
                <w:lang w:eastAsia="en-GB"/>
              </w:rPr>
            </w:pPr>
          </w:p>
        </w:tc>
        <w:tc>
          <w:tcPr>
            <w:tcW w:w="1756" w:type="dxa"/>
            <w:tcBorders>
              <w:top w:val="nil"/>
              <w:left w:val="nil"/>
              <w:bottom w:val="nil"/>
              <w:right w:val="nil"/>
            </w:tcBorders>
            <w:shd w:val="clear" w:color="auto" w:fill="auto"/>
            <w:noWrap/>
            <w:vAlign w:val="bottom"/>
            <w:hideMark/>
          </w:tcPr>
          <w:p w14:paraId="18223738" w14:textId="77777777" w:rsidR="00AD0DAA" w:rsidRPr="00AD0DAA" w:rsidRDefault="00AD0DAA" w:rsidP="00AD0DAA">
            <w:pPr>
              <w:rPr>
                <w:rFonts w:ascii="Times New Roman" w:hAnsi="Times New Roman"/>
                <w:sz w:val="20"/>
                <w:szCs w:val="20"/>
                <w:lang w:eastAsia="en-GB"/>
              </w:rPr>
            </w:pPr>
          </w:p>
        </w:tc>
        <w:tc>
          <w:tcPr>
            <w:tcW w:w="1296" w:type="dxa"/>
            <w:tcBorders>
              <w:top w:val="nil"/>
              <w:left w:val="nil"/>
              <w:bottom w:val="nil"/>
              <w:right w:val="single" w:sz="8" w:space="0" w:color="auto"/>
            </w:tcBorders>
            <w:shd w:val="clear" w:color="auto" w:fill="auto"/>
            <w:noWrap/>
            <w:vAlign w:val="bottom"/>
            <w:hideMark/>
          </w:tcPr>
          <w:p w14:paraId="73AD0C86" w14:textId="77777777" w:rsidR="00AD0DAA" w:rsidRPr="00AD0DAA" w:rsidRDefault="00AD0DAA" w:rsidP="00AD0DAA">
            <w:pPr>
              <w:jc w:val="right"/>
              <w:rPr>
                <w:rFonts w:ascii="Aptos Narrow" w:hAnsi="Aptos Narrow"/>
                <w:color w:val="000000"/>
                <w:sz w:val="22"/>
                <w:szCs w:val="22"/>
                <w:lang w:eastAsia="en-GB"/>
              </w:rPr>
            </w:pPr>
            <w:r w:rsidRPr="00AD0DAA">
              <w:rPr>
                <w:rFonts w:ascii="Aptos Narrow" w:hAnsi="Aptos Narrow"/>
                <w:color w:val="000000"/>
                <w:sz w:val="22"/>
                <w:szCs w:val="22"/>
                <w:lang w:eastAsia="en-GB"/>
              </w:rPr>
              <w:t> </w:t>
            </w:r>
          </w:p>
        </w:tc>
      </w:tr>
      <w:tr w:rsidR="00AD0DAA" w:rsidRPr="00AD0DAA" w14:paraId="5B99E104" w14:textId="77777777" w:rsidTr="00DF7226">
        <w:trPr>
          <w:trHeight w:val="300"/>
          <w:jc w:val="center"/>
        </w:trPr>
        <w:tc>
          <w:tcPr>
            <w:tcW w:w="1448" w:type="dxa"/>
            <w:tcBorders>
              <w:top w:val="nil"/>
              <w:left w:val="single" w:sz="8" w:space="0" w:color="auto"/>
              <w:bottom w:val="nil"/>
              <w:right w:val="nil"/>
            </w:tcBorders>
            <w:shd w:val="clear" w:color="auto" w:fill="auto"/>
            <w:noWrap/>
            <w:vAlign w:val="bottom"/>
            <w:hideMark/>
          </w:tcPr>
          <w:p w14:paraId="65309F17" w14:textId="77777777" w:rsidR="00AD0DAA" w:rsidRPr="00AD0DAA" w:rsidRDefault="00AD0DAA" w:rsidP="00AD0DAA">
            <w:pPr>
              <w:rPr>
                <w:rFonts w:ascii="Aptos Narrow" w:hAnsi="Aptos Narrow"/>
                <w:color w:val="000000"/>
                <w:sz w:val="22"/>
                <w:szCs w:val="22"/>
                <w:lang w:eastAsia="en-GB"/>
              </w:rPr>
            </w:pPr>
            <w:r w:rsidRPr="00AD0DAA">
              <w:rPr>
                <w:rFonts w:ascii="Aptos Narrow" w:hAnsi="Aptos Narrow"/>
                <w:color w:val="000000"/>
                <w:sz w:val="22"/>
                <w:szCs w:val="22"/>
                <w:lang w:eastAsia="en-GB"/>
              </w:rPr>
              <w:t>Voluntary</w:t>
            </w:r>
          </w:p>
        </w:tc>
        <w:tc>
          <w:tcPr>
            <w:tcW w:w="1196" w:type="dxa"/>
            <w:tcBorders>
              <w:top w:val="nil"/>
              <w:left w:val="nil"/>
              <w:bottom w:val="nil"/>
              <w:right w:val="nil"/>
            </w:tcBorders>
            <w:shd w:val="clear" w:color="auto" w:fill="auto"/>
            <w:noWrap/>
            <w:vAlign w:val="bottom"/>
            <w:hideMark/>
          </w:tcPr>
          <w:p w14:paraId="1554186A" w14:textId="32B0C893" w:rsidR="00AD0DAA" w:rsidRPr="00AD0DAA" w:rsidRDefault="000F52CC" w:rsidP="00AD0DAA">
            <w:pPr>
              <w:jc w:val="right"/>
              <w:rPr>
                <w:rFonts w:ascii="Aptos Narrow" w:hAnsi="Aptos Narrow"/>
                <w:color w:val="000000"/>
                <w:sz w:val="22"/>
                <w:szCs w:val="22"/>
                <w:lang w:eastAsia="en-GB"/>
              </w:rPr>
            </w:pPr>
            <w:r>
              <w:rPr>
                <w:rFonts w:ascii="Aptos Narrow" w:hAnsi="Aptos Narrow"/>
                <w:color w:val="000000"/>
                <w:sz w:val="22"/>
                <w:szCs w:val="22"/>
                <w:lang w:eastAsia="en-GB"/>
              </w:rPr>
              <w:t>2</w:t>
            </w:r>
          </w:p>
        </w:tc>
        <w:tc>
          <w:tcPr>
            <w:tcW w:w="1756"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540"/>
            </w:tblGrid>
            <w:tr w:rsidR="00AD0DAA" w:rsidRPr="00AD0DAA" w14:paraId="60912084" w14:textId="77777777">
              <w:trPr>
                <w:trHeight w:val="300"/>
                <w:tblCellSpacing w:w="0" w:type="dxa"/>
              </w:trPr>
              <w:tc>
                <w:tcPr>
                  <w:tcW w:w="1540" w:type="dxa"/>
                  <w:tcBorders>
                    <w:top w:val="nil"/>
                    <w:left w:val="nil"/>
                    <w:bottom w:val="nil"/>
                    <w:right w:val="nil"/>
                  </w:tcBorders>
                  <w:shd w:val="clear" w:color="auto" w:fill="auto"/>
                  <w:noWrap/>
                  <w:vAlign w:val="bottom"/>
                  <w:hideMark/>
                </w:tcPr>
                <w:p w14:paraId="702F45AE" w14:textId="6B3D8A8C" w:rsidR="00AD0DAA" w:rsidRPr="00AD0DAA" w:rsidRDefault="00AD0DAA" w:rsidP="00AD0DAA">
                  <w:pPr>
                    <w:jc w:val="center"/>
                    <w:rPr>
                      <w:rFonts w:ascii="Aptos Narrow" w:hAnsi="Aptos Narrow"/>
                      <w:color w:val="000000"/>
                      <w:sz w:val="22"/>
                      <w:szCs w:val="22"/>
                      <w:lang w:eastAsia="en-GB"/>
                    </w:rPr>
                  </w:pPr>
                  <w:r w:rsidRPr="00AD0DAA">
                    <w:rPr>
                      <w:rFonts w:ascii="Aptos Narrow" w:hAnsi="Aptos Narrow"/>
                      <w:noProof/>
                      <w:color w:val="000000"/>
                      <w:sz w:val="22"/>
                      <w:szCs w:val="22"/>
                      <w:lang w:eastAsia="en-GB"/>
                    </w:rPr>
                    <mc:AlternateContent>
                      <mc:Choice Requires="wps">
                        <w:drawing>
                          <wp:anchor distT="0" distB="0" distL="114300" distR="114300" simplePos="0" relativeHeight="251658240" behindDoc="0" locked="0" layoutInCell="1" allowOverlap="1" wp14:anchorId="693B3A19" wp14:editId="30E956C6">
                            <wp:simplePos x="0" y="0"/>
                            <wp:positionH relativeFrom="column">
                              <wp:posOffset>5295900</wp:posOffset>
                            </wp:positionH>
                            <wp:positionV relativeFrom="paragraph">
                              <wp:posOffset>698500</wp:posOffset>
                            </wp:positionV>
                            <wp:extent cx="203200" cy="361950"/>
                            <wp:effectExtent l="0" t="0" r="25400" b="19050"/>
                            <wp:wrapNone/>
                            <wp:docPr id="2" name="Right Brace 2">
                              <a:extLst xmlns:a="http://schemas.openxmlformats.org/drawingml/2006/main">
                                <a:ext uri="{FF2B5EF4-FFF2-40B4-BE49-F238E27FC236}">
                                  <a16:creationId xmlns:a16="http://schemas.microsoft.com/office/drawing/2014/main" id="{490CB510-433C-095D-B47F-55A6B394BE51}"/>
                                </a:ext>
                              </a:extLst>
                            </wp:docPr>
                            <wp:cNvGraphicFramePr/>
                            <a:graphic xmlns:a="http://schemas.openxmlformats.org/drawingml/2006/main">
                              <a:graphicData uri="http://schemas.microsoft.com/office/word/2010/wordprocessingShape">
                                <wps:wsp>
                                  <wps:cNvSpPr/>
                                  <wps:spPr>
                                    <a:xfrm>
                                      <a:off x="0" y="0"/>
                                      <a:ext cx="190500" cy="342900"/>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F1B3C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417pt;margin-top:55pt;width:16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" adj="1000" strokecolor="#5b9bd5 [3204]" strokeweight="1pt">
                            <v:stroke joinstyle="miter"/>
                          </v:shape>
                        </w:pict>
                      </mc:Fallback>
                    </mc:AlternateContent>
                  </w:r>
                  <w:r w:rsidRPr="00AD0DAA">
                    <w:rPr>
                      <w:rFonts w:ascii="Aptos Narrow" w:hAnsi="Aptos Narrow"/>
                      <w:color w:val="000000"/>
                      <w:sz w:val="22"/>
                      <w:szCs w:val="22"/>
                      <w:lang w:eastAsia="en-GB"/>
                    </w:rPr>
                    <w:t>1-19,999</w:t>
                  </w:r>
                </w:p>
              </w:tc>
            </w:tr>
          </w:tbl>
          <w:p w14:paraId="3A994EFB" w14:textId="77777777" w:rsidR="00AD0DAA" w:rsidRPr="00AD0DAA" w:rsidRDefault="00AD0DAA" w:rsidP="00AD0DAA">
            <w:pPr>
              <w:rPr>
                <w:rFonts w:ascii="Aptos Narrow" w:hAnsi="Aptos Narrow"/>
                <w:color w:val="000000"/>
                <w:sz w:val="22"/>
                <w:szCs w:val="22"/>
                <w:lang w:eastAsia="en-GB"/>
              </w:rPr>
            </w:pPr>
          </w:p>
        </w:tc>
        <w:tc>
          <w:tcPr>
            <w:tcW w:w="1296" w:type="dxa"/>
            <w:vMerge w:val="restart"/>
            <w:tcBorders>
              <w:top w:val="nil"/>
              <w:left w:val="nil"/>
              <w:bottom w:val="single" w:sz="8" w:space="0" w:color="000000"/>
              <w:right w:val="single" w:sz="8" w:space="0" w:color="auto"/>
            </w:tcBorders>
            <w:shd w:val="clear" w:color="auto" w:fill="auto"/>
            <w:noWrap/>
            <w:vAlign w:val="center"/>
            <w:hideMark/>
          </w:tcPr>
          <w:p w14:paraId="2677C3A9" w14:textId="4424D7A7" w:rsidR="00AD0DAA" w:rsidRPr="00AD0DAA" w:rsidRDefault="00AD0DAA" w:rsidP="00AD0DAA">
            <w:pPr>
              <w:jc w:val="right"/>
              <w:rPr>
                <w:rFonts w:ascii="Aptos Narrow" w:hAnsi="Aptos Narrow"/>
                <w:color w:val="000000"/>
                <w:sz w:val="22"/>
                <w:szCs w:val="22"/>
                <w:lang w:eastAsia="en-GB"/>
              </w:rPr>
            </w:pPr>
            <w:r w:rsidRPr="00AD0DAA">
              <w:rPr>
                <w:rFonts w:ascii="Aptos Narrow" w:hAnsi="Aptos Narrow"/>
                <w:color w:val="000000"/>
                <w:sz w:val="22"/>
                <w:szCs w:val="22"/>
                <w:lang w:eastAsia="en-GB"/>
              </w:rPr>
              <w:t>1</w:t>
            </w:r>
            <w:r w:rsidR="000F52CC">
              <w:rPr>
                <w:rFonts w:ascii="Aptos Narrow" w:hAnsi="Aptos Narrow"/>
                <w:color w:val="000000"/>
                <w:sz w:val="22"/>
                <w:szCs w:val="22"/>
                <w:lang w:eastAsia="en-GB"/>
              </w:rPr>
              <w:t>4</w:t>
            </w:r>
          </w:p>
        </w:tc>
      </w:tr>
      <w:tr w:rsidR="00AD0DAA" w:rsidRPr="00AD0DAA" w14:paraId="77171A85" w14:textId="77777777" w:rsidTr="00DF7226">
        <w:trPr>
          <w:trHeight w:val="310"/>
          <w:jc w:val="center"/>
        </w:trPr>
        <w:tc>
          <w:tcPr>
            <w:tcW w:w="1448" w:type="dxa"/>
            <w:tcBorders>
              <w:top w:val="nil"/>
              <w:left w:val="single" w:sz="8" w:space="0" w:color="auto"/>
              <w:bottom w:val="single" w:sz="8" w:space="0" w:color="auto"/>
              <w:right w:val="nil"/>
            </w:tcBorders>
            <w:shd w:val="clear" w:color="auto" w:fill="auto"/>
            <w:noWrap/>
            <w:vAlign w:val="bottom"/>
            <w:hideMark/>
          </w:tcPr>
          <w:p w14:paraId="395A4041" w14:textId="77777777" w:rsidR="00AD0DAA" w:rsidRPr="00AD0DAA" w:rsidRDefault="00AD0DAA" w:rsidP="00AD0DAA">
            <w:pPr>
              <w:rPr>
                <w:rFonts w:ascii="Aptos Narrow" w:hAnsi="Aptos Narrow"/>
                <w:color w:val="000000"/>
                <w:sz w:val="22"/>
                <w:szCs w:val="22"/>
                <w:lang w:eastAsia="en-GB"/>
              </w:rPr>
            </w:pPr>
            <w:r w:rsidRPr="00AD0DAA">
              <w:rPr>
                <w:rFonts w:ascii="Aptos Narrow" w:hAnsi="Aptos Narrow"/>
                <w:color w:val="000000"/>
                <w:sz w:val="22"/>
                <w:szCs w:val="22"/>
                <w:lang w:eastAsia="en-GB"/>
              </w:rPr>
              <w:t>Compulsory</w:t>
            </w:r>
          </w:p>
        </w:tc>
        <w:tc>
          <w:tcPr>
            <w:tcW w:w="1196" w:type="dxa"/>
            <w:tcBorders>
              <w:top w:val="nil"/>
              <w:left w:val="nil"/>
              <w:bottom w:val="single" w:sz="8" w:space="0" w:color="auto"/>
              <w:right w:val="nil"/>
            </w:tcBorders>
            <w:shd w:val="clear" w:color="auto" w:fill="auto"/>
            <w:noWrap/>
            <w:vAlign w:val="bottom"/>
            <w:hideMark/>
          </w:tcPr>
          <w:p w14:paraId="565FC35F" w14:textId="77777777" w:rsidR="00AD0DAA" w:rsidRPr="00AD0DAA" w:rsidRDefault="00AD0DAA" w:rsidP="00AD0DAA">
            <w:pPr>
              <w:jc w:val="right"/>
              <w:rPr>
                <w:rFonts w:ascii="Aptos Narrow" w:hAnsi="Aptos Narrow"/>
                <w:color w:val="000000"/>
                <w:sz w:val="22"/>
                <w:szCs w:val="22"/>
                <w:lang w:eastAsia="en-GB"/>
              </w:rPr>
            </w:pPr>
            <w:r w:rsidRPr="00AD0DAA">
              <w:rPr>
                <w:rFonts w:ascii="Aptos Narrow" w:hAnsi="Aptos Narrow"/>
                <w:color w:val="000000"/>
                <w:sz w:val="22"/>
                <w:szCs w:val="22"/>
                <w:lang w:eastAsia="en-GB"/>
              </w:rPr>
              <w:t>1</w:t>
            </w:r>
          </w:p>
        </w:tc>
        <w:tc>
          <w:tcPr>
            <w:tcW w:w="1756" w:type="dxa"/>
            <w:tcBorders>
              <w:top w:val="nil"/>
              <w:left w:val="nil"/>
              <w:bottom w:val="single" w:sz="8" w:space="0" w:color="auto"/>
              <w:right w:val="nil"/>
            </w:tcBorders>
            <w:shd w:val="clear" w:color="auto" w:fill="auto"/>
            <w:noWrap/>
            <w:vAlign w:val="bottom"/>
            <w:hideMark/>
          </w:tcPr>
          <w:p w14:paraId="32D6F179" w14:textId="77777777" w:rsidR="00AD0DAA" w:rsidRPr="00AD0DAA" w:rsidRDefault="00AD0DAA" w:rsidP="00AD0DAA">
            <w:pPr>
              <w:jc w:val="center"/>
              <w:rPr>
                <w:rFonts w:ascii="Aptos Narrow" w:hAnsi="Aptos Narrow"/>
                <w:color w:val="000000"/>
                <w:sz w:val="22"/>
                <w:szCs w:val="22"/>
                <w:lang w:eastAsia="en-GB"/>
              </w:rPr>
            </w:pPr>
            <w:r w:rsidRPr="00AD0DAA">
              <w:rPr>
                <w:rFonts w:ascii="Aptos Narrow" w:hAnsi="Aptos Narrow"/>
                <w:color w:val="000000"/>
                <w:sz w:val="22"/>
                <w:szCs w:val="22"/>
                <w:lang w:eastAsia="en-GB"/>
              </w:rPr>
              <w:t>1-19,999</w:t>
            </w:r>
          </w:p>
        </w:tc>
        <w:tc>
          <w:tcPr>
            <w:tcW w:w="1296" w:type="dxa"/>
            <w:vMerge/>
            <w:tcBorders>
              <w:top w:val="nil"/>
              <w:left w:val="nil"/>
              <w:bottom w:val="single" w:sz="8" w:space="0" w:color="000000"/>
              <w:right w:val="single" w:sz="8" w:space="0" w:color="auto"/>
            </w:tcBorders>
            <w:vAlign w:val="center"/>
            <w:hideMark/>
          </w:tcPr>
          <w:p w14:paraId="7AFA8040" w14:textId="77777777" w:rsidR="00AD0DAA" w:rsidRPr="00AD0DAA" w:rsidRDefault="00AD0DAA" w:rsidP="00AD0DAA">
            <w:pPr>
              <w:rPr>
                <w:rFonts w:ascii="Aptos Narrow" w:hAnsi="Aptos Narrow"/>
                <w:color w:val="000000"/>
                <w:sz w:val="22"/>
                <w:szCs w:val="22"/>
                <w:lang w:eastAsia="en-GB"/>
              </w:rPr>
            </w:pPr>
          </w:p>
        </w:tc>
      </w:tr>
    </w:tbl>
    <w:p w14:paraId="29598B53" w14:textId="77777777" w:rsidR="00AD0DAA" w:rsidRPr="004D5CA8" w:rsidRDefault="00AD0DAA" w:rsidP="0070459C">
      <w:pPr>
        <w:rPr>
          <w:highlight w:val="yellow"/>
          <w:lang w:eastAsia="en-GB"/>
        </w:rPr>
      </w:pPr>
    </w:p>
    <w:p w14:paraId="485A4659" w14:textId="0D5988B8" w:rsidR="00E00863" w:rsidRPr="00162C02" w:rsidRDefault="00E00863" w:rsidP="0070459C">
      <w:pPr>
        <w:pStyle w:val="Heading2"/>
        <w:numPr>
          <w:ilvl w:val="0"/>
          <w:numId w:val="47"/>
        </w:numPr>
        <w:ind w:left="0" w:firstLine="0"/>
        <w:rPr>
          <w:rFonts w:cs="Arial"/>
          <w:i/>
        </w:rPr>
      </w:pPr>
      <w:bookmarkStart w:id="187" w:name="_Toc167965804"/>
      <w:r w:rsidRPr="00162C02">
        <w:lastRenderedPageBreak/>
        <w:t>Members’ Allowances</w:t>
      </w:r>
      <w:bookmarkEnd w:id="187"/>
      <w:r w:rsidR="00282B6E" w:rsidRPr="00162C02">
        <w:t xml:space="preserve"> </w:t>
      </w:r>
    </w:p>
    <w:p w14:paraId="485A465A" w14:textId="77777777" w:rsidR="004D6A42" w:rsidRPr="005F6EE1" w:rsidRDefault="004D6A42" w:rsidP="0070459C">
      <w:pPr>
        <w:pStyle w:val="BlockText"/>
        <w:ind w:left="0"/>
      </w:pPr>
    </w:p>
    <w:p w14:paraId="4FBD51A4" w14:textId="77777777" w:rsidR="00DC1950" w:rsidRPr="005F6EE1" w:rsidRDefault="00E00863" w:rsidP="0070459C">
      <w:pPr>
        <w:pStyle w:val="BlockText"/>
        <w:ind w:left="0"/>
        <w:rPr>
          <w:rFonts w:eastAsia="Times New Roman"/>
          <w:sz w:val="23"/>
          <w:szCs w:val="23"/>
          <w:lang w:eastAsia="en-US"/>
        </w:rPr>
      </w:pPr>
      <w:r w:rsidRPr="005F6EE1">
        <w:rPr>
          <w:rFonts w:eastAsia="Times New Roman"/>
          <w:sz w:val="23"/>
          <w:szCs w:val="23"/>
          <w:lang w:eastAsia="en-US"/>
        </w:rPr>
        <w:t xml:space="preserve">The Code of Practice on Local Authority Accounting requires that Local Authorities disclose details of allowances paid to elected members during the year. </w:t>
      </w:r>
    </w:p>
    <w:p w14:paraId="58548A03" w14:textId="77777777" w:rsidR="00DC1950" w:rsidRPr="005F6EE1" w:rsidRDefault="00DC1950" w:rsidP="0070459C">
      <w:pPr>
        <w:pStyle w:val="BlockText"/>
        <w:ind w:left="0"/>
        <w:rPr>
          <w:rFonts w:eastAsia="Times New Roman"/>
          <w:sz w:val="23"/>
          <w:szCs w:val="23"/>
          <w:lang w:eastAsia="en-US"/>
        </w:rPr>
      </w:pPr>
    </w:p>
    <w:p w14:paraId="485A465C" w14:textId="759C0425" w:rsidR="00BC15E3" w:rsidRPr="005F6EE1" w:rsidRDefault="00E00863" w:rsidP="0070459C">
      <w:pPr>
        <w:pStyle w:val="BlockText"/>
        <w:ind w:left="0"/>
        <w:rPr>
          <w:sz w:val="23"/>
          <w:szCs w:val="23"/>
        </w:rPr>
      </w:pPr>
      <w:r w:rsidRPr="005F6EE1">
        <w:rPr>
          <w:rFonts w:eastAsia="Times New Roman"/>
          <w:sz w:val="23"/>
          <w:szCs w:val="23"/>
          <w:lang w:eastAsia="en-US"/>
        </w:rPr>
        <w:t>Details of allowances paid in 20</w:t>
      </w:r>
      <w:r w:rsidR="0018764B" w:rsidRPr="005F6EE1">
        <w:rPr>
          <w:rFonts w:eastAsia="Times New Roman"/>
          <w:sz w:val="23"/>
          <w:szCs w:val="23"/>
          <w:lang w:eastAsia="en-US"/>
        </w:rPr>
        <w:t>2</w:t>
      </w:r>
      <w:r w:rsidR="00E03B3E">
        <w:rPr>
          <w:rFonts w:eastAsia="Times New Roman"/>
          <w:sz w:val="23"/>
          <w:szCs w:val="23"/>
          <w:lang w:eastAsia="en-US"/>
        </w:rPr>
        <w:t>3</w:t>
      </w:r>
      <w:r w:rsidR="004E110A" w:rsidRPr="005F6EE1">
        <w:rPr>
          <w:rFonts w:eastAsia="Times New Roman"/>
          <w:sz w:val="23"/>
          <w:szCs w:val="23"/>
          <w:lang w:eastAsia="en-US"/>
        </w:rPr>
        <w:t>/</w:t>
      </w:r>
      <w:r w:rsidR="00DE1CFA" w:rsidRPr="005F6EE1">
        <w:rPr>
          <w:rFonts w:eastAsia="Times New Roman"/>
          <w:sz w:val="23"/>
          <w:szCs w:val="23"/>
          <w:lang w:eastAsia="en-US"/>
        </w:rPr>
        <w:t>2</w:t>
      </w:r>
      <w:r w:rsidR="00E03B3E">
        <w:rPr>
          <w:rFonts w:eastAsia="Times New Roman"/>
          <w:sz w:val="23"/>
          <w:szCs w:val="23"/>
          <w:lang w:eastAsia="en-US"/>
        </w:rPr>
        <w:t>4</w:t>
      </w:r>
      <w:r w:rsidR="00A90E02" w:rsidRPr="005F6EE1">
        <w:rPr>
          <w:rFonts w:eastAsia="Times New Roman"/>
          <w:sz w:val="23"/>
          <w:szCs w:val="23"/>
          <w:lang w:eastAsia="en-US"/>
        </w:rPr>
        <w:t xml:space="preserve"> </w:t>
      </w:r>
      <w:r w:rsidR="00ED0F63" w:rsidRPr="005F6EE1">
        <w:rPr>
          <w:rFonts w:eastAsia="Times New Roman"/>
          <w:sz w:val="23"/>
          <w:szCs w:val="23"/>
          <w:lang w:eastAsia="en-US"/>
        </w:rPr>
        <w:t xml:space="preserve">to members and independent persons appointed by the Authority to comply with its obligations under </w:t>
      </w:r>
      <w:r w:rsidR="004D6A42" w:rsidRPr="005F6EE1">
        <w:rPr>
          <w:rFonts w:eastAsia="Times New Roman"/>
          <w:sz w:val="23"/>
          <w:szCs w:val="23"/>
          <w:lang w:eastAsia="en-US"/>
        </w:rPr>
        <w:t>t</w:t>
      </w:r>
      <w:r w:rsidR="00ED0F63" w:rsidRPr="005F6EE1">
        <w:t>he Localism Act</w:t>
      </w:r>
      <w:r w:rsidR="00ED0F63" w:rsidRPr="005F6EE1">
        <w:rPr>
          <w:sz w:val="23"/>
          <w:szCs w:val="23"/>
        </w:rPr>
        <w:t xml:space="preserve"> 2011 </w:t>
      </w:r>
      <w:r w:rsidRPr="005F6EE1">
        <w:rPr>
          <w:sz w:val="23"/>
          <w:szCs w:val="23"/>
        </w:rPr>
        <w:t>are as follows:</w:t>
      </w:r>
    </w:p>
    <w:p w14:paraId="7FFED975" w14:textId="77777777" w:rsidR="005F6EE1" w:rsidRDefault="005F6EE1" w:rsidP="0070459C">
      <w:pPr>
        <w:pStyle w:val="BlockText"/>
        <w:ind w:left="0"/>
        <w:rPr>
          <w:sz w:val="23"/>
          <w:szCs w:val="23"/>
          <w:highlight w:val="yellow"/>
        </w:rPr>
      </w:pPr>
    </w:p>
    <w:tbl>
      <w:tblPr>
        <w:tblW w:w="10360" w:type="dxa"/>
        <w:tblInd w:w="-436" w:type="dxa"/>
        <w:tblLook w:val="04A0" w:firstRow="1" w:lastRow="0" w:firstColumn="1" w:lastColumn="0" w:noHBand="0" w:noVBand="1"/>
      </w:tblPr>
      <w:tblGrid>
        <w:gridCol w:w="2040"/>
        <w:gridCol w:w="600"/>
        <w:gridCol w:w="3160"/>
        <w:gridCol w:w="760"/>
        <w:gridCol w:w="800"/>
        <w:gridCol w:w="1000"/>
        <w:gridCol w:w="1000"/>
        <w:gridCol w:w="1000"/>
      </w:tblGrid>
      <w:tr w:rsidR="0016530B" w:rsidRPr="0016530B" w14:paraId="520F5136" w14:textId="77777777" w:rsidTr="0016530B">
        <w:trPr>
          <w:trHeight w:val="1350"/>
        </w:trPr>
        <w:tc>
          <w:tcPr>
            <w:tcW w:w="2040" w:type="dxa"/>
            <w:tcBorders>
              <w:top w:val="single" w:sz="4" w:space="0" w:color="auto"/>
              <w:left w:val="single" w:sz="4" w:space="0" w:color="auto"/>
              <w:bottom w:val="nil"/>
              <w:right w:val="nil"/>
            </w:tcBorders>
            <w:shd w:val="clear" w:color="000000" w:fill="000000"/>
            <w:vAlign w:val="center"/>
            <w:hideMark/>
          </w:tcPr>
          <w:p w14:paraId="3D685C5E" w14:textId="77777777" w:rsidR="0016530B" w:rsidRPr="0016530B" w:rsidRDefault="0016530B" w:rsidP="0016530B">
            <w:pPr>
              <w:rPr>
                <w:rFonts w:cs="Arial"/>
                <w:b/>
                <w:bCs/>
                <w:color w:val="FFFFFF"/>
                <w:sz w:val="16"/>
                <w:szCs w:val="16"/>
                <w:lang w:eastAsia="en-GB"/>
              </w:rPr>
            </w:pPr>
            <w:r w:rsidRPr="0016530B">
              <w:rPr>
                <w:rFonts w:cs="Arial"/>
                <w:b/>
                <w:bCs/>
                <w:color w:val="FFFFFF"/>
                <w:sz w:val="16"/>
                <w:szCs w:val="16"/>
                <w:lang w:eastAsia="en-GB"/>
              </w:rPr>
              <w:t>Name</w:t>
            </w:r>
          </w:p>
        </w:tc>
        <w:tc>
          <w:tcPr>
            <w:tcW w:w="600" w:type="dxa"/>
            <w:tcBorders>
              <w:top w:val="single" w:sz="4" w:space="0" w:color="auto"/>
              <w:left w:val="nil"/>
              <w:bottom w:val="nil"/>
              <w:right w:val="nil"/>
            </w:tcBorders>
            <w:shd w:val="clear" w:color="000000" w:fill="000000"/>
            <w:textDirection w:val="btLr"/>
            <w:vAlign w:val="center"/>
            <w:hideMark/>
          </w:tcPr>
          <w:p w14:paraId="67AC6906" w14:textId="77777777" w:rsidR="0016530B" w:rsidRPr="0016530B" w:rsidRDefault="0016530B" w:rsidP="0016530B">
            <w:pPr>
              <w:rPr>
                <w:rFonts w:cs="Arial"/>
                <w:b/>
                <w:bCs/>
                <w:color w:val="FFFFFF"/>
                <w:sz w:val="16"/>
                <w:szCs w:val="16"/>
                <w:lang w:eastAsia="en-GB"/>
              </w:rPr>
            </w:pPr>
            <w:r w:rsidRPr="0016530B">
              <w:rPr>
                <w:rFonts w:cs="Arial"/>
                <w:b/>
                <w:bCs/>
                <w:color w:val="FFFFFF"/>
                <w:sz w:val="16"/>
                <w:szCs w:val="16"/>
                <w:lang w:eastAsia="en-GB"/>
              </w:rPr>
              <w:t> </w:t>
            </w:r>
          </w:p>
        </w:tc>
        <w:tc>
          <w:tcPr>
            <w:tcW w:w="3160" w:type="dxa"/>
            <w:tcBorders>
              <w:top w:val="single" w:sz="4" w:space="0" w:color="auto"/>
              <w:left w:val="nil"/>
              <w:bottom w:val="nil"/>
              <w:right w:val="nil"/>
            </w:tcBorders>
            <w:shd w:val="clear" w:color="000000" w:fill="000000"/>
            <w:vAlign w:val="center"/>
            <w:hideMark/>
          </w:tcPr>
          <w:p w14:paraId="5C45F414" w14:textId="77777777" w:rsidR="0016530B" w:rsidRPr="0016530B" w:rsidRDefault="0016530B" w:rsidP="0016530B">
            <w:pPr>
              <w:rPr>
                <w:rFonts w:cs="Arial"/>
                <w:b/>
                <w:bCs/>
                <w:color w:val="FFFFFF"/>
                <w:sz w:val="16"/>
                <w:szCs w:val="16"/>
                <w:lang w:eastAsia="en-GB"/>
              </w:rPr>
            </w:pPr>
            <w:r w:rsidRPr="0016530B">
              <w:rPr>
                <w:rFonts w:cs="Arial"/>
                <w:b/>
                <w:bCs/>
                <w:color w:val="FFFFFF"/>
                <w:sz w:val="16"/>
                <w:szCs w:val="16"/>
                <w:lang w:eastAsia="en-GB"/>
              </w:rPr>
              <w:t>Appointing body</w:t>
            </w:r>
          </w:p>
        </w:tc>
        <w:tc>
          <w:tcPr>
            <w:tcW w:w="760" w:type="dxa"/>
            <w:tcBorders>
              <w:top w:val="single" w:sz="4" w:space="0" w:color="auto"/>
              <w:left w:val="nil"/>
              <w:bottom w:val="nil"/>
              <w:right w:val="nil"/>
            </w:tcBorders>
            <w:shd w:val="clear" w:color="000000" w:fill="000000"/>
            <w:textDirection w:val="btLr"/>
            <w:vAlign w:val="center"/>
            <w:hideMark/>
          </w:tcPr>
          <w:p w14:paraId="02B1887F" w14:textId="77777777" w:rsidR="0016530B" w:rsidRPr="0016530B" w:rsidRDefault="0016530B" w:rsidP="0016530B">
            <w:pPr>
              <w:jc w:val="center"/>
              <w:rPr>
                <w:rFonts w:cs="Arial"/>
                <w:b/>
                <w:bCs/>
                <w:color w:val="FFFFFF"/>
                <w:sz w:val="16"/>
                <w:szCs w:val="16"/>
                <w:lang w:eastAsia="en-GB"/>
              </w:rPr>
            </w:pPr>
            <w:r w:rsidRPr="0016530B">
              <w:rPr>
                <w:rFonts w:cs="Arial"/>
                <w:b/>
                <w:bCs/>
                <w:color w:val="FFFFFF"/>
                <w:sz w:val="16"/>
                <w:szCs w:val="16"/>
                <w:lang w:eastAsia="en-GB"/>
              </w:rPr>
              <w:t>Notes</w:t>
            </w:r>
          </w:p>
        </w:tc>
        <w:tc>
          <w:tcPr>
            <w:tcW w:w="800" w:type="dxa"/>
            <w:tcBorders>
              <w:top w:val="single" w:sz="4" w:space="0" w:color="auto"/>
              <w:left w:val="nil"/>
              <w:bottom w:val="nil"/>
              <w:right w:val="nil"/>
            </w:tcBorders>
            <w:shd w:val="clear" w:color="000000" w:fill="000000"/>
            <w:textDirection w:val="btLr"/>
            <w:vAlign w:val="center"/>
            <w:hideMark/>
          </w:tcPr>
          <w:p w14:paraId="6FCE32D2" w14:textId="77777777" w:rsidR="0016530B" w:rsidRPr="0016530B" w:rsidRDefault="0016530B" w:rsidP="0016530B">
            <w:pPr>
              <w:jc w:val="center"/>
              <w:rPr>
                <w:rFonts w:cs="Arial"/>
                <w:b/>
                <w:bCs/>
                <w:color w:val="FFFFFF"/>
                <w:sz w:val="16"/>
                <w:szCs w:val="16"/>
                <w:lang w:eastAsia="en-GB"/>
              </w:rPr>
            </w:pPr>
            <w:r w:rsidRPr="0016530B">
              <w:rPr>
                <w:rFonts w:cs="Arial"/>
                <w:b/>
                <w:bCs/>
                <w:color w:val="FFFFFF"/>
                <w:sz w:val="16"/>
                <w:szCs w:val="16"/>
                <w:lang w:eastAsia="en-GB"/>
              </w:rPr>
              <w:t>Basic Allowance</w:t>
            </w:r>
          </w:p>
        </w:tc>
        <w:tc>
          <w:tcPr>
            <w:tcW w:w="1000" w:type="dxa"/>
            <w:tcBorders>
              <w:top w:val="single" w:sz="4" w:space="0" w:color="auto"/>
              <w:left w:val="nil"/>
              <w:bottom w:val="nil"/>
              <w:right w:val="nil"/>
            </w:tcBorders>
            <w:shd w:val="clear" w:color="000000" w:fill="000000"/>
            <w:textDirection w:val="btLr"/>
            <w:vAlign w:val="center"/>
            <w:hideMark/>
          </w:tcPr>
          <w:p w14:paraId="54809575" w14:textId="77777777" w:rsidR="0016530B" w:rsidRPr="0016530B" w:rsidRDefault="0016530B" w:rsidP="0016530B">
            <w:pPr>
              <w:jc w:val="center"/>
              <w:rPr>
                <w:rFonts w:cs="Arial"/>
                <w:b/>
                <w:bCs/>
                <w:color w:val="FFFFFF"/>
                <w:sz w:val="16"/>
                <w:szCs w:val="16"/>
                <w:lang w:eastAsia="en-GB"/>
              </w:rPr>
            </w:pPr>
            <w:r w:rsidRPr="0016530B">
              <w:rPr>
                <w:rFonts w:cs="Arial"/>
                <w:b/>
                <w:bCs/>
                <w:color w:val="FFFFFF"/>
                <w:sz w:val="16"/>
                <w:szCs w:val="16"/>
                <w:lang w:eastAsia="en-GB"/>
              </w:rPr>
              <w:t>Special Responsibility</w:t>
            </w:r>
          </w:p>
        </w:tc>
        <w:tc>
          <w:tcPr>
            <w:tcW w:w="1000" w:type="dxa"/>
            <w:tcBorders>
              <w:top w:val="single" w:sz="4" w:space="0" w:color="auto"/>
              <w:left w:val="nil"/>
              <w:bottom w:val="nil"/>
              <w:right w:val="nil"/>
            </w:tcBorders>
            <w:shd w:val="clear" w:color="000000" w:fill="000000"/>
            <w:textDirection w:val="btLr"/>
            <w:vAlign w:val="center"/>
            <w:hideMark/>
          </w:tcPr>
          <w:p w14:paraId="63F27AF3" w14:textId="77777777" w:rsidR="0016530B" w:rsidRPr="0016530B" w:rsidRDefault="0016530B" w:rsidP="0016530B">
            <w:pPr>
              <w:jc w:val="center"/>
              <w:rPr>
                <w:rFonts w:cs="Arial"/>
                <w:b/>
                <w:bCs/>
                <w:color w:val="FFFFFF"/>
                <w:sz w:val="16"/>
                <w:szCs w:val="16"/>
                <w:lang w:eastAsia="en-GB"/>
              </w:rPr>
            </w:pPr>
            <w:r w:rsidRPr="0016530B">
              <w:rPr>
                <w:rFonts w:cs="Arial"/>
                <w:b/>
                <w:bCs/>
                <w:color w:val="FFFFFF"/>
                <w:sz w:val="16"/>
                <w:szCs w:val="16"/>
                <w:lang w:eastAsia="en-GB"/>
              </w:rPr>
              <w:t>Travel and Subsistence</w:t>
            </w:r>
          </w:p>
        </w:tc>
        <w:tc>
          <w:tcPr>
            <w:tcW w:w="1000" w:type="dxa"/>
            <w:tcBorders>
              <w:top w:val="single" w:sz="4" w:space="0" w:color="auto"/>
              <w:left w:val="nil"/>
              <w:bottom w:val="nil"/>
              <w:right w:val="single" w:sz="4" w:space="0" w:color="auto"/>
            </w:tcBorders>
            <w:shd w:val="clear" w:color="000000" w:fill="000000"/>
            <w:textDirection w:val="btLr"/>
            <w:vAlign w:val="center"/>
            <w:hideMark/>
          </w:tcPr>
          <w:p w14:paraId="6863A71F" w14:textId="77777777" w:rsidR="0016530B" w:rsidRPr="0016530B" w:rsidRDefault="0016530B" w:rsidP="0016530B">
            <w:pPr>
              <w:jc w:val="center"/>
              <w:rPr>
                <w:rFonts w:cs="Arial"/>
                <w:b/>
                <w:bCs/>
                <w:color w:val="FFFFFF"/>
                <w:sz w:val="16"/>
                <w:szCs w:val="16"/>
                <w:lang w:eastAsia="en-GB"/>
              </w:rPr>
            </w:pPr>
            <w:r w:rsidRPr="0016530B">
              <w:rPr>
                <w:rFonts w:cs="Arial"/>
                <w:b/>
                <w:bCs/>
                <w:color w:val="FFFFFF"/>
                <w:sz w:val="16"/>
                <w:szCs w:val="16"/>
                <w:lang w:eastAsia="en-GB"/>
              </w:rPr>
              <w:t>Total</w:t>
            </w:r>
          </w:p>
        </w:tc>
      </w:tr>
      <w:tr w:rsidR="0016530B" w:rsidRPr="0016530B" w14:paraId="153F6B2F" w14:textId="77777777" w:rsidTr="0016530B">
        <w:trPr>
          <w:trHeight w:val="290"/>
        </w:trPr>
        <w:tc>
          <w:tcPr>
            <w:tcW w:w="2040" w:type="dxa"/>
            <w:tcBorders>
              <w:top w:val="nil"/>
              <w:left w:val="single" w:sz="4" w:space="0" w:color="auto"/>
              <w:bottom w:val="nil"/>
              <w:right w:val="nil"/>
            </w:tcBorders>
            <w:shd w:val="clear" w:color="000000" w:fill="000000"/>
            <w:noWrap/>
            <w:vAlign w:val="center"/>
            <w:hideMark/>
          </w:tcPr>
          <w:p w14:paraId="30AB759C" w14:textId="77777777" w:rsidR="0016530B" w:rsidRPr="0016530B" w:rsidRDefault="0016530B" w:rsidP="0016530B">
            <w:pPr>
              <w:rPr>
                <w:rFonts w:cs="Arial"/>
                <w:b/>
                <w:bCs/>
                <w:color w:val="FFFFFF"/>
                <w:sz w:val="16"/>
                <w:szCs w:val="16"/>
                <w:lang w:eastAsia="en-GB"/>
              </w:rPr>
            </w:pPr>
            <w:r w:rsidRPr="0016530B">
              <w:rPr>
                <w:rFonts w:cs="Arial"/>
                <w:b/>
                <w:bCs/>
                <w:color w:val="FFFFFF"/>
                <w:sz w:val="16"/>
                <w:szCs w:val="16"/>
                <w:lang w:eastAsia="en-GB"/>
              </w:rPr>
              <w:t> </w:t>
            </w:r>
          </w:p>
        </w:tc>
        <w:tc>
          <w:tcPr>
            <w:tcW w:w="600" w:type="dxa"/>
            <w:tcBorders>
              <w:top w:val="nil"/>
              <w:left w:val="nil"/>
              <w:bottom w:val="nil"/>
              <w:right w:val="nil"/>
            </w:tcBorders>
            <w:shd w:val="clear" w:color="000000" w:fill="000000"/>
            <w:noWrap/>
            <w:vAlign w:val="center"/>
            <w:hideMark/>
          </w:tcPr>
          <w:p w14:paraId="3CCBB837" w14:textId="77777777" w:rsidR="0016530B" w:rsidRPr="0016530B" w:rsidRDefault="0016530B" w:rsidP="0016530B">
            <w:pPr>
              <w:rPr>
                <w:rFonts w:cs="Arial"/>
                <w:b/>
                <w:bCs/>
                <w:color w:val="FFFFFF"/>
                <w:sz w:val="16"/>
                <w:szCs w:val="16"/>
                <w:lang w:eastAsia="en-GB"/>
              </w:rPr>
            </w:pPr>
            <w:r w:rsidRPr="0016530B">
              <w:rPr>
                <w:rFonts w:cs="Arial"/>
                <w:b/>
                <w:bCs/>
                <w:color w:val="FFFFFF"/>
                <w:sz w:val="16"/>
                <w:szCs w:val="16"/>
                <w:lang w:eastAsia="en-GB"/>
              </w:rPr>
              <w:t> </w:t>
            </w:r>
          </w:p>
        </w:tc>
        <w:tc>
          <w:tcPr>
            <w:tcW w:w="3160" w:type="dxa"/>
            <w:tcBorders>
              <w:top w:val="nil"/>
              <w:left w:val="nil"/>
              <w:bottom w:val="nil"/>
              <w:right w:val="nil"/>
            </w:tcBorders>
            <w:shd w:val="clear" w:color="000000" w:fill="000000"/>
            <w:noWrap/>
            <w:vAlign w:val="center"/>
            <w:hideMark/>
          </w:tcPr>
          <w:p w14:paraId="6E66E7F3" w14:textId="77777777" w:rsidR="0016530B" w:rsidRPr="0016530B" w:rsidRDefault="0016530B" w:rsidP="0016530B">
            <w:pPr>
              <w:rPr>
                <w:rFonts w:cs="Arial"/>
                <w:b/>
                <w:bCs/>
                <w:color w:val="FFFFFF"/>
                <w:sz w:val="16"/>
                <w:szCs w:val="16"/>
                <w:lang w:eastAsia="en-GB"/>
              </w:rPr>
            </w:pPr>
            <w:r w:rsidRPr="0016530B">
              <w:rPr>
                <w:rFonts w:cs="Arial"/>
                <w:b/>
                <w:bCs/>
                <w:color w:val="FFFFFF"/>
                <w:sz w:val="16"/>
                <w:szCs w:val="16"/>
                <w:lang w:eastAsia="en-GB"/>
              </w:rPr>
              <w:t> </w:t>
            </w:r>
          </w:p>
        </w:tc>
        <w:tc>
          <w:tcPr>
            <w:tcW w:w="760" w:type="dxa"/>
            <w:tcBorders>
              <w:top w:val="nil"/>
              <w:left w:val="nil"/>
              <w:bottom w:val="nil"/>
              <w:right w:val="nil"/>
            </w:tcBorders>
            <w:shd w:val="clear" w:color="000000" w:fill="000000"/>
            <w:noWrap/>
            <w:vAlign w:val="center"/>
            <w:hideMark/>
          </w:tcPr>
          <w:p w14:paraId="7CDD4A89" w14:textId="77777777" w:rsidR="0016530B" w:rsidRPr="0016530B" w:rsidRDefault="0016530B" w:rsidP="0016530B">
            <w:pPr>
              <w:jc w:val="center"/>
              <w:rPr>
                <w:rFonts w:cs="Arial"/>
                <w:b/>
                <w:bCs/>
                <w:color w:val="FFFFFF"/>
                <w:sz w:val="16"/>
                <w:szCs w:val="16"/>
                <w:lang w:eastAsia="en-GB"/>
              </w:rPr>
            </w:pPr>
            <w:r w:rsidRPr="0016530B">
              <w:rPr>
                <w:rFonts w:cs="Arial"/>
                <w:b/>
                <w:bCs/>
                <w:color w:val="FFFFFF"/>
                <w:sz w:val="16"/>
                <w:szCs w:val="16"/>
                <w:lang w:eastAsia="en-GB"/>
              </w:rPr>
              <w:t>£</w:t>
            </w:r>
          </w:p>
        </w:tc>
        <w:tc>
          <w:tcPr>
            <w:tcW w:w="800" w:type="dxa"/>
            <w:tcBorders>
              <w:top w:val="nil"/>
              <w:left w:val="nil"/>
              <w:bottom w:val="nil"/>
              <w:right w:val="nil"/>
            </w:tcBorders>
            <w:shd w:val="clear" w:color="000000" w:fill="000000"/>
            <w:noWrap/>
            <w:vAlign w:val="center"/>
            <w:hideMark/>
          </w:tcPr>
          <w:p w14:paraId="50817450" w14:textId="77777777" w:rsidR="0016530B" w:rsidRPr="0016530B" w:rsidRDefault="0016530B" w:rsidP="0016530B">
            <w:pPr>
              <w:jc w:val="center"/>
              <w:rPr>
                <w:rFonts w:cs="Arial"/>
                <w:b/>
                <w:bCs/>
                <w:color w:val="FFFFFF"/>
                <w:sz w:val="16"/>
                <w:szCs w:val="16"/>
                <w:lang w:eastAsia="en-GB"/>
              </w:rPr>
            </w:pPr>
            <w:r w:rsidRPr="0016530B">
              <w:rPr>
                <w:rFonts w:cs="Arial"/>
                <w:b/>
                <w:bCs/>
                <w:color w:val="FFFFFF"/>
                <w:sz w:val="16"/>
                <w:szCs w:val="16"/>
                <w:lang w:eastAsia="en-GB"/>
              </w:rPr>
              <w:t>£</w:t>
            </w:r>
          </w:p>
        </w:tc>
        <w:tc>
          <w:tcPr>
            <w:tcW w:w="1000" w:type="dxa"/>
            <w:tcBorders>
              <w:top w:val="nil"/>
              <w:left w:val="nil"/>
              <w:bottom w:val="nil"/>
              <w:right w:val="nil"/>
            </w:tcBorders>
            <w:shd w:val="clear" w:color="000000" w:fill="000000"/>
            <w:noWrap/>
            <w:vAlign w:val="center"/>
            <w:hideMark/>
          </w:tcPr>
          <w:p w14:paraId="1157F55C" w14:textId="77777777" w:rsidR="0016530B" w:rsidRPr="0016530B" w:rsidRDefault="0016530B" w:rsidP="0016530B">
            <w:pPr>
              <w:jc w:val="center"/>
              <w:rPr>
                <w:rFonts w:cs="Arial"/>
                <w:b/>
                <w:bCs/>
                <w:color w:val="FFFFFF"/>
                <w:sz w:val="16"/>
                <w:szCs w:val="16"/>
                <w:lang w:eastAsia="en-GB"/>
              </w:rPr>
            </w:pPr>
            <w:r w:rsidRPr="0016530B">
              <w:rPr>
                <w:rFonts w:cs="Arial"/>
                <w:b/>
                <w:bCs/>
                <w:color w:val="FFFFFF"/>
                <w:sz w:val="16"/>
                <w:szCs w:val="16"/>
                <w:lang w:eastAsia="en-GB"/>
              </w:rPr>
              <w:t>£</w:t>
            </w:r>
          </w:p>
        </w:tc>
        <w:tc>
          <w:tcPr>
            <w:tcW w:w="1000" w:type="dxa"/>
            <w:tcBorders>
              <w:top w:val="nil"/>
              <w:left w:val="nil"/>
              <w:bottom w:val="nil"/>
              <w:right w:val="nil"/>
            </w:tcBorders>
            <w:shd w:val="clear" w:color="000000" w:fill="000000"/>
            <w:noWrap/>
            <w:vAlign w:val="center"/>
            <w:hideMark/>
          </w:tcPr>
          <w:p w14:paraId="766C8B28" w14:textId="77777777" w:rsidR="0016530B" w:rsidRPr="0016530B" w:rsidRDefault="0016530B" w:rsidP="0016530B">
            <w:pPr>
              <w:jc w:val="center"/>
              <w:rPr>
                <w:rFonts w:cs="Arial"/>
                <w:b/>
                <w:bCs/>
                <w:color w:val="FFFFFF"/>
                <w:sz w:val="16"/>
                <w:szCs w:val="16"/>
                <w:lang w:eastAsia="en-GB"/>
              </w:rPr>
            </w:pPr>
            <w:r w:rsidRPr="0016530B">
              <w:rPr>
                <w:rFonts w:cs="Arial"/>
                <w:b/>
                <w:bCs/>
                <w:color w:val="FFFFFF"/>
                <w:sz w:val="16"/>
                <w:szCs w:val="16"/>
                <w:lang w:eastAsia="en-GB"/>
              </w:rPr>
              <w:t>£</w:t>
            </w:r>
          </w:p>
        </w:tc>
        <w:tc>
          <w:tcPr>
            <w:tcW w:w="1000" w:type="dxa"/>
            <w:tcBorders>
              <w:top w:val="nil"/>
              <w:left w:val="nil"/>
              <w:bottom w:val="nil"/>
              <w:right w:val="single" w:sz="4" w:space="0" w:color="auto"/>
            </w:tcBorders>
            <w:shd w:val="clear" w:color="000000" w:fill="000000"/>
            <w:noWrap/>
            <w:vAlign w:val="center"/>
            <w:hideMark/>
          </w:tcPr>
          <w:p w14:paraId="3D237B56" w14:textId="77777777" w:rsidR="0016530B" w:rsidRPr="0016530B" w:rsidRDefault="0016530B" w:rsidP="0016530B">
            <w:pPr>
              <w:jc w:val="center"/>
              <w:rPr>
                <w:rFonts w:cs="Arial"/>
                <w:b/>
                <w:bCs/>
                <w:color w:val="FFFFFF"/>
                <w:sz w:val="16"/>
                <w:szCs w:val="16"/>
                <w:lang w:eastAsia="en-GB"/>
              </w:rPr>
            </w:pPr>
            <w:r w:rsidRPr="0016530B">
              <w:rPr>
                <w:rFonts w:cs="Arial"/>
                <w:b/>
                <w:bCs/>
                <w:color w:val="FFFFFF"/>
                <w:sz w:val="16"/>
                <w:szCs w:val="16"/>
                <w:lang w:eastAsia="en-GB"/>
              </w:rPr>
              <w:t>£</w:t>
            </w:r>
          </w:p>
        </w:tc>
      </w:tr>
      <w:tr w:rsidR="0016530B" w:rsidRPr="0016530B" w14:paraId="6D0E7585"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3CFFB4DA" w14:textId="77777777" w:rsidR="0016530B" w:rsidRPr="0016530B" w:rsidRDefault="0016530B" w:rsidP="0016530B">
            <w:pPr>
              <w:rPr>
                <w:rFonts w:cs="Arial"/>
                <w:b/>
                <w:bCs/>
                <w:color w:val="000000"/>
                <w:sz w:val="16"/>
                <w:szCs w:val="16"/>
                <w:lang w:eastAsia="en-GB"/>
              </w:rPr>
            </w:pPr>
            <w:r w:rsidRPr="0016530B">
              <w:rPr>
                <w:rFonts w:cs="Arial"/>
                <w:b/>
                <w:bCs/>
                <w:color w:val="000000"/>
                <w:sz w:val="16"/>
                <w:szCs w:val="16"/>
                <w:lang w:eastAsia="en-GB"/>
              </w:rPr>
              <w:t> </w:t>
            </w:r>
          </w:p>
        </w:tc>
        <w:tc>
          <w:tcPr>
            <w:tcW w:w="600" w:type="dxa"/>
            <w:tcBorders>
              <w:top w:val="nil"/>
              <w:left w:val="nil"/>
              <w:bottom w:val="nil"/>
              <w:right w:val="nil"/>
            </w:tcBorders>
            <w:shd w:val="clear" w:color="000000" w:fill="FFFFFF"/>
            <w:noWrap/>
            <w:vAlign w:val="center"/>
            <w:hideMark/>
          </w:tcPr>
          <w:p w14:paraId="38C9F3AD" w14:textId="77777777" w:rsidR="0016530B" w:rsidRPr="0016530B" w:rsidRDefault="0016530B" w:rsidP="0016530B">
            <w:pPr>
              <w:rPr>
                <w:rFonts w:cs="Arial"/>
                <w:b/>
                <w:bCs/>
                <w:color w:val="000000"/>
                <w:sz w:val="16"/>
                <w:szCs w:val="16"/>
                <w:lang w:eastAsia="en-GB"/>
              </w:rPr>
            </w:pPr>
            <w:r w:rsidRPr="0016530B">
              <w:rPr>
                <w:rFonts w:cs="Arial"/>
                <w:b/>
                <w:bCs/>
                <w:color w:val="000000"/>
                <w:sz w:val="16"/>
                <w:szCs w:val="16"/>
                <w:lang w:eastAsia="en-GB"/>
              </w:rPr>
              <w:t> </w:t>
            </w:r>
          </w:p>
        </w:tc>
        <w:tc>
          <w:tcPr>
            <w:tcW w:w="3160" w:type="dxa"/>
            <w:tcBorders>
              <w:top w:val="nil"/>
              <w:left w:val="nil"/>
              <w:bottom w:val="nil"/>
              <w:right w:val="nil"/>
            </w:tcBorders>
            <w:shd w:val="clear" w:color="000000" w:fill="FFFFFF"/>
            <w:noWrap/>
            <w:vAlign w:val="center"/>
            <w:hideMark/>
          </w:tcPr>
          <w:p w14:paraId="3695FD94" w14:textId="77777777" w:rsidR="0016530B" w:rsidRPr="0016530B" w:rsidRDefault="0016530B" w:rsidP="0016530B">
            <w:pPr>
              <w:rPr>
                <w:rFonts w:ascii="Times New Roman" w:hAnsi="Times New Roman"/>
                <w:color w:val="000000"/>
                <w:sz w:val="20"/>
                <w:szCs w:val="20"/>
                <w:lang w:eastAsia="en-GB"/>
              </w:rPr>
            </w:pPr>
            <w:r w:rsidRPr="0016530B">
              <w:rPr>
                <w:rFonts w:ascii="Times New Roman" w:hAnsi="Times New Roman"/>
                <w:color w:val="000000"/>
                <w:sz w:val="20"/>
                <w:szCs w:val="20"/>
                <w:lang w:eastAsia="en-GB"/>
              </w:rPr>
              <w:t> </w:t>
            </w:r>
          </w:p>
        </w:tc>
        <w:tc>
          <w:tcPr>
            <w:tcW w:w="760" w:type="dxa"/>
            <w:tcBorders>
              <w:top w:val="nil"/>
              <w:left w:val="nil"/>
              <w:bottom w:val="nil"/>
              <w:right w:val="nil"/>
            </w:tcBorders>
            <w:shd w:val="clear" w:color="000000" w:fill="FFFFFF"/>
            <w:noWrap/>
            <w:vAlign w:val="center"/>
            <w:hideMark/>
          </w:tcPr>
          <w:p w14:paraId="332DE66A" w14:textId="77777777" w:rsidR="0016530B" w:rsidRPr="0016530B" w:rsidRDefault="0016530B" w:rsidP="0016530B">
            <w:pPr>
              <w:jc w:val="center"/>
              <w:rPr>
                <w:rFonts w:ascii="Times New Roman" w:hAnsi="Times New Roman"/>
                <w:color w:val="000000"/>
                <w:sz w:val="20"/>
                <w:szCs w:val="20"/>
                <w:lang w:eastAsia="en-GB"/>
              </w:rPr>
            </w:pPr>
            <w:r w:rsidRPr="0016530B">
              <w:rPr>
                <w:rFonts w:ascii="Times New Roman" w:hAnsi="Times New Roman"/>
                <w:color w:val="000000"/>
                <w:sz w:val="20"/>
                <w:szCs w:val="20"/>
                <w:lang w:eastAsia="en-GB"/>
              </w:rPr>
              <w:t> </w:t>
            </w:r>
          </w:p>
        </w:tc>
        <w:tc>
          <w:tcPr>
            <w:tcW w:w="800" w:type="dxa"/>
            <w:tcBorders>
              <w:top w:val="nil"/>
              <w:left w:val="nil"/>
              <w:bottom w:val="nil"/>
              <w:right w:val="nil"/>
            </w:tcBorders>
            <w:shd w:val="clear" w:color="000000" w:fill="FFFFFF"/>
            <w:noWrap/>
            <w:vAlign w:val="center"/>
            <w:hideMark/>
          </w:tcPr>
          <w:p w14:paraId="02ED4D93" w14:textId="77777777" w:rsidR="0016530B" w:rsidRPr="0016530B" w:rsidRDefault="0016530B" w:rsidP="0016530B">
            <w:pPr>
              <w:jc w:val="center"/>
              <w:rPr>
                <w:rFonts w:cs="Arial"/>
                <w:b/>
                <w:bCs/>
                <w:color w:val="000000"/>
                <w:sz w:val="16"/>
                <w:szCs w:val="16"/>
                <w:lang w:eastAsia="en-GB"/>
              </w:rPr>
            </w:pPr>
            <w:r w:rsidRPr="0016530B">
              <w:rPr>
                <w:rFonts w:cs="Arial"/>
                <w:b/>
                <w:bCs/>
                <w:color w:val="000000"/>
                <w:sz w:val="16"/>
                <w:szCs w:val="16"/>
                <w:lang w:eastAsia="en-GB"/>
              </w:rPr>
              <w:t> </w:t>
            </w:r>
          </w:p>
        </w:tc>
        <w:tc>
          <w:tcPr>
            <w:tcW w:w="1000" w:type="dxa"/>
            <w:tcBorders>
              <w:top w:val="nil"/>
              <w:left w:val="nil"/>
              <w:bottom w:val="nil"/>
              <w:right w:val="nil"/>
            </w:tcBorders>
            <w:shd w:val="clear" w:color="000000" w:fill="FFFFFF"/>
            <w:noWrap/>
            <w:vAlign w:val="center"/>
            <w:hideMark/>
          </w:tcPr>
          <w:p w14:paraId="64C5A471" w14:textId="77777777" w:rsidR="0016530B" w:rsidRPr="0016530B" w:rsidRDefault="0016530B" w:rsidP="0016530B">
            <w:pPr>
              <w:jc w:val="center"/>
              <w:rPr>
                <w:rFonts w:cs="Arial"/>
                <w:b/>
                <w:bCs/>
                <w:color w:val="000000"/>
                <w:sz w:val="16"/>
                <w:szCs w:val="16"/>
                <w:lang w:eastAsia="en-GB"/>
              </w:rPr>
            </w:pPr>
            <w:r w:rsidRPr="0016530B">
              <w:rPr>
                <w:rFonts w:cs="Arial"/>
                <w:b/>
                <w:bCs/>
                <w:color w:val="000000"/>
                <w:sz w:val="16"/>
                <w:szCs w:val="16"/>
                <w:lang w:eastAsia="en-GB"/>
              </w:rPr>
              <w:t> </w:t>
            </w:r>
          </w:p>
        </w:tc>
        <w:tc>
          <w:tcPr>
            <w:tcW w:w="1000" w:type="dxa"/>
            <w:tcBorders>
              <w:top w:val="nil"/>
              <w:left w:val="nil"/>
              <w:bottom w:val="nil"/>
              <w:right w:val="nil"/>
            </w:tcBorders>
            <w:shd w:val="clear" w:color="000000" w:fill="FFFFFF"/>
            <w:noWrap/>
            <w:vAlign w:val="center"/>
            <w:hideMark/>
          </w:tcPr>
          <w:p w14:paraId="0D426B0F" w14:textId="77777777" w:rsidR="0016530B" w:rsidRPr="0016530B" w:rsidRDefault="0016530B" w:rsidP="0016530B">
            <w:pPr>
              <w:jc w:val="center"/>
              <w:rPr>
                <w:rFonts w:cs="Arial"/>
                <w:b/>
                <w:bCs/>
                <w:color w:val="000000"/>
                <w:sz w:val="16"/>
                <w:szCs w:val="16"/>
                <w:lang w:eastAsia="en-GB"/>
              </w:rPr>
            </w:pPr>
            <w:r w:rsidRPr="0016530B">
              <w:rPr>
                <w:rFonts w:cs="Arial"/>
                <w:b/>
                <w:bCs/>
                <w:color w:val="000000"/>
                <w:sz w:val="16"/>
                <w:szCs w:val="16"/>
                <w:lang w:eastAsia="en-GB"/>
              </w:rPr>
              <w:t> </w:t>
            </w:r>
          </w:p>
        </w:tc>
        <w:tc>
          <w:tcPr>
            <w:tcW w:w="1000" w:type="dxa"/>
            <w:tcBorders>
              <w:top w:val="nil"/>
              <w:left w:val="nil"/>
              <w:bottom w:val="nil"/>
              <w:right w:val="single" w:sz="4" w:space="0" w:color="auto"/>
            </w:tcBorders>
            <w:shd w:val="clear" w:color="000000" w:fill="FFFFFF"/>
            <w:noWrap/>
            <w:vAlign w:val="center"/>
            <w:hideMark/>
          </w:tcPr>
          <w:p w14:paraId="4811C70F" w14:textId="77777777" w:rsidR="0016530B" w:rsidRPr="0016530B" w:rsidRDefault="0016530B" w:rsidP="0016530B">
            <w:pPr>
              <w:jc w:val="center"/>
              <w:rPr>
                <w:rFonts w:cs="Arial"/>
                <w:b/>
                <w:bCs/>
                <w:color w:val="000000"/>
                <w:sz w:val="16"/>
                <w:szCs w:val="16"/>
                <w:lang w:eastAsia="en-GB"/>
              </w:rPr>
            </w:pPr>
            <w:r w:rsidRPr="0016530B">
              <w:rPr>
                <w:rFonts w:cs="Arial"/>
                <w:b/>
                <w:bCs/>
                <w:color w:val="000000"/>
                <w:sz w:val="16"/>
                <w:szCs w:val="16"/>
                <w:lang w:eastAsia="en-GB"/>
              </w:rPr>
              <w:t> </w:t>
            </w:r>
          </w:p>
        </w:tc>
      </w:tr>
      <w:tr w:rsidR="0016530B" w:rsidRPr="0016530B" w14:paraId="42A577F7"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5EBF5ECF"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Brereton</w:t>
            </w:r>
          </w:p>
        </w:tc>
        <w:tc>
          <w:tcPr>
            <w:tcW w:w="600" w:type="dxa"/>
            <w:tcBorders>
              <w:top w:val="nil"/>
              <w:left w:val="nil"/>
              <w:bottom w:val="nil"/>
              <w:right w:val="nil"/>
            </w:tcBorders>
            <w:shd w:val="clear" w:color="000000" w:fill="FFFFFF"/>
            <w:noWrap/>
            <w:vAlign w:val="center"/>
            <w:hideMark/>
          </w:tcPr>
          <w:p w14:paraId="6EA50FD3"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M</w:t>
            </w:r>
          </w:p>
        </w:tc>
        <w:tc>
          <w:tcPr>
            <w:tcW w:w="3160" w:type="dxa"/>
            <w:tcBorders>
              <w:top w:val="nil"/>
              <w:left w:val="nil"/>
              <w:bottom w:val="nil"/>
              <w:right w:val="nil"/>
            </w:tcBorders>
            <w:shd w:val="clear" w:color="auto" w:fill="auto"/>
            <w:noWrap/>
            <w:vAlign w:val="bottom"/>
            <w:hideMark/>
          </w:tcPr>
          <w:p w14:paraId="4D5D0FAE"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Westmorland and Furness Council</w:t>
            </w:r>
          </w:p>
        </w:tc>
        <w:tc>
          <w:tcPr>
            <w:tcW w:w="760" w:type="dxa"/>
            <w:tcBorders>
              <w:top w:val="nil"/>
              <w:left w:val="nil"/>
              <w:bottom w:val="nil"/>
              <w:right w:val="nil"/>
            </w:tcBorders>
            <w:shd w:val="clear" w:color="000000" w:fill="FFFFFF"/>
            <w:noWrap/>
            <w:vAlign w:val="center"/>
            <w:hideMark/>
          </w:tcPr>
          <w:p w14:paraId="062F7422"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1</w:t>
            </w:r>
          </w:p>
        </w:tc>
        <w:tc>
          <w:tcPr>
            <w:tcW w:w="800" w:type="dxa"/>
            <w:tcBorders>
              <w:top w:val="nil"/>
              <w:left w:val="nil"/>
              <w:bottom w:val="nil"/>
              <w:right w:val="nil"/>
            </w:tcBorders>
            <w:shd w:val="clear" w:color="000000" w:fill="FFFFFF"/>
            <w:noWrap/>
            <w:vAlign w:val="center"/>
            <w:hideMark/>
          </w:tcPr>
          <w:p w14:paraId="658701BC"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2,808</w:t>
            </w:r>
          </w:p>
        </w:tc>
        <w:tc>
          <w:tcPr>
            <w:tcW w:w="1000" w:type="dxa"/>
            <w:tcBorders>
              <w:top w:val="nil"/>
              <w:left w:val="nil"/>
              <w:bottom w:val="nil"/>
              <w:right w:val="nil"/>
            </w:tcBorders>
            <w:shd w:val="clear" w:color="000000" w:fill="FFFFFF"/>
            <w:noWrap/>
            <w:vAlign w:val="center"/>
            <w:hideMark/>
          </w:tcPr>
          <w:p w14:paraId="075A6AC8"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32BF3A32"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313</w:t>
            </w:r>
          </w:p>
        </w:tc>
        <w:tc>
          <w:tcPr>
            <w:tcW w:w="1000" w:type="dxa"/>
            <w:tcBorders>
              <w:top w:val="nil"/>
              <w:left w:val="nil"/>
              <w:bottom w:val="nil"/>
              <w:right w:val="single" w:sz="4" w:space="0" w:color="auto"/>
            </w:tcBorders>
            <w:shd w:val="clear" w:color="000000" w:fill="FFFFFF"/>
            <w:noWrap/>
            <w:vAlign w:val="center"/>
            <w:hideMark/>
          </w:tcPr>
          <w:p w14:paraId="6D286B33"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3,121</w:t>
            </w:r>
          </w:p>
        </w:tc>
      </w:tr>
      <w:tr w:rsidR="0016530B" w:rsidRPr="0016530B" w14:paraId="4DA96425"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60F8230F"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Calland</w:t>
            </w:r>
          </w:p>
        </w:tc>
        <w:tc>
          <w:tcPr>
            <w:tcW w:w="600" w:type="dxa"/>
            <w:tcBorders>
              <w:top w:val="nil"/>
              <w:left w:val="nil"/>
              <w:bottom w:val="nil"/>
              <w:right w:val="nil"/>
            </w:tcBorders>
            <w:shd w:val="clear" w:color="000000" w:fill="FFFFFF"/>
            <w:noWrap/>
            <w:vAlign w:val="center"/>
            <w:hideMark/>
          </w:tcPr>
          <w:p w14:paraId="2A65D89B"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G</w:t>
            </w:r>
          </w:p>
        </w:tc>
        <w:tc>
          <w:tcPr>
            <w:tcW w:w="3160" w:type="dxa"/>
            <w:tcBorders>
              <w:top w:val="nil"/>
              <w:left w:val="nil"/>
              <w:bottom w:val="nil"/>
              <w:right w:val="nil"/>
            </w:tcBorders>
            <w:shd w:val="clear" w:color="auto" w:fill="auto"/>
            <w:noWrap/>
            <w:vAlign w:val="bottom"/>
            <w:hideMark/>
          </w:tcPr>
          <w:p w14:paraId="20338A34"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Secretary of State</w:t>
            </w:r>
          </w:p>
        </w:tc>
        <w:tc>
          <w:tcPr>
            <w:tcW w:w="760" w:type="dxa"/>
            <w:tcBorders>
              <w:top w:val="nil"/>
              <w:left w:val="nil"/>
              <w:bottom w:val="nil"/>
              <w:right w:val="nil"/>
            </w:tcBorders>
            <w:shd w:val="clear" w:color="000000" w:fill="FFFFFF"/>
            <w:noWrap/>
            <w:vAlign w:val="center"/>
            <w:hideMark/>
          </w:tcPr>
          <w:p w14:paraId="7449A2D6"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1</w:t>
            </w:r>
          </w:p>
        </w:tc>
        <w:tc>
          <w:tcPr>
            <w:tcW w:w="800" w:type="dxa"/>
            <w:tcBorders>
              <w:top w:val="nil"/>
              <w:left w:val="nil"/>
              <w:bottom w:val="nil"/>
              <w:right w:val="nil"/>
            </w:tcBorders>
            <w:shd w:val="clear" w:color="000000" w:fill="FFFFFF"/>
            <w:noWrap/>
            <w:vAlign w:val="center"/>
            <w:hideMark/>
          </w:tcPr>
          <w:p w14:paraId="47F8E38D"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2,234</w:t>
            </w:r>
          </w:p>
        </w:tc>
        <w:tc>
          <w:tcPr>
            <w:tcW w:w="1000" w:type="dxa"/>
            <w:tcBorders>
              <w:top w:val="nil"/>
              <w:left w:val="nil"/>
              <w:bottom w:val="nil"/>
              <w:right w:val="nil"/>
            </w:tcBorders>
            <w:shd w:val="clear" w:color="000000" w:fill="FFFFFF"/>
            <w:noWrap/>
            <w:vAlign w:val="center"/>
            <w:hideMark/>
          </w:tcPr>
          <w:p w14:paraId="323E8326"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233A0400"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131</w:t>
            </w:r>
          </w:p>
        </w:tc>
        <w:tc>
          <w:tcPr>
            <w:tcW w:w="1000" w:type="dxa"/>
            <w:tcBorders>
              <w:top w:val="nil"/>
              <w:left w:val="nil"/>
              <w:bottom w:val="nil"/>
              <w:right w:val="single" w:sz="4" w:space="0" w:color="auto"/>
            </w:tcBorders>
            <w:shd w:val="clear" w:color="000000" w:fill="FFFFFF"/>
            <w:noWrap/>
            <w:vAlign w:val="center"/>
            <w:hideMark/>
          </w:tcPr>
          <w:p w14:paraId="03B83A83"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2,365</w:t>
            </w:r>
          </w:p>
        </w:tc>
      </w:tr>
      <w:tr w:rsidR="0016530B" w:rsidRPr="0016530B" w14:paraId="3F71C87C"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7673ADE3"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Campbell-Savours</w:t>
            </w:r>
          </w:p>
        </w:tc>
        <w:tc>
          <w:tcPr>
            <w:tcW w:w="600" w:type="dxa"/>
            <w:tcBorders>
              <w:top w:val="nil"/>
              <w:left w:val="nil"/>
              <w:bottom w:val="nil"/>
              <w:right w:val="nil"/>
            </w:tcBorders>
            <w:shd w:val="clear" w:color="000000" w:fill="FFFFFF"/>
            <w:noWrap/>
            <w:vAlign w:val="center"/>
            <w:hideMark/>
          </w:tcPr>
          <w:p w14:paraId="4EE2E47C"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M</w:t>
            </w:r>
          </w:p>
        </w:tc>
        <w:tc>
          <w:tcPr>
            <w:tcW w:w="3160" w:type="dxa"/>
            <w:tcBorders>
              <w:top w:val="nil"/>
              <w:left w:val="nil"/>
              <w:bottom w:val="nil"/>
              <w:right w:val="nil"/>
            </w:tcBorders>
            <w:shd w:val="clear" w:color="auto" w:fill="auto"/>
            <w:noWrap/>
            <w:vAlign w:val="bottom"/>
            <w:hideMark/>
          </w:tcPr>
          <w:p w14:paraId="71644F2C"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Cumberland Council</w:t>
            </w:r>
          </w:p>
        </w:tc>
        <w:tc>
          <w:tcPr>
            <w:tcW w:w="760" w:type="dxa"/>
            <w:tcBorders>
              <w:top w:val="nil"/>
              <w:left w:val="nil"/>
              <w:bottom w:val="nil"/>
              <w:right w:val="nil"/>
            </w:tcBorders>
            <w:shd w:val="clear" w:color="000000" w:fill="FFFFFF"/>
            <w:noWrap/>
            <w:vAlign w:val="center"/>
            <w:hideMark/>
          </w:tcPr>
          <w:p w14:paraId="303E3AEE"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1</w:t>
            </w:r>
          </w:p>
        </w:tc>
        <w:tc>
          <w:tcPr>
            <w:tcW w:w="800" w:type="dxa"/>
            <w:tcBorders>
              <w:top w:val="nil"/>
              <w:left w:val="nil"/>
              <w:bottom w:val="nil"/>
              <w:right w:val="nil"/>
            </w:tcBorders>
            <w:shd w:val="clear" w:color="000000" w:fill="FFFFFF"/>
            <w:noWrap/>
            <w:vAlign w:val="center"/>
            <w:hideMark/>
          </w:tcPr>
          <w:p w14:paraId="5E677E52"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2,867</w:t>
            </w:r>
          </w:p>
        </w:tc>
        <w:tc>
          <w:tcPr>
            <w:tcW w:w="1000" w:type="dxa"/>
            <w:tcBorders>
              <w:top w:val="nil"/>
              <w:left w:val="nil"/>
              <w:bottom w:val="nil"/>
              <w:right w:val="nil"/>
            </w:tcBorders>
            <w:shd w:val="clear" w:color="000000" w:fill="FFFFFF"/>
            <w:noWrap/>
            <w:vAlign w:val="center"/>
            <w:hideMark/>
          </w:tcPr>
          <w:p w14:paraId="43660307"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3B8F0B52"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single" w:sz="4" w:space="0" w:color="auto"/>
            </w:tcBorders>
            <w:shd w:val="clear" w:color="000000" w:fill="FFFFFF"/>
            <w:noWrap/>
            <w:vAlign w:val="center"/>
            <w:hideMark/>
          </w:tcPr>
          <w:p w14:paraId="79B21237"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2,867</w:t>
            </w:r>
          </w:p>
        </w:tc>
      </w:tr>
      <w:tr w:rsidR="0016530B" w:rsidRPr="0016530B" w14:paraId="139CF346"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0B25044F"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Carter</w:t>
            </w:r>
          </w:p>
        </w:tc>
        <w:tc>
          <w:tcPr>
            <w:tcW w:w="600" w:type="dxa"/>
            <w:tcBorders>
              <w:top w:val="nil"/>
              <w:left w:val="nil"/>
              <w:bottom w:val="nil"/>
              <w:right w:val="nil"/>
            </w:tcBorders>
            <w:shd w:val="clear" w:color="000000" w:fill="FFFFFF"/>
            <w:noWrap/>
            <w:vAlign w:val="center"/>
            <w:hideMark/>
          </w:tcPr>
          <w:p w14:paraId="2622F436"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M</w:t>
            </w:r>
          </w:p>
        </w:tc>
        <w:tc>
          <w:tcPr>
            <w:tcW w:w="3160" w:type="dxa"/>
            <w:tcBorders>
              <w:top w:val="nil"/>
              <w:left w:val="nil"/>
              <w:bottom w:val="nil"/>
              <w:right w:val="nil"/>
            </w:tcBorders>
            <w:shd w:val="clear" w:color="auto" w:fill="auto"/>
            <w:noWrap/>
            <w:vAlign w:val="bottom"/>
            <w:hideMark/>
          </w:tcPr>
          <w:p w14:paraId="25FF8739"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Secretary of State</w:t>
            </w:r>
          </w:p>
        </w:tc>
        <w:tc>
          <w:tcPr>
            <w:tcW w:w="760" w:type="dxa"/>
            <w:tcBorders>
              <w:top w:val="nil"/>
              <w:left w:val="nil"/>
              <w:bottom w:val="nil"/>
              <w:right w:val="nil"/>
            </w:tcBorders>
            <w:shd w:val="clear" w:color="000000" w:fill="FFFFFF"/>
            <w:noWrap/>
            <w:vAlign w:val="center"/>
            <w:hideMark/>
          </w:tcPr>
          <w:p w14:paraId="56F353BF"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 </w:t>
            </w:r>
          </w:p>
        </w:tc>
        <w:tc>
          <w:tcPr>
            <w:tcW w:w="800" w:type="dxa"/>
            <w:tcBorders>
              <w:top w:val="nil"/>
              <w:left w:val="nil"/>
              <w:bottom w:val="nil"/>
              <w:right w:val="nil"/>
            </w:tcBorders>
            <w:shd w:val="clear" w:color="000000" w:fill="FFFFFF"/>
            <w:noWrap/>
            <w:vAlign w:val="center"/>
            <w:hideMark/>
          </w:tcPr>
          <w:p w14:paraId="4FE0AF83"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3,000</w:t>
            </w:r>
          </w:p>
        </w:tc>
        <w:tc>
          <w:tcPr>
            <w:tcW w:w="1000" w:type="dxa"/>
            <w:tcBorders>
              <w:top w:val="nil"/>
              <w:left w:val="nil"/>
              <w:bottom w:val="nil"/>
              <w:right w:val="nil"/>
            </w:tcBorders>
            <w:shd w:val="clear" w:color="000000" w:fill="FFFFFF"/>
            <w:noWrap/>
            <w:vAlign w:val="center"/>
            <w:hideMark/>
          </w:tcPr>
          <w:p w14:paraId="79BA085B" w14:textId="2EB7A761"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4</w:t>
            </w:r>
            <w:r>
              <w:rPr>
                <w:rFonts w:cs="Arial"/>
                <w:color w:val="000000"/>
                <w:sz w:val="18"/>
                <w:szCs w:val="18"/>
                <w:lang w:eastAsia="en-GB"/>
              </w:rPr>
              <w:t>,</w:t>
            </w:r>
            <w:r w:rsidRPr="0016530B">
              <w:rPr>
                <w:rFonts w:cs="Arial"/>
                <w:color w:val="000000"/>
                <w:sz w:val="18"/>
                <w:szCs w:val="18"/>
                <w:lang w:eastAsia="en-GB"/>
              </w:rPr>
              <w:t>500</w:t>
            </w:r>
          </w:p>
        </w:tc>
        <w:tc>
          <w:tcPr>
            <w:tcW w:w="1000" w:type="dxa"/>
            <w:tcBorders>
              <w:top w:val="nil"/>
              <w:left w:val="nil"/>
              <w:bottom w:val="nil"/>
              <w:right w:val="nil"/>
            </w:tcBorders>
            <w:shd w:val="clear" w:color="000000" w:fill="FFFFFF"/>
            <w:noWrap/>
            <w:vAlign w:val="center"/>
            <w:hideMark/>
          </w:tcPr>
          <w:p w14:paraId="70DF8E1B"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896</w:t>
            </w:r>
          </w:p>
        </w:tc>
        <w:tc>
          <w:tcPr>
            <w:tcW w:w="1000" w:type="dxa"/>
            <w:tcBorders>
              <w:top w:val="nil"/>
              <w:left w:val="nil"/>
              <w:bottom w:val="nil"/>
              <w:right w:val="single" w:sz="4" w:space="0" w:color="auto"/>
            </w:tcBorders>
            <w:shd w:val="clear" w:color="000000" w:fill="FFFFFF"/>
            <w:noWrap/>
            <w:vAlign w:val="center"/>
            <w:hideMark/>
          </w:tcPr>
          <w:p w14:paraId="4B5B962C"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8,396</w:t>
            </w:r>
          </w:p>
        </w:tc>
      </w:tr>
      <w:tr w:rsidR="0016530B" w:rsidRPr="0016530B" w14:paraId="2061D1C2"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072D7D61"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Clark</w:t>
            </w:r>
          </w:p>
        </w:tc>
        <w:tc>
          <w:tcPr>
            <w:tcW w:w="600" w:type="dxa"/>
            <w:tcBorders>
              <w:top w:val="nil"/>
              <w:left w:val="nil"/>
              <w:bottom w:val="nil"/>
              <w:right w:val="nil"/>
            </w:tcBorders>
            <w:shd w:val="clear" w:color="000000" w:fill="FFFFFF"/>
            <w:noWrap/>
            <w:vAlign w:val="center"/>
            <w:hideMark/>
          </w:tcPr>
          <w:p w14:paraId="772FA782"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W</w:t>
            </w:r>
          </w:p>
        </w:tc>
        <w:tc>
          <w:tcPr>
            <w:tcW w:w="3160" w:type="dxa"/>
            <w:tcBorders>
              <w:top w:val="nil"/>
              <w:left w:val="nil"/>
              <w:bottom w:val="nil"/>
              <w:right w:val="nil"/>
            </w:tcBorders>
            <w:shd w:val="clear" w:color="auto" w:fill="auto"/>
            <w:noWrap/>
            <w:vAlign w:val="bottom"/>
            <w:hideMark/>
          </w:tcPr>
          <w:p w14:paraId="7A3A2C0C"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Westmorland and Furness Council</w:t>
            </w:r>
          </w:p>
        </w:tc>
        <w:tc>
          <w:tcPr>
            <w:tcW w:w="760" w:type="dxa"/>
            <w:tcBorders>
              <w:top w:val="nil"/>
              <w:left w:val="nil"/>
              <w:bottom w:val="nil"/>
              <w:right w:val="nil"/>
            </w:tcBorders>
            <w:shd w:val="clear" w:color="000000" w:fill="FFFFFF"/>
            <w:noWrap/>
            <w:vAlign w:val="center"/>
            <w:hideMark/>
          </w:tcPr>
          <w:p w14:paraId="24B8B216"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1</w:t>
            </w:r>
          </w:p>
        </w:tc>
        <w:tc>
          <w:tcPr>
            <w:tcW w:w="800" w:type="dxa"/>
            <w:tcBorders>
              <w:top w:val="nil"/>
              <w:left w:val="nil"/>
              <w:bottom w:val="nil"/>
              <w:right w:val="nil"/>
            </w:tcBorders>
            <w:shd w:val="clear" w:color="000000" w:fill="FFFFFF"/>
            <w:noWrap/>
            <w:vAlign w:val="center"/>
            <w:hideMark/>
          </w:tcPr>
          <w:p w14:paraId="5C94B4DB"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2,808</w:t>
            </w:r>
          </w:p>
        </w:tc>
        <w:tc>
          <w:tcPr>
            <w:tcW w:w="1000" w:type="dxa"/>
            <w:tcBorders>
              <w:top w:val="nil"/>
              <w:left w:val="nil"/>
              <w:bottom w:val="nil"/>
              <w:right w:val="nil"/>
            </w:tcBorders>
            <w:shd w:val="clear" w:color="000000" w:fill="FFFFFF"/>
            <w:noWrap/>
            <w:vAlign w:val="center"/>
            <w:hideMark/>
          </w:tcPr>
          <w:p w14:paraId="4FEB1E9B"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0A02137A"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415</w:t>
            </w:r>
          </w:p>
        </w:tc>
        <w:tc>
          <w:tcPr>
            <w:tcW w:w="1000" w:type="dxa"/>
            <w:tcBorders>
              <w:top w:val="nil"/>
              <w:left w:val="nil"/>
              <w:bottom w:val="nil"/>
              <w:right w:val="single" w:sz="4" w:space="0" w:color="auto"/>
            </w:tcBorders>
            <w:shd w:val="clear" w:color="000000" w:fill="FFFFFF"/>
            <w:noWrap/>
            <w:vAlign w:val="center"/>
            <w:hideMark/>
          </w:tcPr>
          <w:p w14:paraId="0CB1E9C5"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3,223</w:t>
            </w:r>
          </w:p>
        </w:tc>
      </w:tr>
      <w:tr w:rsidR="0016530B" w:rsidRPr="0016530B" w14:paraId="4DAF43CC"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63B8B2E0"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Davies</w:t>
            </w:r>
          </w:p>
        </w:tc>
        <w:tc>
          <w:tcPr>
            <w:tcW w:w="600" w:type="dxa"/>
            <w:tcBorders>
              <w:top w:val="nil"/>
              <w:left w:val="nil"/>
              <w:bottom w:val="nil"/>
              <w:right w:val="nil"/>
            </w:tcBorders>
            <w:shd w:val="clear" w:color="000000" w:fill="FFFFFF"/>
            <w:noWrap/>
            <w:vAlign w:val="center"/>
            <w:hideMark/>
          </w:tcPr>
          <w:p w14:paraId="3FB32C71"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G</w:t>
            </w:r>
          </w:p>
        </w:tc>
        <w:tc>
          <w:tcPr>
            <w:tcW w:w="3160" w:type="dxa"/>
            <w:tcBorders>
              <w:top w:val="nil"/>
              <w:left w:val="nil"/>
              <w:bottom w:val="nil"/>
              <w:right w:val="nil"/>
            </w:tcBorders>
            <w:shd w:val="clear" w:color="auto" w:fill="auto"/>
            <w:noWrap/>
            <w:vAlign w:val="bottom"/>
            <w:hideMark/>
          </w:tcPr>
          <w:p w14:paraId="57BCC88F"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Secretary of State</w:t>
            </w:r>
          </w:p>
        </w:tc>
        <w:tc>
          <w:tcPr>
            <w:tcW w:w="760" w:type="dxa"/>
            <w:tcBorders>
              <w:top w:val="nil"/>
              <w:left w:val="nil"/>
              <w:bottom w:val="nil"/>
              <w:right w:val="nil"/>
            </w:tcBorders>
            <w:shd w:val="clear" w:color="000000" w:fill="FFFFFF"/>
            <w:noWrap/>
            <w:vAlign w:val="center"/>
            <w:hideMark/>
          </w:tcPr>
          <w:p w14:paraId="00670A2B"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2</w:t>
            </w:r>
          </w:p>
        </w:tc>
        <w:tc>
          <w:tcPr>
            <w:tcW w:w="800" w:type="dxa"/>
            <w:tcBorders>
              <w:top w:val="nil"/>
              <w:left w:val="nil"/>
              <w:bottom w:val="nil"/>
              <w:right w:val="nil"/>
            </w:tcBorders>
            <w:shd w:val="clear" w:color="000000" w:fill="FFFFFF"/>
            <w:noWrap/>
            <w:vAlign w:val="center"/>
            <w:hideMark/>
          </w:tcPr>
          <w:p w14:paraId="0BFDBC89"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750</w:t>
            </w:r>
          </w:p>
        </w:tc>
        <w:tc>
          <w:tcPr>
            <w:tcW w:w="1000" w:type="dxa"/>
            <w:tcBorders>
              <w:top w:val="nil"/>
              <w:left w:val="nil"/>
              <w:bottom w:val="nil"/>
              <w:right w:val="nil"/>
            </w:tcBorders>
            <w:shd w:val="clear" w:color="000000" w:fill="FFFFFF"/>
            <w:noWrap/>
            <w:vAlign w:val="center"/>
            <w:hideMark/>
          </w:tcPr>
          <w:p w14:paraId="20368DFE"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500</w:t>
            </w:r>
          </w:p>
        </w:tc>
        <w:tc>
          <w:tcPr>
            <w:tcW w:w="1000" w:type="dxa"/>
            <w:tcBorders>
              <w:top w:val="nil"/>
              <w:left w:val="nil"/>
              <w:bottom w:val="nil"/>
              <w:right w:val="nil"/>
            </w:tcBorders>
            <w:shd w:val="clear" w:color="000000" w:fill="FFFFFF"/>
            <w:noWrap/>
            <w:vAlign w:val="center"/>
            <w:hideMark/>
          </w:tcPr>
          <w:p w14:paraId="67F2104B"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159</w:t>
            </w:r>
          </w:p>
        </w:tc>
        <w:tc>
          <w:tcPr>
            <w:tcW w:w="1000" w:type="dxa"/>
            <w:tcBorders>
              <w:top w:val="nil"/>
              <w:left w:val="nil"/>
              <w:bottom w:val="nil"/>
              <w:right w:val="single" w:sz="4" w:space="0" w:color="auto"/>
            </w:tcBorders>
            <w:shd w:val="clear" w:color="000000" w:fill="FFFFFF"/>
            <w:noWrap/>
            <w:vAlign w:val="center"/>
            <w:hideMark/>
          </w:tcPr>
          <w:p w14:paraId="4C6805B1"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1,409</w:t>
            </w:r>
          </w:p>
        </w:tc>
      </w:tr>
      <w:tr w:rsidR="0016530B" w:rsidRPr="0016530B" w14:paraId="7E2C95A1"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57C8C38C"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Drake</w:t>
            </w:r>
          </w:p>
        </w:tc>
        <w:tc>
          <w:tcPr>
            <w:tcW w:w="600" w:type="dxa"/>
            <w:tcBorders>
              <w:top w:val="nil"/>
              <w:left w:val="nil"/>
              <w:bottom w:val="nil"/>
              <w:right w:val="nil"/>
            </w:tcBorders>
            <w:shd w:val="clear" w:color="000000" w:fill="FFFFFF"/>
            <w:noWrap/>
            <w:vAlign w:val="center"/>
            <w:hideMark/>
          </w:tcPr>
          <w:p w14:paraId="4C02B4EA"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J</w:t>
            </w:r>
          </w:p>
        </w:tc>
        <w:tc>
          <w:tcPr>
            <w:tcW w:w="3160" w:type="dxa"/>
            <w:tcBorders>
              <w:top w:val="nil"/>
              <w:left w:val="nil"/>
              <w:bottom w:val="nil"/>
              <w:right w:val="nil"/>
            </w:tcBorders>
            <w:shd w:val="clear" w:color="auto" w:fill="auto"/>
            <w:noWrap/>
            <w:vAlign w:val="bottom"/>
            <w:hideMark/>
          </w:tcPr>
          <w:p w14:paraId="1EE353CB"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Westmorland and Furness Council</w:t>
            </w:r>
          </w:p>
        </w:tc>
        <w:tc>
          <w:tcPr>
            <w:tcW w:w="760" w:type="dxa"/>
            <w:tcBorders>
              <w:top w:val="nil"/>
              <w:left w:val="nil"/>
              <w:bottom w:val="nil"/>
              <w:right w:val="nil"/>
            </w:tcBorders>
            <w:shd w:val="clear" w:color="000000" w:fill="FFFFFF"/>
            <w:noWrap/>
            <w:vAlign w:val="center"/>
            <w:hideMark/>
          </w:tcPr>
          <w:p w14:paraId="121263F9"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1</w:t>
            </w:r>
          </w:p>
        </w:tc>
        <w:tc>
          <w:tcPr>
            <w:tcW w:w="800" w:type="dxa"/>
            <w:tcBorders>
              <w:top w:val="nil"/>
              <w:left w:val="nil"/>
              <w:bottom w:val="nil"/>
              <w:right w:val="nil"/>
            </w:tcBorders>
            <w:shd w:val="clear" w:color="000000" w:fill="FFFFFF"/>
            <w:noWrap/>
            <w:vAlign w:val="center"/>
            <w:hideMark/>
          </w:tcPr>
          <w:p w14:paraId="6691F709"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2,808</w:t>
            </w:r>
          </w:p>
        </w:tc>
        <w:tc>
          <w:tcPr>
            <w:tcW w:w="1000" w:type="dxa"/>
            <w:tcBorders>
              <w:top w:val="nil"/>
              <w:left w:val="nil"/>
              <w:bottom w:val="nil"/>
              <w:right w:val="nil"/>
            </w:tcBorders>
            <w:shd w:val="clear" w:color="000000" w:fill="FFFFFF"/>
            <w:noWrap/>
            <w:vAlign w:val="center"/>
            <w:hideMark/>
          </w:tcPr>
          <w:p w14:paraId="08BEFB3A"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21B88337"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34</w:t>
            </w:r>
          </w:p>
        </w:tc>
        <w:tc>
          <w:tcPr>
            <w:tcW w:w="1000" w:type="dxa"/>
            <w:tcBorders>
              <w:top w:val="nil"/>
              <w:left w:val="nil"/>
              <w:bottom w:val="nil"/>
              <w:right w:val="single" w:sz="4" w:space="0" w:color="auto"/>
            </w:tcBorders>
            <w:shd w:val="clear" w:color="000000" w:fill="FFFFFF"/>
            <w:noWrap/>
            <w:vAlign w:val="center"/>
            <w:hideMark/>
          </w:tcPr>
          <w:p w14:paraId="3E8E8FBA"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2,842</w:t>
            </w:r>
          </w:p>
        </w:tc>
      </w:tr>
      <w:tr w:rsidR="0016530B" w:rsidRPr="0016530B" w14:paraId="69B22515"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0F753122"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Endsor</w:t>
            </w:r>
          </w:p>
        </w:tc>
        <w:tc>
          <w:tcPr>
            <w:tcW w:w="600" w:type="dxa"/>
            <w:tcBorders>
              <w:top w:val="nil"/>
              <w:left w:val="nil"/>
              <w:bottom w:val="nil"/>
              <w:right w:val="nil"/>
            </w:tcBorders>
            <w:shd w:val="clear" w:color="000000" w:fill="FFFFFF"/>
            <w:noWrap/>
            <w:vAlign w:val="center"/>
            <w:hideMark/>
          </w:tcPr>
          <w:p w14:paraId="1DEAB1B5"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P</w:t>
            </w:r>
          </w:p>
        </w:tc>
        <w:tc>
          <w:tcPr>
            <w:tcW w:w="3160" w:type="dxa"/>
            <w:tcBorders>
              <w:top w:val="nil"/>
              <w:left w:val="nil"/>
              <w:bottom w:val="nil"/>
              <w:right w:val="nil"/>
            </w:tcBorders>
            <w:shd w:val="clear" w:color="auto" w:fill="auto"/>
            <w:noWrap/>
            <w:vAlign w:val="bottom"/>
            <w:hideMark/>
          </w:tcPr>
          <w:p w14:paraId="4FB023C0" w14:textId="71B7061B" w:rsidR="0016530B" w:rsidRPr="0016530B" w:rsidRDefault="00422E0C" w:rsidP="0016530B">
            <w:pPr>
              <w:rPr>
                <w:rFonts w:cs="Arial"/>
                <w:color w:val="000000"/>
                <w:sz w:val="18"/>
                <w:szCs w:val="18"/>
                <w:lang w:eastAsia="en-GB"/>
              </w:rPr>
            </w:pPr>
            <w:r w:rsidRPr="0016530B">
              <w:rPr>
                <w:rFonts w:cs="Arial"/>
                <w:color w:val="000000"/>
                <w:sz w:val="18"/>
                <w:szCs w:val="18"/>
                <w:lang w:eastAsia="en-GB"/>
              </w:rPr>
              <w:t>Westmorland and Furness Council</w:t>
            </w:r>
          </w:p>
        </w:tc>
        <w:tc>
          <w:tcPr>
            <w:tcW w:w="760" w:type="dxa"/>
            <w:tcBorders>
              <w:top w:val="nil"/>
              <w:left w:val="nil"/>
              <w:bottom w:val="nil"/>
              <w:right w:val="nil"/>
            </w:tcBorders>
            <w:shd w:val="clear" w:color="000000" w:fill="FFFFFF"/>
            <w:noWrap/>
            <w:vAlign w:val="center"/>
            <w:hideMark/>
          </w:tcPr>
          <w:p w14:paraId="33586307"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1,2</w:t>
            </w:r>
          </w:p>
        </w:tc>
        <w:tc>
          <w:tcPr>
            <w:tcW w:w="800" w:type="dxa"/>
            <w:tcBorders>
              <w:top w:val="nil"/>
              <w:left w:val="nil"/>
              <w:bottom w:val="nil"/>
              <w:right w:val="nil"/>
            </w:tcBorders>
            <w:shd w:val="clear" w:color="000000" w:fill="FFFFFF"/>
            <w:noWrap/>
            <w:vAlign w:val="center"/>
            <w:hideMark/>
          </w:tcPr>
          <w:p w14:paraId="60DBDB0F"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302</w:t>
            </w:r>
          </w:p>
        </w:tc>
        <w:tc>
          <w:tcPr>
            <w:tcW w:w="1000" w:type="dxa"/>
            <w:tcBorders>
              <w:top w:val="nil"/>
              <w:left w:val="nil"/>
              <w:bottom w:val="nil"/>
              <w:right w:val="nil"/>
            </w:tcBorders>
            <w:shd w:val="clear" w:color="000000" w:fill="FFFFFF"/>
            <w:noWrap/>
            <w:vAlign w:val="center"/>
            <w:hideMark/>
          </w:tcPr>
          <w:p w14:paraId="6D6FAE48"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707DE635"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single" w:sz="4" w:space="0" w:color="auto"/>
            </w:tcBorders>
            <w:shd w:val="clear" w:color="000000" w:fill="FFFFFF"/>
            <w:noWrap/>
            <w:vAlign w:val="center"/>
            <w:hideMark/>
          </w:tcPr>
          <w:p w14:paraId="28F56861"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302</w:t>
            </w:r>
          </w:p>
        </w:tc>
      </w:tr>
      <w:tr w:rsidR="0016530B" w:rsidRPr="0016530B" w14:paraId="33DC88B8"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72457A48"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Hughes</w:t>
            </w:r>
          </w:p>
        </w:tc>
        <w:tc>
          <w:tcPr>
            <w:tcW w:w="600" w:type="dxa"/>
            <w:tcBorders>
              <w:top w:val="nil"/>
              <w:left w:val="nil"/>
              <w:bottom w:val="nil"/>
              <w:right w:val="nil"/>
            </w:tcBorders>
            <w:shd w:val="clear" w:color="000000" w:fill="FFFFFF"/>
            <w:noWrap/>
            <w:vAlign w:val="center"/>
            <w:hideMark/>
          </w:tcPr>
          <w:p w14:paraId="6E710C52" w14:textId="648E3970" w:rsidR="0016530B" w:rsidRPr="0016530B" w:rsidRDefault="00C17679" w:rsidP="0016530B">
            <w:pPr>
              <w:rPr>
                <w:rFonts w:cs="Arial"/>
                <w:color w:val="000000"/>
                <w:sz w:val="18"/>
                <w:szCs w:val="18"/>
                <w:lang w:eastAsia="en-GB"/>
              </w:rPr>
            </w:pPr>
            <w:r>
              <w:rPr>
                <w:rFonts w:cs="Arial"/>
                <w:color w:val="000000"/>
                <w:sz w:val="18"/>
                <w:szCs w:val="18"/>
                <w:lang w:eastAsia="en-GB"/>
              </w:rPr>
              <w:t>N</w:t>
            </w:r>
          </w:p>
        </w:tc>
        <w:tc>
          <w:tcPr>
            <w:tcW w:w="3160" w:type="dxa"/>
            <w:tcBorders>
              <w:top w:val="nil"/>
              <w:left w:val="nil"/>
              <w:bottom w:val="nil"/>
              <w:right w:val="nil"/>
            </w:tcBorders>
            <w:shd w:val="clear" w:color="auto" w:fill="auto"/>
            <w:noWrap/>
            <w:vAlign w:val="bottom"/>
            <w:hideMark/>
          </w:tcPr>
          <w:p w14:paraId="01F2A2D9"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Westmorland and Furness Council</w:t>
            </w:r>
          </w:p>
        </w:tc>
        <w:tc>
          <w:tcPr>
            <w:tcW w:w="760" w:type="dxa"/>
            <w:tcBorders>
              <w:top w:val="nil"/>
              <w:left w:val="nil"/>
              <w:bottom w:val="nil"/>
              <w:right w:val="nil"/>
            </w:tcBorders>
            <w:shd w:val="clear" w:color="000000" w:fill="FFFFFF"/>
            <w:noWrap/>
            <w:vAlign w:val="center"/>
            <w:hideMark/>
          </w:tcPr>
          <w:p w14:paraId="545E1873"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1</w:t>
            </w:r>
          </w:p>
        </w:tc>
        <w:tc>
          <w:tcPr>
            <w:tcW w:w="800" w:type="dxa"/>
            <w:tcBorders>
              <w:top w:val="nil"/>
              <w:left w:val="nil"/>
              <w:bottom w:val="nil"/>
              <w:right w:val="nil"/>
            </w:tcBorders>
            <w:shd w:val="clear" w:color="000000" w:fill="FFFFFF"/>
            <w:noWrap/>
            <w:vAlign w:val="center"/>
            <w:hideMark/>
          </w:tcPr>
          <w:p w14:paraId="38DCE7C5"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2,342</w:t>
            </w:r>
          </w:p>
        </w:tc>
        <w:tc>
          <w:tcPr>
            <w:tcW w:w="1000" w:type="dxa"/>
            <w:tcBorders>
              <w:top w:val="nil"/>
              <w:left w:val="nil"/>
              <w:bottom w:val="nil"/>
              <w:right w:val="nil"/>
            </w:tcBorders>
            <w:shd w:val="clear" w:color="000000" w:fill="FFFFFF"/>
            <w:noWrap/>
            <w:vAlign w:val="center"/>
            <w:hideMark/>
          </w:tcPr>
          <w:p w14:paraId="0DB441F1"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57527811"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112</w:t>
            </w:r>
          </w:p>
        </w:tc>
        <w:tc>
          <w:tcPr>
            <w:tcW w:w="1000" w:type="dxa"/>
            <w:tcBorders>
              <w:top w:val="nil"/>
              <w:left w:val="nil"/>
              <w:bottom w:val="nil"/>
              <w:right w:val="single" w:sz="4" w:space="0" w:color="auto"/>
            </w:tcBorders>
            <w:shd w:val="clear" w:color="000000" w:fill="FFFFFF"/>
            <w:noWrap/>
            <w:vAlign w:val="center"/>
            <w:hideMark/>
          </w:tcPr>
          <w:p w14:paraId="11D502E3"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2,454</w:t>
            </w:r>
          </w:p>
        </w:tc>
      </w:tr>
      <w:tr w:rsidR="0016530B" w:rsidRPr="0016530B" w14:paraId="7C86DFDF"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2E75D4E9"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Hughes</w:t>
            </w:r>
          </w:p>
        </w:tc>
        <w:tc>
          <w:tcPr>
            <w:tcW w:w="600" w:type="dxa"/>
            <w:tcBorders>
              <w:top w:val="nil"/>
              <w:left w:val="nil"/>
              <w:bottom w:val="nil"/>
              <w:right w:val="nil"/>
            </w:tcBorders>
            <w:shd w:val="clear" w:color="000000" w:fill="FFFFFF"/>
            <w:noWrap/>
            <w:vAlign w:val="center"/>
            <w:hideMark/>
          </w:tcPr>
          <w:p w14:paraId="7975AEDB" w14:textId="5771138A" w:rsidR="0016530B" w:rsidRPr="0016530B" w:rsidRDefault="00C17679" w:rsidP="0016530B">
            <w:pPr>
              <w:rPr>
                <w:rFonts w:cs="Arial"/>
                <w:color w:val="000000"/>
                <w:sz w:val="18"/>
                <w:szCs w:val="18"/>
                <w:lang w:eastAsia="en-GB"/>
              </w:rPr>
            </w:pPr>
            <w:r>
              <w:rPr>
                <w:rFonts w:cs="Arial"/>
                <w:color w:val="000000"/>
                <w:sz w:val="18"/>
                <w:szCs w:val="18"/>
                <w:lang w:eastAsia="en-GB"/>
              </w:rPr>
              <w:t>V</w:t>
            </w:r>
          </w:p>
        </w:tc>
        <w:tc>
          <w:tcPr>
            <w:tcW w:w="3160" w:type="dxa"/>
            <w:tcBorders>
              <w:top w:val="nil"/>
              <w:left w:val="nil"/>
              <w:bottom w:val="nil"/>
              <w:right w:val="nil"/>
            </w:tcBorders>
            <w:shd w:val="clear" w:color="auto" w:fill="auto"/>
            <w:noWrap/>
            <w:vAlign w:val="bottom"/>
            <w:hideMark/>
          </w:tcPr>
          <w:p w14:paraId="32C1FAF3"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Westmorland and Furness Council</w:t>
            </w:r>
          </w:p>
        </w:tc>
        <w:tc>
          <w:tcPr>
            <w:tcW w:w="760" w:type="dxa"/>
            <w:tcBorders>
              <w:top w:val="nil"/>
              <w:left w:val="nil"/>
              <w:bottom w:val="nil"/>
              <w:right w:val="nil"/>
            </w:tcBorders>
            <w:shd w:val="clear" w:color="000000" w:fill="FFFFFF"/>
            <w:noWrap/>
            <w:vAlign w:val="center"/>
            <w:hideMark/>
          </w:tcPr>
          <w:p w14:paraId="56C50BA0"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1</w:t>
            </w:r>
          </w:p>
        </w:tc>
        <w:tc>
          <w:tcPr>
            <w:tcW w:w="800" w:type="dxa"/>
            <w:tcBorders>
              <w:top w:val="nil"/>
              <w:left w:val="nil"/>
              <w:bottom w:val="nil"/>
              <w:right w:val="nil"/>
            </w:tcBorders>
            <w:shd w:val="clear" w:color="000000" w:fill="FFFFFF"/>
            <w:noWrap/>
            <w:vAlign w:val="center"/>
            <w:hideMark/>
          </w:tcPr>
          <w:p w14:paraId="605BE0AD"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2,808</w:t>
            </w:r>
          </w:p>
        </w:tc>
        <w:tc>
          <w:tcPr>
            <w:tcW w:w="1000" w:type="dxa"/>
            <w:tcBorders>
              <w:top w:val="nil"/>
              <w:left w:val="nil"/>
              <w:bottom w:val="nil"/>
              <w:right w:val="nil"/>
            </w:tcBorders>
            <w:shd w:val="clear" w:color="000000" w:fill="FFFFFF"/>
            <w:noWrap/>
            <w:vAlign w:val="center"/>
            <w:hideMark/>
          </w:tcPr>
          <w:p w14:paraId="3FC727BC"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564C3DCC"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60</w:t>
            </w:r>
          </w:p>
        </w:tc>
        <w:tc>
          <w:tcPr>
            <w:tcW w:w="1000" w:type="dxa"/>
            <w:tcBorders>
              <w:top w:val="nil"/>
              <w:left w:val="nil"/>
              <w:bottom w:val="nil"/>
              <w:right w:val="single" w:sz="4" w:space="0" w:color="auto"/>
            </w:tcBorders>
            <w:shd w:val="clear" w:color="000000" w:fill="FFFFFF"/>
            <w:noWrap/>
            <w:vAlign w:val="center"/>
            <w:hideMark/>
          </w:tcPr>
          <w:p w14:paraId="45EBA788"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2,868</w:t>
            </w:r>
          </w:p>
        </w:tc>
      </w:tr>
      <w:tr w:rsidR="0016530B" w:rsidRPr="0016530B" w14:paraId="12BBF1F4"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5D477B8D"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Hunt (MBE)</w:t>
            </w:r>
          </w:p>
        </w:tc>
        <w:tc>
          <w:tcPr>
            <w:tcW w:w="600" w:type="dxa"/>
            <w:tcBorders>
              <w:top w:val="nil"/>
              <w:left w:val="nil"/>
              <w:bottom w:val="nil"/>
              <w:right w:val="nil"/>
            </w:tcBorders>
            <w:shd w:val="clear" w:color="000000" w:fill="FFFFFF"/>
            <w:noWrap/>
            <w:vAlign w:val="center"/>
            <w:hideMark/>
          </w:tcPr>
          <w:p w14:paraId="1A5BAEB6"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T</w:t>
            </w:r>
          </w:p>
        </w:tc>
        <w:tc>
          <w:tcPr>
            <w:tcW w:w="3160" w:type="dxa"/>
            <w:tcBorders>
              <w:top w:val="nil"/>
              <w:left w:val="nil"/>
              <w:bottom w:val="nil"/>
              <w:right w:val="nil"/>
            </w:tcBorders>
            <w:shd w:val="clear" w:color="auto" w:fill="auto"/>
            <w:noWrap/>
            <w:vAlign w:val="bottom"/>
            <w:hideMark/>
          </w:tcPr>
          <w:p w14:paraId="4A4A3177"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Secretary of State</w:t>
            </w:r>
          </w:p>
        </w:tc>
        <w:tc>
          <w:tcPr>
            <w:tcW w:w="760" w:type="dxa"/>
            <w:tcBorders>
              <w:top w:val="nil"/>
              <w:left w:val="nil"/>
              <w:bottom w:val="nil"/>
              <w:right w:val="nil"/>
            </w:tcBorders>
            <w:shd w:val="clear" w:color="000000" w:fill="FFFFFF"/>
            <w:noWrap/>
            <w:vAlign w:val="center"/>
            <w:hideMark/>
          </w:tcPr>
          <w:p w14:paraId="1B5888A9"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 </w:t>
            </w:r>
          </w:p>
        </w:tc>
        <w:tc>
          <w:tcPr>
            <w:tcW w:w="800" w:type="dxa"/>
            <w:tcBorders>
              <w:top w:val="nil"/>
              <w:left w:val="nil"/>
              <w:bottom w:val="nil"/>
              <w:right w:val="nil"/>
            </w:tcBorders>
            <w:shd w:val="clear" w:color="000000" w:fill="FFFFFF"/>
            <w:noWrap/>
            <w:vAlign w:val="center"/>
            <w:hideMark/>
          </w:tcPr>
          <w:p w14:paraId="2E7F7A7C"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3,000</w:t>
            </w:r>
          </w:p>
        </w:tc>
        <w:tc>
          <w:tcPr>
            <w:tcW w:w="1000" w:type="dxa"/>
            <w:tcBorders>
              <w:top w:val="nil"/>
              <w:left w:val="nil"/>
              <w:bottom w:val="nil"/>
              <w:right w:val="nil"/>
            </w:tcBorders>
            <w:shd w:val="clear" w:color="000000" w:fill="FFFFFF"/>
            <w:noWrap/>
            <w:vAlign w:val="center"/>
            <w:hideMark/>
          </w:tcPr>
          <w:p w14:paraId="6B8ABEA3" w14:textId="5208D680"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6</w:t>
            </w:r>
            <w:r>
              <w:rPr>
                <w:rFonts w:cs="Arial"/>
                <w:color w:val="000000"/>
                <w:sz w:val="18"/>
                <w:szCs w:val="18"/>
                <w:lang w:eastAsia="en-GB"/>
              </w:rPr>
              <w:t>,</w:t>
            </w:r>
            <w:r w:rsidRPr="0016530B">
              <w:rPr>
                <w:rFonts w:cs="Arial"/>
                <w:color w:val="000000"/>
                <w:sz w:val="18"/>
                <w:szCs w:val="18"/>
                <w:lang w:eastAsia="en-GB"/>
              </w:rPr>
              <w:t>000</w:t>
            </w:r>
          </w:p>
        </w:tc>
        <w:tc>
          <w:tcPr>
            <w:tcW w:w="1000" w:type="dxa"/>
            <w:tcBorders>
              <w:top w:val="nil"/>
              <w:left w:val="nil"/>
              <w:bottom w:val="nil"/>
              <w:right w:val="nil"/>
            </w:tcBorders>
            <w:shd w:val="clear" w:color="000000" w:fill="FFFFFF"/>
            <w:noWrap/>
            <w:vAlign w:val="center"/>
            <w:hideMark/>
          </w:tcPr>
          <w:p w14:paraId="44C05A04" w14:textId="569CF62D"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1</w:t>
            </w:r>
            <w:r>
              <w:rPr>
                <w:rFonts w:cs="Arial"/>
                <w:color w:val="000000"/>
                <w:sz w:val="18"/>
                <w:szCs w:val="18"/>
                <w:lang w:eastAsia="en-GB"/>
              </w:rPr>
              <w:t>,</w:t>
            </w:r>
            <w:r w:rsidRPr="0016530B">
              <w:rPr>
                <w:rFonts w:cs="Arial"/>
                <w:color w:val="000000"/>
                <w:sz w:val="18"/>
                <w:szCs w:val="18"/>
                <w:lang w:eastAsia="en-GB"/>
              </w:rPr>
              <w:t>193</w:t>
            </w:r>
          </w:p>
        </w:tc>
        <w:tc>
          <w:tcPr>
            <w:tcW w:w="1000" w:type="dxa"/>
            <w:tcBorders>
              <w:top w:val="nil"/>
              <w:left w:val="nil"/>
              <w:bottom w:val="nil"/>
              <w:right w:val="single" w:sz="4" w:space="0" w:color="auto"/>
            </w:tcBorders>
            <w:shd w:val="clear" w:color="000000" w:fill="FFFFFF"/>
            <w:noWrap/>
            <w:vAlign w:val="center"/>
            <w:hideMark/>
          </w:tcPr>
          <w:p w14:paraId="224A2D63"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10,193</w:t>
            </w:r>
          </w:p>
        </w:tc>
      </w:tr>
      <w:tr w:rsidR="0016530B" w:rsidRPr="0016530B" w14:paraId="1CF0A477"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4F3DDFF4"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Jackson</w:t>
            </w:r>
          </w:p>
        </w:tc>
        <w:tc>
          <w:tcPr>
            <w:tcW w:w="600" w:type="dxa"/>
            <w:tcBorders>
              <w:top w:val="nil"/>
              <w:left w:val="nil"/>
              <w:bottom w:val="nil"/>
              <w:right w:val="nil"/>
            </w:tcBorders>
            <w:shd w:val="clear" w:color="000000" w:fill="FFFFFF"/>
            <w:noWrap/>
            <w:vAlign w:val="center"/>
            <w:hideMark/>
          </w:tcPr>
          <w:p w14:paraId="13C563F7"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J</w:t>
            </w:r>
          </w:p>
        </w:tc>
        <w:tc>
          <w:tcPr>
            <w:tcW w:w="3160" w:type="dxa"/>
            <w:tcBorders>
              <w:top w:val="nil"/>
              <w:left w:val="nil"/>
              <w:bottom w:val="nil"/>
              <w:right w:val="nil"/>
            </w:tcBorders>
            <w:shd w:val="clear" w:color="auto" w:fill="auto"/>
            <w:noWrap/>
            <w:vAlign w:val="bottom"/>
            <w:hideMark/>
          </w:tcPr>
          <w:p w14:paraId="1698C9C8"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Secretary of State</w:t>
            </w:r>
          </w:p>
        </w:tc>
        <w:tc>
          <w:tcPr>
            <w:tcW w:w="760" w:type="dxa"/>
            <w:tcBorders>
              <w:top w:val="nil"/>
              <w:left w:val="nil"/>
              <w:bottom w:val="nil"/>
              <w:right w:val="nil"/>
            </w:tcBorders>
            <w:shd w:val="clear" w:color="000000" w:fill="FFFFFF"/>
            <w:noWrap/>
            <w:vAlign w:val="center"/>
            <w:hideMark/>
          </w:tcPr>
          <w:p w14:paraId="7E81C955"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 </w:t>
            </w:r>
          </w:p>
        </w:tc>
        <w:tc>
          <w:tcPr>
            <w:tcW w:w="800" w:type="dxa"/>
            <w:tcBorders>
              <w:top w:val="nil"/>
              <w:left w:val="nil"/>
              <w:bottom w:val="nil"/>
              <w:right w:val="nil"/>
            </w:tcBorders>
            <w:shd w:val="clear" w:color="000000" w:fill="FFFFFF"/>
            <w:noWrap/>
            <w:vAlign w:val="center"/>
            <w:hideMark/>
          </w:tcPr>
          <w:p w14:paraId="5415AD40"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3,000</w:t>
            </w:r>
          </w:p>
        </w:tc>
        <w:tc>
          <w:tcPr>
            <w:tcW w:w="1000" w:type="dxa"/>
            <w:tcBorders>
              <w:top w:val="nil"/>
              <w:left w:val="nil"/>
              <w:bottom w:val="nil"/>
              <w:right w:val="nil"/>
            </w:tcBorders>
            <w:shd w:val="clear" w:color="000000" w:fill="FFFFFF"/>
            <w:noWrap/>
            <w:vAlign w:val="center"/>
            <w:hideMark/>
          </w:tcPr>
          <w:p w14:paraId="5EA45554" w14:textId="1CD9290F"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w:t>
            </w:r>
            <w:r>
              <w:rPr>
                <w:rFonts w:cs="Arial"/>
                <w:color w:val="000000"/>
                <w:sz w:val="18"/>
                <w:szCs w:val="18"/>
                <w:lang w:eastAsia="en-GB"/>
              </w:rPr>
              <w:t>,</w:t>
            </w:r>
            <w:r w:rsidRPr="0016530B">
              <w:rPr>
                <w:rFonts w:cs="Arial"/>
                <w:color w:val="000000"/>
                <w:sz w:val="18"/>
                <w:szCs w:val="18"/>
                <w:lang w:eastAsia="en-GB"/>
              </w:rPr>
              <w:t>000</w:t>
            </w:r>
          </w:p>
        </w:tc>
        <w:tc>
          <w:tcPr>
            <w:tcW w:w="1000" w:type="dxa"/>
            <w:tcBorders>
              <w:top w:val="nil"/>
              <w:left w:val="nil"/>
              <w:bottom w:val="nil"/>
              <w:right w:val="nil"/>
            </w:tcBorders>
            <w:shd w:val="clear" w:color="000000" w:fill="FFFFFF"/>
            <w:noWrap/>
            <w:vAlign w:val="center"/>
            <w:hideMark/>
          </w:tcPr>
          <w:p w14:paraId="616A52A0"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44</w:t>
            </w:r>
          </w:p>
        </w:tc>
        <w:tc>
          <w:tcPr>
            <w:tcW w:w="1000" w:type="dxa"/>
            <w:tcBorders>
              <w:top w:val="nil"/>
              <w:left w:val="nil"/>
              <w:bottom w:val="nil"/>
              <w:right w:val="single" w:sz="4" w:space="0" w:color="auto"/>
            </w:tcBorders>
            <w:shd w:val="clear" w:color="000000" w:fill="FFFFFF"/>
            <w:noWrap/>
            <w:vAlign w:val="center"/>
            <w:hideMark/>
          </w:tcPr>
          <w:p w14:paraId="46F0BF88"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5,044</w:t>
            </w:r>
          </w:p>
        </w:tc>
      </w:tr>
      <w:tr w:rsidR="0016530B" w:rsidRPr="0016530B" w14:paraId="50C94CE5"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56E23DD3"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Jones-Bulman</w:t>
            </w:r>
          </w:p>
        </w:tc>
        <w:tc>
          <w:tcPr>
            <w:tcW w:w="600" w:type="dxa"/>
            <w:tcBorders>
              <w:top w:val="nil"/>
              <w:left w:val="nil"/>
              <w:bottom w:val="nil"/>
              <w:right w:val="nil"/>
            </w:tcBorders>
            <w:shd w:val="clear" w:color="000000" w:fill="FFFFFF"/>
            <w:noWrap/>
            <w:vAlign w:val="center"/>
            <w:hideMark/>
          </w:tcPr>
          <w:p w14:paraId="406AA444"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L</w:t>
            </w:r>
          </w:p>
        </w:tc>
        <w:tc>
          <w:tcPr>
            <w:tcW w:w="3160" w:type="dxa"/>
            <w:tcBorders>
              <w:top w:val="nil"/>
              <w:left w:val="nil"/>
              <w:bottom w:val="nil"/>
              <w:right w:val="nil"/>
            </w:tcBorders>
            <w:shd w:val="clear" w:color="auto" w:fill="auto"/>
            <w:noWrap/>
            <w:vAlign w:val="bottom"/>
            <w:hideMark/>
          </w:tcPr>
          <w:p w14:paraId="562C8BA9"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Cumberland Council</w:t>
            </w:r>
          </w:p>
        </w:tc>
        <w:tc>
          <w:tcPr>
            <w:tcW w:w="760" w:type="dxa"/>
            <w:tcBorders>
              <w:top w:val="nil"/>
              <w:left w:val="nil"/>
              <w:bottom w:val="nil"/>
              <w:right w:val="nil"/>
            </w:tcBorders>
            <w:shd w:val="clear" w:color="000000" w:fill="FFFFFF"/>
            <w:noWrap/>
            <w:vAlign w:val="center"/>
            <w:hideMark/>
          </w:tcPr>
          <w:p w14:paraId="05F6ACC3"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1</w:t>
            </w:r>
          </w:p>
        </w:tc>
        <w:tc>
          <w:tcPr>
            <w:tcW w:w="800" w:type="dxa"/>
            <w:tcBorders>
              <w:top w:val="nil"/>
              <w:left w:val="nil"/>
              <w:bottom w:val="nil"/>
              <w:right w:val="nil"/>
            </w:tcBorders>
            <w:shd w:val="clear" w:color="000000" w:fill="FFFFFF"/>
            <w:noWrap/>
            <w:vAlign w:val="center"/>
            <w:hideMark/>
          </w:tcPr>
          <w:p w14:paraId="634E6A90"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2,867</w:t>
            </w:r>
          </w:p>
        </w:tc>
        <w:tc>
          <w:tcPr>
            <w:tcW w:w="1000" w:type="dxa"/>
            <w:tcBorders>
              <w:top w:val="nil"/>
              <w:left w:val="nil"/>
              <w:bottom w:val="nil"/>
              <w:right w:val="nil"/>
            </w:tcBorders>
            <w:shd w:val="clear" w:color="000000" w:fill="FFFFFF"/>
            <w:noWrap/>
            <w:vAlign w:val="center"/>
            <w:hideMark/>
          </w:tcPr>
          <w:p w14:paraId="525AF938"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0717AA32"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109</w:t>
            </w:r>
          </w:p>
        </w:tc>
        <w:tc>
          <w:tcPr>
            <w:tcW w:w="1000" w:type="dxa"/>
            <w:tcBorders>
              <w:top w:val="nil"/>
              <w:left w:val="nil"/>
              <w:bottom w:val="nil"/>
              <w:right w:val="single" w:sz="4" w:space="0" w:color="auto"/>
            </w:tcBorders>
            <w:shd w:val="clear" w:color="000000" w:fill="FFFFFF"/>
            <w:noWrap/>
            <w:vAlign w:val="center"/>
            <w:hideMark/>
          </w:tcPr>
          <w:p w14:paraId="31E8F344"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2,976</w:t>
            </w:r>
          </w:p>
        </w:tc>
      </w:tr>
      <w:tr w:rsidR="0016530B" w:rsidRPr="0016530B" w14:paraId="15D8E7E4"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5597DB2F"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 xml:space="preserve">Kidd                                   </w:t>
            </w:r>
          </w:p>
        </w:tc>
        <w:tc>
          <w:tcPr>
            <w:tcW w:w="600" w:type="dxa"/>
            <w:tcBorders>
              <w:top w:val="nil"/>
              <w:left w:val="nil"/>
              <w:bottom w:val="nil"/>
              <w:right w:val="nil"/>
            </w:tcBorders>
            <w:shd w:val="clear" w:color="000000" w:fill="FFFFFF"/>
            <w:noWrap/>
            <w:vAlign w:val="center"/>
            <w:hideMark/>
          </w:tcPr>
          <w:p w14:paraId="3DC08CCA"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M</w:t>
            </w:r>
          </w:p>
        </w:tc>
        <w:tc>
          <w:tcPr>
            <w:tcW w:w="3160" w:type="dxa"/>
            <w:tcBorders>
              <w:top w:val="nil"/>
              <w:left w:val="nil"/>
              <w:bottom w:val="nil"/>
              <w:right w:val="nil"/>
            </w:tcBorders>
            <w:shd w:val="clear" w:color="auto" w:fill="auto"/>
            <w:noWrap/>
            <w:vAlign w:val="bottom"/>
            <w:hideMark/>
          </w:tcPr>
          <w:p w14:paraId="1EE5FEBF"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Secretary of State</w:t>
            </w:r>
          </w:p>
        </w:tc>
        <w:tc>
          <w:tcPr>
            <w:tcW w:w="760" w:type="dxa"/>
            <w:tcBorders>
              <w:top w:val="nil"/>
              <w:left w:val="nil"/>
              <w:bottom w:val="nil"/>
              <w:right w:val="nil"/>
            </w:tcBorders>
            <w:shd w:val="clear" w:color="000000" w:fill="FFFFFF"/>
            <w:noWrap/>
            <w:vAlign w:val="center"/>
            <w:hideMark/>
          </w:tcPr>
          <w:p w14:paraId="786AA54C"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 </w:t>
            </w:r>
          </w:p>
        </w:tc>
        <w:tc>
          <w:tcPr>
            <w:tcW w:w="800" w:type="dxa"/>
            <w:tcBorders>
              <w:top w:val="nil"/>
              <w:left w:val="nil"/>
              <w:bottom w:val="nil"/>
              <w:right w:val="nil"/>
            </w:tcBorders>
            <w:shd w:val="clear" w:color="000000" w:fill="FFFFFF"/>
            <w:noWrap/>
            <w:vAlign w:val="center"/>
            <w:hideMark/>
          </w:tcPr>
          <w:p w14:paraId="2E54527E"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3,000</w:t>
            </w:r>
          </w:p>
        </w:tc>
        <w:tc>
          <w:tcPr>
            <w:tcW w:w="1000" w:type="dxa"/>
            <w:tcBorders>
              <w:top w:val="nil"/>
              <w:left w:val="nil"/>
              <w:bottom w:val="nil"/>
              <w:right w:val="nil"/>
            </w:tcBorders>
            <w:shd w:val="clear" w:color="000000" w:fill="FFFFFF"/>
            <w:noWrap/>
            <w:vAlign w:val="center"/>
            <w:hideMark/>
          </w:tcPr>
          <w:p w14:paraId="73ED653E" w14:textId="3819D33A"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w:t>
            </w:r>
            <w:r>
              <w:rPr>
                <w:rFonts w:cs="Arial"/>
                <w:color w:val="000000"/>
                <w:sz w:val="18"/>
                <w:szCs w:val="18"/>
                <w:lang w:eastAsia="en-GB"/>
              </w:rPr>
              <w:t>,</w:t>
            </w:r>
            <w:r w:rsidRPr="0016530B">
              <w:rPr>
                <w:rFonts w:cs="Arial"/>
                <w:color w:val="000000"/>
                <w:sz w:val="18"/>
                <w:szCs w:val="18"/>
                <w:lang w:eastAsia="en-GB"/>
              </w:rPr>
              <w:t>000</w:t>
            </w:r>
          </w:p>
        </w:tc>
        <w:tc>
          <w:tcPr>
            <w:tcW w:w="1000" w:type="dxa"/>
            <w:tcBorders>
              <w:top w:val="nil"/>
              <w:left w:val="nil"/>
              <w:bottom w:val="nil"/>
              <w:right w:val="nil"/>
            </w:tcBorders>
            <w:shd w:val="clear" w:color="000000" w:fill="FFFFFF"/>
            <w:noWrap/>
            <w:vAlign w:val="center"/>
            <w:hideMark/>
          </w:tcPr>
          <w:p w14:paraId="7551E193"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201</w:t>
            </w:r>
          </w:p>
        </w:tc>
        <w:tc>
          <w:tcPr>
            <w:tcW w:w="1000" w:type="dxa"/>
            <w:tcBorders>
              <w:top w:val="nil"/>
              <w:left w:val="nil"/>
              <w:bottom w:val="nil"/>
              <w:right w:val="single" w:sz="4" w:space="0" w:color="auto"/>
            </w:tcBorders>
            <w:shd w:val="clear" w:color="000000" w:fill="FFFFFF"/>
            <w:noWrap/>
            <w:vAlign w:val="center"/>
            <w:hideMark/>
          </w:tcPr>
          <w:p w14:paraId="6147AD86"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5,201</w:t>
            </w:r>
          </w:p>
        </w:tc>
      </w:tr>
      <w:tr w:rsidR="0016530B" w:rsidRPr="0016530B" w14:paraId="65CEC5FE"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3D44D31F"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Lywood</w:t>
            </w:r>
          </w:p>
        </w:tc>
        <w:tc>
          <w:tcPr>
            <w:tcW w:w="600" w:type="dxa"/>
            <w:tcBorders>
              <w:top w:val="nil"/>
              <w:left w:val="nil"/>
              <w:bottom w:val="nil"/>
              <w:right w:val="nil"/>
            </w:tcBorders>
            <w:shd w:val="clear" w:color="000000" w:fill="FFFFFF"/>
            <w:noWrap/>
            <w:vAlign w:val="center"/>
            <w:hideMark/>
          </w:tcPr>
          <w:p w14:paraId="14641612"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T</w:t>
            </w:r>
          </w:p>
        </w:tc>
        <w:tc>
          <w:tcPr>
            <w:tcW w:w="3160" w:type="dxa"/>
            <w:tcBorders>
              <w:top w:val="nil"/>
              <w:left w:val="nil"/>
              <w:bottom w:val="nil"/>
              <w:right w:val="nil"/>
            </w:tcBorders>
            <w:shd w:val="clear" w:color="auto" w:fill="auto"/>
            <w:noWrap/>
            <w:vAlign w:val="bottom"/>
            <w:hideMark/>
          </w:tcPr>
          <w:p w14:paraId="5EAF60CB" w14:textId="69FFFEA6" w:rsidR="0016530B" w:rsidRPr="0016530B" w:rsidRDefault="0016530B" w:rsidP="0016530B">
            <w:pPr>
              <w:rPr>
                <w:rFonts w:cs="Arial"/>
                <w:color w:val="000000"/>
                <w:sz w:val="18"/>
                <w:szCs w:val="18"/>
                <w:lang w:eastAsia="en-GB"/>
              </w:rPr>
            </w:pPr>
            <w:r>
              <w:rPr>
                <w:rFonts w:cs="Arial"/>
                <w:color w:val="000000"/>
                <w:sz w:val="18"/>
                <w:szCs w:val="18"/>
                <w:lang w:eastAsia="en-GB"/>
              </w:rPr>
              <w:t>Former</w:t>
            </w:r>
            <w:r w:rsidRPr="0016530B">
              <w:rPr>
                <w:rFonts w:cs="Arial"/>
                <w:color w:val="000000"/>
                <w:sz w:val="18"/>
                <w:szCs w:val="18"/>
                <w:lang w:eastAsia="en-GB"/>
              </w:rPr>
              <w:t xml:space="preserve"> member</w:t>
            </w:r>
          </w:p>
        </w:tc>
        <w:tc>
          <w:tcPr>
            <w:tcW w:w="760" w:type="dxa"/>
            <w:tcBorders>
              <w:top w:val="nil"/>
              <w:left w:val="nil"/>
              <w:bottom w:val="nil"/>
              <w:right w:val="nil"/>
            </w:tcBorders>
            <w:shd w:val="clear" w:color="000000" w:fill="FFFFFF"/>
            <w:noWrap/>
            <w:vAlign w:val="center"/>
            <w:hideMark/>
          </w:tcPr>
          <w:p w14:paraId="092124B1"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3</w:t>
            </w:r>
          </w:p>
        </w:tc>
        <w:tc>
          <w:tcPr>
            <w:tcW w:w="800" w:type="dxa"/>
            <w:tcBorders>
              <w:top w:val="nil"/>
              <w:left w:val="nil"/>
              <w:bottom w:val="nil"/>
              <w:right w:val="nil"/>
            </w:tcBorders>
            <w:shd w:val="clear" w:color="000000" w:fill="FFFFFF"/>
            <w:noWrap/>
            <w:vAlign w:val="center"/>
            <w:hideMark/>
          </w:tcPr>
          <w:p w14:paraId="57893EB7"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4737D6F6"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443E6519"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44</w:t>
            </w:r>
          </w:p>
        </w:tc>
        <w:tc>
          <w:tcPr>
            <w:tcW w:w="1000" w:type="dxa"/>
            <w:tcBorders>
              <w:top w:val="nil"/>
              <w:left w:val="nil"/>
              <w:bottom w:val="nil"/>
              <w:right w:val="single" w:sz="4" w:space="0" w:color="auto"/>
            </w:tcBorders>
            <w:shd w:val="clear" w:color="000000" w:fill="FFFFFF"/>
            <w:noWrap/>
            <w:vAlign w:val="center"/>
            <w:hideMark/>
          </w:tcPr>
          <w:p w14:paraId="28B93FBC"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44</w:t>
            </w:r>
          </w:p>
        </w:tc>
      </w:tr>
      <w:tr w:rsidR="0016530B" w:rsidRPr="0016530B" w14:paraId="36A657CD"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488E920A"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Mackenzie</w:t>
            </w:r>
          </w:p>
        </w:tc>
        <w:tc>
          <w:tcPr>
            <w:tcW w:w="600" w:type="dxa"/>
            <w:tcBorders>
              <w:top w:val="nil"/>
              <w:left w:val="nil"/>
              <w:bottom w:val="nil"/>
              <w:right w:val="nil"/>
            </w:tcBorders>
            <w:shd w:val="clear" w:color="000000" w:fill="FFFFFF"/>
            <w:noWrap/>
            <w:vAlign w:val="center"/>
            <w:hideMark/>
          </w:tcPr>
          <w:p w14:paraId="208571A3"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A</w:t>
            </w:r>
          </w:p>
        </w:tc>
        <w:tc>
          <w:tcPr>
            <w:tcW w:w="3160" w:type="dxa"/>
            <w:tcBorders>
              <w:top w:val="nil"/>
              <w:left w:val="nil"/>
              <w:bottom w:val="nil"/>
              <w:right w:val="nil"/>
            </w:tcBorders>
            <w:shd w:val="clear" w:color="auto" w:fill="auto"/>
            <w:noWrap/>
            <w:vAlign w:val="bottom"/>
            <w:hideMark/>
          </w:tcPr>
          <w:p w14:paraId="3A653230"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Secretary of State</w:t>
            </w:r>
          </w:p>
        </w:tc>
        <w:tc>
          <w:tcPr>
            <w:tcW w:w="760" w:type="dxa"/>
            <w:tcBorders>
              <w:top w:val="nil"/>
              <w:left w:val="nil"/>
              <w:bottom w:val="nil"/>
              <w:right w:val="nil"/>
            </w:tcBorders>
            <w:shd w:val="clear" w:color="000000" w:fill="FFFFFF"/>
            <w:noWrap/>
            <w:vAlign w:val="center"/>
            <w:hideMark/>
          </w:tcPr>
          <w:p w14:paraId="57432936"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2</w:t>
            </w:r>
          </w:p>
        </w:tc>
        <w:tc>
          <w:tcPr>
            <w:tcW w:w="800" w:type="dxa"/>
            <w:tcBorders>
              <w:top w:val="nil"/>
              <w:left w:val="nil"/>
              <w:bottom w:val="nil"/>
              <w:right w:val="nil"/>
            </w:tcBorders>
            <w:shd w:val="clear" w:color="000000" w:fill="FFFFFF"/>
            <w:noWrap/>
            <w:vAlign w:val="center"/>
            <w:hideMark/>
          </w:tcPr>
          <w:p w14:paraId="4690EB49"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379</w:t>
            </w:r>
          </w:p>
        </w:tc>
        <w:tc>
          <w:tcPr>
            <w:tcW w:w="1000" w:type="dxa"/>
            <w:tcBorders>
              <w:top w:val="nil"/>
              <w:left w:val="nil"/>
              <w:bottom w:val="nil"/>
              <w:right w:val="nil"/>
            </w:tcBorders>
            <w:shd w:val="clear" w:color="000000" w:fill="FFFFFF"/>
            <w:noWrap/>
            <w:vAlign w:val="center"/>
            <w:hideMark/>
          </w:tcPr>
          <w:p w14:paraId="409F3439"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36A34D58"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single" w:sz="4" w:space="0" w:color="auto"/>
            </w:tcBorders>
            <w:shd w:val="clear" w:color="000000" w:fill="FFFFFF"/>
            <w:noWrap/>
            <w:vAlign w:val="center"/>
            <w:hideMark/>
          </w:tcPr>
          <w:p w14:paraId="31DAEC41"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379</w:t>
            </w:r>
          </w:p>
        </w:tc>
      </w:tr>
      <w:tr w:rsidR="0016530B" w:rsidRPr="0016530B" w14:paraId="3FAA47F7"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26831350"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Minshaw</w:t>
            </w:r>
          </w:p>
        </w:tc>
        <w:tc>
          <w:tcPr>
            <w:tcW w:w="600" w:type="dxa"/>
            <w:tcBorders>
              <w:top w:val="nil"/>
              <w:left w:val="nil"/>
              <w:bottom w:val="nil"/>
              <w:right w:val="nil"/>
            </w:tcBorders>
            <w:shd w:val="clear" w:color="000000" w:fill="FFFFFF"/>
            <w:noWrap/>
            <w:vAlign w:val="center"/>
            <w:hideMark/>
          </w:tcPr>
          <w:p w14:paraId="0D88B49D"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R</w:t>
            </w:r>
          </w:p>
        </w:tc>
        <w:tc>
          <w:tcPr>
            <w:tcW w:w="3160" w:type="dxa"/>
            <w:tcBorders>
              <w:top w:val="nil"/>
              <w:left w:val="nil"/>
              <w:bottom w:val="nil"/>
              <w:right w:val="nil"/>
            </w:tcBorders>
            <w:shd w:val="clear" w:color="auto" w:fill="auto"/>
            <w:noWrap/>
            <w:vAlign w:val="bottom"/>
            <w:hideMark/>
          </w:tcPr>
          <w:p w14:paraId="5085A8A0"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Cumberland Council</w:t>
            </w:r>
          </w:p>
        </w:tc>
        <w:tc>
          <w:tcPr>
            <w:tcW w:w="760" w:type="dxa"/>
            <w:tcBorders>
              <w:top w:val="nil"/>
              <w:left w:val="nil"/>
              <w:bottom w:val="nil"/>
              <w:right w:val="nil"/>
            </w:tcBorders>
            <w:shd w:val="clear" w:color="000000" w:fill="FFFFFF"/>
            <w:noWrap/>
            <w:vAlign w:val="center"/>
            <w:hideMark/>
          </w:tcPr>
          <w:p w14:paraId="32A2E7CE"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1</w:t>
            </w:r>
          </w:p>
        </w:tc>
        <w:tc>
          <w:tcPr>
            <w:tcW w:w="800" w:type="dxa"/>
            <w:tcBorders>
              <w:top w:val="nil"/>
              <w:left w:val="nil"/>
              <w:bottom w:val="nil"/>
              <w:right w:val="nil"/>
            </w:tcBorders>
            <w:shd w:val="clear" w:color="000000" w:fill="FFFFFF"/>
            <w:noWrap/>
            <w:vAlign w:val="center"/>
            <w:hideMark/>
          </w:tcPr>
          <w:p w14:paraId="2EA38FF8"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2,867</w:t>
            </w:r>
          </w:p>
        </w:tc>
        <w:tc>
          <w:tcPr>
            <w:tcW w:w="1000" w:type="dxa"/>
            <w:tcBorders>
              <w:top w:val="nil"/>
              <w:left w:val="nil"/>
              <w:bottom w:val="nil"/>
              <w:right w:val="nil"/>
            </w:tcBorders>
            <w:shd w:val="clear" w:color="000000" w:fill="FFFFFF"/>
            <w:noWrap/>
            <w:vAlign w:val="center"/>
            <w:hideMark/>
          </w:tcPr>
          <w:p w14:paraId="53D6F788"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78E2FF75"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553</w:t>
            </w:r>
          </w:p>
        </w:tc>
        <w:tc>
          <w:tcPr>
            <w:tcW w:w="1000" w:type="dxa"/>
            <w:tcBorders>
              <w:top w:val="nil"/>
              <w:left w:val="nil"/>
              <w:bottom w:val="nil"/>
              <w:right w:val="single" w:sz="4" w:space="0" w:color="auto"/>
            </w:tcBorders>
            <w:shd w:val="clear" w:color="000000" w:fill="FFFFFF"/>
            <w:noWrap/>
            <w:vAlign w:val="center"/>
            <w:hideMark/>
          </w:tcPr>
          <w:p w14:paraId="376F30A7"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3,420</w:t>
            </w:r>
          </w:p>
        </w:tc>
      </w:tr>
      <w:tr w:rsidR="0016530B" w:rsidRPr="0016530B" w14:paraId="07EC023D"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0297ABA5"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Mosner</w:t>
            </w:r>
          </w:p>
        </w:tc>
        <w:tc>
          <w:tcPr>
            <w:tcW w:w="600" w:type="dxa"/>
            <w:tcBorders>
              <w:top w:val="nil"/>
              <w:left w:val="nil"/>
              <w:bottom w:val="nil"/>
              <w:right w:val="nil"/>
            </w:tcBorders>
            <w:shd w:val="clear" w:color="000000" w:fill="FFFFFF"/>
            <w:noWrap/>
            <w:vAlign w:val="center"/>
            <w:hideMark/>
          </w:tcPr>
          <w:p w14:paraId="0FA09569"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w:t>
            </w:r>
          </w:p>
        </w:tc>
        <w:tc>
          <w:tcPr>
            <w:tcW w:w="3160" w:type="dxa"/>
            <w:tcBorders>
              <w:top w:val="nil"/>
              <w:left w:val="nil"/>
              <w:bottom w:val="nil"/>
              <w:right w:val="nil"/>
            </w:tcBorders>
            <w:shd w:val="clear" w:color="auto" w:fill="auto"/>
            <w:noWrap/>
            <w:vAlign w:val="bottom"/>
            <w:hideMark/>
          </w:tcPr>
          <w:p w14:paraId="1E90A707"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Secretary of State</w:t>
            </w:r>
          </w:p>
        </w:tc>
        <w:tc>
          <w:tcPr>
            <w:tcW w:w="760" w:type="dxa"/>
            <w:tcBorders>
              <w:top w:val="nil"/>
              <w:left w:val="nil"/>
              <w:bottom w:val="nil"/>
              <w:right w:val="nil"/>
            </w:tcBorders>
            <w:shd w:val="clear" w:color="000000" w:fill="FFFFFF"/>
            <w:noWrap/>
            <w:vAlign w:val="center"/>
            <w:hideMark/>
          </w:tcPr>
          <w:p w14:paraId="2E6485C5"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 </w:t>
            </w:r>
          </w:p>
        </w:tc>
        <w:tc>
          <w:tcPr>
            <w:tcW w:w="800" w:type="dxa"/>
            <w:tcBorders>
              <w:top w:val="nil"/>
              <w:left w:val="nil"/>
              <w:bottom w:val="nil"/>
              <w:right w:val="nil"/>
            </w:tcBorders>
            <w:shd w:val="clear" w:color="000000" w:fill="FFFFFF"/>
            <w:noWrap/>
            <w:vAlign w:val="center"/>
            <w:hideMark/>
          </w:tcPr>
          <w:p w14:paraId="616CA251"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3,000</w:t>
            </w:r>
          </w:p>
        </w:tc>
        <w:tc>
          <w:tcPr>
            <w:tcW w:w="1000" w:type="dxa"/>
            <w:tcBorders>
              <w:top w:val="nil"/>
              <w:left w:val="nil"/>
              <w:bottom w:val="nil"/>
              <w:right w:val="nil"/>
            </w:tcBorders>
            <w:shd w:val="clear" w:color="000000" w:fill="FFFFFF"/>
            <w:noWrap/>
            <w:vAlign w:val="center"/>
            <w:hideMark/>
          </w:tcPr>
          <w:p w14:paraId="1F9BEFC5"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952</w:t>
            </w:r>
          </w:p>
        </w:tc>
        <w:tc>
          <w:tcPr>
            <w:tcW w:w="1000" w:type="dxa"/>
            <w:tcBorders>
              <w:top w:val="nil"/>
              <w:left w:val="nil"/>
              <w:bottom w:val="nil"/>
              <w:right w:val="nil"/>
            </w:tcBorders>
            <w:shd w:val="clear" w:color="000000" w:fill="FFFFFF"/>
            <w:noWrap/>
            <w:vAlign w:val="center"/>
            <w:hideMark/>
          </w:tcPr>
          <w:p w14:paraId="3C4A1316"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506</w:t>
            </w:r>
          </w:p>
        </w:tc>
        <w:tc>
          <w:tcPr>
            <w:tcW w:w="1000" w:type="dxa"/>
            <w:tcBorders>
              <w:top w:val="nil"/>
              <w:left w:val="nil"/>
              <w:bottom w:val="nil"/>
              <w:right w:val="single" w:sz="4" w:space="0" w:color="auto"/>
            </w:tcBorders>
            <w:shd w:val="clear" w:color="000000" w:fill="FFFFFF"/>
            <w:noWrap/>
            <w:vAlign w:val="center"/>
            <w:hideMark/>
          </w:tcPr>
          <w:p w14:paraId="00CB0784"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4,458</w:t>
            </w:r>
          </w:p>
        </w:tc>
      </w:tr>
      <w:tr w:rsidR="0016530B" w:rsidRPr="0016530B" w14:paraId="685D7267"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041E82E1"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Outhwaite</w:t>
            </w:r>
          </w:p>
        </w:tc>
        <w:tc>
          <w:tcPr>
            <w:tcW w:w="600" w:type="dxa"/>
            <w:tcBorders>
              <w:top w:val="nil"/>
              <w:left w:val="nil"/>
              <w:bottom w:val="nil"/>
              <w:right w:val="nil"/>
            </w:tcBorders>
            <w:shd w:val="clear" w:color="000000" w:fill="FFFFFF"/>
            <w:noWrap/>
            <w:vAlign w:val="center"/>
            <w:hideMark/>
          </w:tcPr>
          <w:p w14:paraId="218FB0DE"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R</w:t>
            </w:r>
          </w:p>
        </w:tc>
        <w:tc>
          <w:tcPr>
            <w:tcW w:w="3160" w:type="dxa"/>
            <w:tcBorders>
              <w:top w:val="nil"/>
              <w:left w:val="nil"/>
              <w:bottom w:val="nil"/>
              <w:right w:val="nil"/>
            </w:tcBorders>
            <w:shd w:val="clear" w:color="auto" w:fill="auto"/>
            <w:noWrap/>
            <w:vAlign w:val="bottom"/>
            <w:hideMark/>
          </w:tcPr>
          <w:p w14:paraId="2080FC8B"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Secretary of State</w:t>
            </w:r>
          </w:p>
        </w:tc>
        <w:tc>
          <w:tcPr>
            <w:tcW w:w="760" w:type="dxa"/>
            <w:tcBorders>
              <w:top w:val="nil"/>
              <w:left w:val="nil"/>
              <w:bottom w:val="nil"/>
              <w:right w:val="nil"/>
            </w:tcBorders>
            <w:shd w:val="clear" w:color="000000" w:fill="FFFFFF"/>
            <w:noWrap/>
            <w:vAlign w:val="center"/>
            <w:hideMark/>
          </w:tcPr>
          <w:p w14:paraId="0F65320F"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 </w:t>
            </w:r>
          </w:p>
        </w:tc>
        <w:tc>
          <w:tcPr>
            <w:tcW w:w="800" w:type="dxa"/>
            <w:tcBorders>
              <w:top w:val="nil"/>
              <w:left w:val="nil"/>
              <w:bottom w:val="nil"/>
              <w:right w:val="nil"/>
            </w:tcBorders>
            <w:shd w:val="clear" w:color="000000" w:fill="FFFFFF"/>
            <w:noWrap/>
            <w:vAlign w:val="center"/>
            <w:hideMark/>
          </w:tcPr>
          <w:p w14:paraId="383E2535"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3,000</w:t>
            </w:r>
          </w:p>
        </w:tc>
        <w:tc>
          <w:tcPr>
            <w:tcW w:w="1000" w:type="dxa"/>
            <w:tcBorders>
              <w:top w:val="nil"/>
              <w:left w:val="nil"/>
              <w:bottom w:val="nil"/>
              <w:right w:val="nil"/>
            </w:tcBorders>
            <w:shd w:val="clear" w:color="000000" w:fill="FFFFFF"/>
            <w:noWrap/>
            <w:vAlign w:val="center"/>
            <w:hideMark/>
          </w:tcPr>
          <w:p w14:paraId="4326237B"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292BF0EA"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944</w:t>
            </w:r>
          </w:p>
        </w:tc>
        <w:tc>
          <w:tcPr>
            <w:tcW w:w="1000" w:type="dxa"/>
            <w:tcBorders>
              <w:top w:val="nil"/>
              <w:left w:val="nil"/>
              <w:bottom w:val="nil"/>
              <w:right w:val="single" w:sz="4" w:space="0" w:color="auto"/>
            </w:tcBorders>
            <w:shd w:val="clear" w:color="000000" w:fill="FFFFFF"/>
            <w:noWrap/>
            <w:vAlign w:val="center"/>
            <w:hideMark/>
          </w:tcPr>
          <w:p w14:paraId="15C60293"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3,944</w:t>
            </w:r>
          </w:p>
        </w:tc>
      </w:tr>
      <w:tr w:rsidR="0016530B" w:rsidRPr="0016530B" w14:paraId="493E82B9"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63FAD1AD"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Pratt</w:t>
            </w:r>
          </w:p>
        </w:tc>
        <w:tc>
          <w:tcPr>
            <w:tcW w:w="600" w:type="dxa"/>
            <w:tcBorders>
              <w:top w:val="nil"/>
              <w:left w:val="nil"/>
              <w:bottom w:val="nil"/>
              <w:right w:val="nil"/>
            </w:tcBorders>
            <w:shd w:val="clear" w:color="000000" w:fill="FFFFFF"/>
            <w:noWrap/>
            <w:vAlign w:val="center"/>
            <w:hideMark/>
          </w:tcPr>
          <w:p w14:paraId="284AC825"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A</w:t>
            </w:r>
          </w:p>
        </w:tc>
        <w:tc>
          <w:tcPr>
            <w:tcW w:w="3160" w:type="dxa"/>
            <w:tcBorders>
              <w:top w:val="nil"/>
              <w:left w:val="nil"/>
              <w:bottom w:val="nil"/>
              <w:right w:val="nil"/>
            </w:tcBorders>
            <w:shd w:val="clear" w:color="auto" w:fill="auto"/>
            <w:noWrap/>
            <w:vAlign w:val="bottom"/>
            <w:hideMark/>
          </w:tcPr>
          <w:p w14:paraId="57ECF54D"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Cumberland Council</w:t>
            </w:r>
          </w:p>
        </w:tc>
        <w:tc>
          <w:tcPr>
            <w:tcW w:w="760" w:type="dxa"/>
            <w:tcBorders>
              <w:top w:val="nil"/>
              <w:left w:val="nil"/>
              <w:bottom w:val="nil"/>
              <w:right w:val="nil"/>
            </w:tcBorders>
            <w:shd w:val="clear" w:color="000000" w:fill="FFFFFF"/>
            <w:noWrap/>
            <w:vAlign w:val="center"/>
            <w:hideMark/>
          </w:tcPr>
          <w:p w14:paraId="388B7E37"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1</w:t>
            </w:r>
          </w:p>
        </w:tc>
        <w:tc>
          <w:tcPr>
            <w:tcW w:w="800" w:type="dxa"/>
            <w:tcBorders>
              <w:top w:val="nil"/>
              <w:left w:val="nil"/>
              <w:bottom w:val="nil"/>
              <w:right w:val="nil"/>
            </w:tcBorders>
            <w:shd w:val="clear" w:color="000000" w:fill="FFFFFF"/>
            <w:noWrap/>
            <w:vAlign w:val="center"/>
            <w:hideMark/>
          </w:tcPr>
          <w:p w14:paraId="5A75C564"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2,867</w:t>
            </w:r>
          </w:p>
        </w:tc>
        <w:tc>
          <w:tcPr>
            <w:tcW w:w="1000" w:type="dxa"/>
            <w:tcBorders>
              <w:top w:val="nil"/>
              <w:left w:val="nil"/>
              <w:bottom w:val="nil"/>
              <w:right w:val="nil"/>
            </w:tcBorders>
            <w:shd w:val="clear" w:color="000000" w:fill="FFFFFF"/>
            <w:noWrap/>
            <w:vAlign w:val="center"/>
            <w:hideMark/>
          </w:tcPr>
          <w:p w14:paraId="73227D1E"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0D26E867"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412</w:t>
            </w:r>
          </w:p>
        </w:tc>
        <w:tc>
          <w:tcPr>
            <w:tcW w:w="1000" w:type="dxa"/>
            <w:tcBorders>
              <w:top w:val="nil"/>
              <w:left w:val="nil"/>
              <w:bottom w:val="nil"/>
              <w:right w:val="single" w:sz="4" w:space="0" w:color="auto"/>
            </w:tcBorders>
            <w:shd w:val="clear" w:color="000000" w:fill="FFFFFF"/>
            <w:noWrap/>
            <w:vAlign w:val="center"/>
            <w:hideMark/>
          </w:tcPr>
          <w:p w14:paraId="28AE7EAD"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3,279</w:t>
            </w:r>
          </w:p>
        </w:tc>
      </w:tr>
      <w:tr w:rsidR="0016530B" w:rsidRPr="0016530B" w14:paraId="33904B63"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7E29BECE"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Rathbone</w:t>
            </w:r>
          </w:p>
        </w:tc>
        <w:tc>
          <w:tcPr>
            <w:tcW w:w="600" w:type="dxa"/>
            <w:tcBorders>
              <w:top w:val="nil"/>
              <w:left w:val="nil"/>
              <w:bottom w:val="nil"/>
              <w:right w:val="nil"/>
            </w:tcBorders>
            <w:shd w:val="clear" w:color="000000" w:fill="FFFFFF"/>
            <w:noWrap/>
            <w:vAlign w:val="center"/>
            <w:hideMark/>
          </w:tcPr>
          <w:p w14:paraId="2289EF9B"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D</w:t>
            </w:r>
          </w:p>
        </w:tc>
        <w:tc>
          <w:tcPr>
            <w:tcW w:w="3160" w:type="dxa"/>
            <w:tcBorders>
              <w:top w:val="nil"/>
              <w:left w:val="nil"/>
              <w:bottom w:val="nil"/>
              <w:right w:val="nil"/>
            </w:tcBorders>
            <w:shd w:val="clear" w:color="auto" w:fill="auto"/>
            <w:noWrap/>
            <w:vAlign w:val="bottom"/>
            <w:hideMark/>
          </w:tcPr>
          <w:p w14:paraId="20B9D012"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Westmorland and Furness Council</w:t>
            </w:r>
          </w:p>
        </w:tc>
        <w:tc>
          <w:tcPr>
            <w:tcW w:w="760" w:type="dxa"/>
            <w:tcBorders>
              <w:top w:val="nil"/>
              <w:left w:val="nil"/>
              <w:bottom w:val="nil"/>
              <w:right w:val="nil"/>
            </w:tcBorders>
            <w:shd w:val="clear" w:color="000000" w:fill="FFFFFF"/>
            <w:noWrap/>
            <w:vAlign w:val="center"/>
            <w:hideMark/>
          </w:tcPr>
          <w:p w14:paraId="13701650"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1</w:t>
            </w:r>
          </w:p>
        </w:tc>
        <w:tc>
          <w:tcPr>
            <w:tcW w:w="800" w:type="dxa"/>
            <w:tcBorders>
              <w:top w:val="nil"/>
              <w:left w:val="nil"/>
              <w:bottom w:val="nil"/>
              <w:right w:val="nil"/>
            </w:tcBorders>
            <w:shd w:val="clear" w:color="000000" w:fill="FFFFFF"/>
            <w:noWrap/>
            <w:vAlign w:val="center"/>
            <w:hideMark/>
          </w:tcPr>
          <w:p w14:paraId="4E14B163"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2,808</w:t>
            </w:r>
          </w:p>
        </w:tc>
        <w:tc>
          <w:tcPr>
            <w:tcW w:w="1000" w:type="dxa"/>
            <w:tcBorders>
              <w:top w:val="nil"/>
              <w:left w:val="nil"/>
              <w:bottom w:val="nil"/>
              <w:right w:val="nil"/>
            </w:tcBorders>
            <w:shd w:val="clear" w:color="000000" w:fill="FFFFFF"/>
            <w:noWrap/>
            <w:vAlign w:val="center"/>
            <w:hideMark/>
          </w:tcPr>
          <w:p w14:paraId="0AE5F0E5"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32573112"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86</w:t>
            </w:r>
          </w:p>
        </w:tc>
        <w:tc>
          <w:tcPr>
            <w:tcW w:w="1000" w:type="dxa"/>
            <w:tcBorders>
              <w:top w:val="nil"/>
              <w:left w:val="nil"/>
              <w:bottom w:val="nil"/>
              <w:right w:val="single" w:sz="4" w:space="0" w:color="auto"/>
            </w:tcBorders>
            <w:shd w:val="clear" w:color="000000" w:fill="FFFFFF"/>
            <w:noWrap/>
            <w:vAlign w:val="center"/>
            <w:hideMark/>
          </w:tcPr>
          <w:p w14:paraId="56025C00"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2,894</w:t>
            </w:r>
          </w:p>
        </w:tc>
      </w:tr>
      <w:tr w:rsidR="0016530B" w:rsidRPr="0016530B" w14:paraId="230E31D7"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41A8D135"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Sayers</w:t>
            </w:r>
          </w:p>
        </w:tc>
        <w:tc>
          <w:tcPr>
            <w:tcW w:w="600" w:type="dxa"/>
            <w:tcBorders>
              <w:top w:val="nil"/>
              <w:left w:val="nil"/>
              <w:bottom w:val="nil"/>
              <w:right w:val="nil"/>
            </w:tcBorders>
            <w:shd w:val="clear" w:color="000000" w:fill="FFFFFF"/>
            <w:noWrap/>
            <w:vAlign w:val="center"/>
            <w:hideMark/>
          </w:tcPr>
          <w:p w14:paraId="046EB998"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J</w:t>
            </w:r>
          </w:p>
        </w:tc>
        <w:tc>
          <w:tcPr>
            <w:tcW w:w="3160" w:type="dxa"/>
            <w:tcBorders>
              <w:top w:val="nil"/>
              <w:left w:val="nil"/>
              <w:bottom w:val="nil"/>
              <w:right w:val="nil"/>
            </w:tcBorders>
            <w:shd w:val="clear" w:color="auto" w:fill="auto"/>
            <w:noWrap/>
            <w:vAlign w:val="bottom"/>
            <w:hideMark/>
          </w:tcPr>
          <w:p w14:paraId="26D2BFCE"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Secretary of State</w:t>
            </w:r>
          </w:p>
        </w:tc>
        <w:tc>
          <w:tcPr>
            <w:tcW w:w="760" w:type="dxa"/>
            <w:tcBorders>
              <w:top w:val="nil"/>
              <w:left w:val="nil"/>
              <w:bottom w:val="nil"/>
              <w:right w:val="nil"/>
            </w:tcBorders>
            <w:shd w:val="clear" w:color="000000" w:fill="FFFFFF"/>
            <w:noWrap/>
            <w:vAlign w:val="center"/>
            <w:hideMark/>
          </w:tcPr>
          <w:p w14:paraId="7E151587"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2</w:t>
            </w:r>
          </w:p>
        </w:tc>
        <w:tc>
          <w:tcPr>
            <w:tcW w:w="800" w:type="dxa"/>
            <w:tcBorders>
              <w:top w:val="nil"/>
              <w:left w:val="nil"/>
              <w:bottom w:val="nil"/>
              <w:right w:val="nil"/>
            </w:tcBorders>
            <w:shd w:val="clear" w:color="000000" w:fill="FFFFFF"/>
            <w:noWrap/>
            <w:vAlign w:val="center"/>
            <w:hideMark/>
          </w:tcPr>
          <w:p w14:paraId="09E7D821"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323</w:t>
            </w:r>
          </w:p>
        </w:tc>
        <w:tc>
          <w:tcPr>
            <w:tcW w:w="1000" w:type="dxa"/>
            <w:tcBorders>
              <w:top w:val="nil"/>
              <w:left w:val="nil"/>
              <w:bottom w:val="nil"/>
              <w:right w:val="nil"/>
            </w:tcBorders>
            <w:shd w:val="clear" w:color="000000" w:fill="FFFFFF"/>
            <w:noWrap/>
            <w:vAlign w:val="center"/>
            <w:hideMark/>
          </w:tcPr>
          <w:p w14:paraId="1E5B15AD"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275B3D5B"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199</w:t>
            </w:r>
          </w:p>
        </w:tc>
        <w:tc>
          <w:tcPr>
            <w:tcW w:w="1000" w:type="dxa"/>
            <w:tcBorders>
              <w:top w:val="nil"/>
              <w:left w:val="nil"/>
              <w:bottom w:val="nil"/>
              <w:right w:val="single" w:sz="4" w:space="0" w:color="auto"/>
            </w:tcBorders>
            <w:shd w:val="clear" w:color="000000" w:fill="FFFFFF"/>
            <w:noWrap/>
            <w:vAlign w:val="center"/>
            <w:hideMark/>
          </w:tcPr>
          <w:p w14:paraId="724D85AD"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522</w:t>
            </w:r>
          </w:p>
        </w:tc>
      </w:tr>
      <w:tr w:rsidR="0016530B" w:rsidRPr="0016530B" w14:paraId="7B7287C8"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729ABF79"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Southorn</w:t>
            </w:r>
          </w:p>
        </w:tc>
        <w:tc>
          <w:tcPr>
            <w:tcW w:w="600" w:type="dxa"/>
            <w:tcBorders>
              <w:top w:val="nil"/>
              <w:left w:val="nil"/>
              <w:bottom w:val="nil"/>
              <w:right w:val="nil"/>
            </w:tcBorders>
            <w:shd w:val="clear" w:color="000000" w:fill="FFFFFF"/>
            <w:noWrap/>
            <w:vAlign w:val="center"/>
            <w:hideMark/>
          </w:tcPr>
          <w:p w14:paraId="35B071E7"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A</w:t>
            </w:r>
          </w:p>
        </w:tc>
        <w:tc>
          <w:tcPr>
            <w:tcW w:w="3160" w:type="dxa"/>
            <w:tcBorders>
              <w:top w:val="nil"/>
              <w:left w:val="nil"/>
              <w:bottom w:val="nil"/>
              <w:right w:val="nil"/>
            </w:tcBorders>
            <w:shd w:val="clear" w:color="auto" w:fill="auto"/>
            <w:noWrap/>
            <w:vAlign w:val="bottom"/>
            <w:hideMark/>
          </w:tcPr>
          <w:p w14:paraId="4D0E88F4"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Independent Person</w:t>
            </w:r>
          </w:p>
        </w:tc>
        <w:tc>
          <w:tcPr>
            <w:tcW w:w="760" w:type="dxa"/>
            <w:tcBorders>
              <w:top w:val="nil"/>
              <w:left w:val="nil"/>
              <w:bottom w:val="nil"/>
              <w:right w:val="nil"/>
            </w:tcBorders>
            <w:shd w:val="clear" w:color="000000" w:fill="FFFFFF"/>
            <w:noWrap/>
            <w:vAlign w:val="center"/>
            <w:hideMark/>
          </w:tcPr>
          <w:p w14:paraId="41A8D0E8"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 </w:t>
            </w:r>
          </w:p>
        </w:tc>
        <w:tc>
          <w:tcPr>
            <w:tcW w:w="800" w:type="dxa"/>
            <w:tcBorders>
              <w:top w:val="nil"/>
              <w:left w:val="nil"/>
              <w:bottom w:val="nil"/>
              <w:right w:val="nil"/>
            </w:tcBorders>
            <w:shd w:val="clear" w:color="000000" w:fill="FFFFFF"/>
            <w:noWrap/>
            <w:vAlign w:val="center"/>
            <w:hideMark/>
          </w:tcPr>
          <w:p w14:paraId="04632D13" w14:textId="156CE665" w:rsidR="0016530B" w:rsidRPr="0016530B" w:rsidRDefault="00C17679" w:rsidP="0016530B">
            <w:pPr>
              <w:jc w:val="right"/>
              <w:rPr>
                <w:rFonts w:cs="Arial"/>
                <w:color w:val="000000"/>
                <w:sz w:val="18"/>
                <w:szCs w:val="18"/>
                <w:lang w:eastAsia="en-GB"/>
              </w:rPr>
            </w:pPr>
            <w:r>
              <w:rPr>
                <w:rFonts w:cs="Arial"/>
                <w:color w:val="000000"/>
                <w:sz w:val="18"/>
                <w:szCs w:val="18"/>
                <w:lang w:eastAsia="en-GB"/>
              </w:rPr>
              <w:t>150</w:t>
            </w:r>
          </w:p>
        </w:tc>
        <w:tc>
          <w:tcPr>
            <w:tcW w:w="1000" w:type="dxa"/>
            <w:tcBorders>
              <w:top w:val="nil"/>
              <w:left w:val="nil"/>
              <w:bottom w:val="nil"/>
              <w:right w:val="nil"/>
            </w:tcBorders>
            <w:shd w:val="clear" w:color="000000" w:fill="FFFFFF"/>
            <w:noWrap/>
            <w:vAlign w:val="center"/>
            <w:hideMark/>
          </w:tcPr>
          <w:p w14:paraId="6BC4EEBE"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7D07DBBE"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39</w:t>
            </w:r>
          </w:p>
        </w:tc>
        <w:tc>
          <w:tcPr>
            <w:tcW w:w="1000" w:type="dxa"/>
            <w:tcBorders>
              <w:top w:val="nil"/>
              <w:left w:val="nil"/>
              <w:bottom w:val="nil"/>
              <w:right w:val="single" w:sz="4" w:space="0" w:color="auto"/>
            </w:tcBorders>
            <w:shd w:val="clear" w:color="000000" w:fill="FFFFFF"/>
            <w:noWrap/>
            <w:vAlign w:val="center"/>
            <w:hideMark/>
          </w:tcPr>
          <w:p w14:paraId="3185F771"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39</w:t>
            </w:r>
          </w:p>
        </w:tc>
      </w:tr>
      <w:tr w:rsidR="0016530B" w:rsidRPr="0016530B" w14:paraId="189077D2"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73D00CC6"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Stuart</w:t>
            </w:r>
          </w:p>
        </w:tc>
        <w:tc>
          <w:tcPr>
            <w:tcW w:w="600" w:type="dxa"/>
            <w:tcBorders>
              <w:top w:val="nil"/>
              <w:left w:val="nil"/>
              <w:bottom w:val="nil"/>
              <w:right w:val="nil"/>
            </w:tcBorders>
            <w:shd w:val="clear" w:color="000000" w:fill="FFFFFF"/>
            <w:noWrap/>
            <w:vAlign w:val="center"/>
            <w:hideMark/>
          </w:tcPr>
          <w:p w14:paraId="0F86F15B"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J</w:t>
            </w:r>
          </w:p>
        </w:tc>
        <w:tc>
          <w:tcPr>
            <w:tcW w:w="3160" w:type="dxa"/>
            <w:tcBorders>
              <w:top w:val="nil"/>
              <w:left w:val="nil"/>
              <w:bottom w:val="nil"/>
              <w:right w:val="nil"/>
            </w:tcBorders>
            <w:shd w:val="clear" w:color="auto" w:fill="auto"/>
            <w:noWrap/>
            <w:vAlign w:val="bottom"/>
            <w:hideMark/>
          </w:tcPr>
          <w:p w14:paraId="46E5F96A"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Secretary of State</w:t>
            </w:r>
          </w:p>
        </w:tc>
        <w:tc>
          <w:tcPr>
            <w:tcW w:w="760" w:type="dxa"/>
            <w:tcBorders>
              <w:top w:val="nil"/>
              <w:left w:val="nil"/>
              <w:bottom w:val="nil"/>
              <w:right w:val="nil"/>
            </w:tcBorders>
            <w:shd w:val="clear" w:color="000000" w:fill="FFFFFF"/>
            <w:noWrap/>
            <w:vAlign w:val="center"/>
            <w:hideMark/>
          </w:tcPr>
          <w:p w14:paraId="7F9E2AAD"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 </w:t>
            </w:r>
          </w:p>
        </w:tc>
        <w:tc>
          <w:tcPr>
            <w:tcW w:w="800" w:type="dxa"/>
            <w:tcBorders>
              <w:top w:val="nil"/>
              <w:left w:val="nil"/>
              <w:bottom w:val="nil"/>
              <w:right w:val="nil"/>
            </w:tcBorders>
            <w:shd w:val="clear" w:color="000000" w:fill="FFFFFF"/>
            <w:noWrap/>
            <w:vAlign w:val="center"/>
            <w:hideMark/>
          </w:tcPr>
          <w:p w14:paraId="71D82083"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3,000</w:t>
            </w:r>
          </w:p>
        </w:tc>
        <w:tc>
          <w:tcPr>
            <w:tcW w:w="1000" w:type="dxa"/>
            <w:tcBorders>
              <w:top w:val="nil"/>
              <w:left w:val="nil"/>
              <w:bottom w:val="nil"/>
              <w:right w:val="nil"/>
            </w:tcBorders>
            <w:shd w:val="clear" w:color="000000" w:fill="FFFFFF"/>
            <w:noWrap/>
            <w:vAlign w:val="center"/>
            <w:hideMark/>
          </w:tcPr>
          <w:p w14:paraId="0B643090" w14:textId="51C93308"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1</w:t>
            </w:r>
            <w:r>
              <w:rPr>
                <w:rFonts w:cs="Arial"/>
                <w:color w:val="000000"/>
                <w:sz w:val="18"/>
                <w:szCs w:val="18"/>
                <w:lang w:eastAsia="en-GB"/>
              </w:rPr>
              <w:t>,</w:t>
            </w:r>
            <w:r w:rsidRPr="0016530B">
              <w:rPr>
                <w:rFonts w:cs="Arial"/>
                <w:color w:val="000000"/>
                <w:sz w:val="18"/>
                <w:szCs w:val="18"/>
                <w:lang w:eastAsia="en-GB"/>
              </w:rPr>
              <w:t>366</w:t>
            </w:r>
          </w:p>
        </w:tc>
        <w:tc>
          <w:tcPr>
            <w:tcW w:w="1000" w:type="dxa"/>
            <w:tcBorders>
              <w:top w:val="nil"/>
              <w:left w:val="nil"/>
              <w:bottom w:val="nil"/>
              <w:right w:val="nil"/>
            </w:tcBorders>
            <w:shd w:val="clear" w:color="000000" w:fill="FFFFFF"/>
            <w:noWrap/>
            <w:vAlign w:val="center"/>
            <w:hideMark/>
          </w:tcPr>
          <w:p w14:paraId="1DA7B83D"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705</w:t>
            </w:r>
          </w:p>
        </w:tc>
        <w:tc>
          <w:tcPr>
            <w:tcW w:w="1000" w:type="dxa"/>
            <w:tcBorders>
              <w:top w:val="nil"/>
              <w:left w:val="nil"/>
              <w:bottom w:val="nil"/>
              <w:right w:val="single" w:sz="4" w:space="0" w:color="auto"/>
            </w:tcBorders>
            <w:shd w:val="clear" w:color="000000" w:fill="FFFFFF"/>
            <w:noWrap/>
            <w:vAlign w:val="center"/>
            <w:hideMark/>
          </w:tcPr>
          <w:p w14:paraId="4653D147"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5,071</w:t>
            </w:r>
          </w:p>
        </w:tc>
      </w:tr>
      <w:tr w:rsidR="0016530B" w:rsidRPr="0016530B" w14:paraId="0B26BD64"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795183C2"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Tweddle</w:t>
            </w:r>
          </w:p>
        </w:tc>
        <w:tc>
          <w:tcPr>
            <w:tcW w:w="600" w:type="dxa"/>
            <w:tcBorders>
              <w:top w:val="nil"/>
              <w:left w:val="nil"/>
              <w:bottom w:val="nil"/>
              <w:right w:val="nil"/>
            </w:tcBorders>
            <w:shd w:val="clear" w:color="000000" w:fill="FFFFFF"/>
            <w:noWrap/>
            <w:vAlign w:val="center"/>
            <w:hideMark/>
          </w:tcPr>
          <w:p w14:paraId="4738ACD3"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D</w:t>
            </w:r>
          </w:p>
        </w:tc>
        <w:tc>
          <w:tcPr>
            <w:tcW w:w="3160" w:type="dxa"/>
            <w:tcBorders>
              <w:top w:val="nil"/>
              <w:left w:val="nil"/>
              <w:bottom w:val="nil"/>
              <w:right w:val="nil"/>
            </w:tcBorders>
            <w:shd w:val="clear" w:color="auto" w:fill="auto"/>
            <w:noWrap/>
            <w:vAlign w:val="bottom"/>
            <w:hideMark/>
          </w:tcPr>
          <w:p w14:paraId="644B0486"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Independent Person</w:t>
            </w:r>
          </w:p>
        </w:tc>
        <w:tc>
          <w:tcPr>
            <w:tcW w:w="760" w:type="dxa"/>
            <w:tcBorders>
              <w:top w:val="nil"/>
              <w:left w:val="nil"/>
              <w:bottom w:val="nil"/>
              <w:right w:val="nil"/>
            </w:tcBorders>
            <w:shd w:val="clear" w:color="000000" w:fill="FFFFFF"/>
            <w:noWrap/>
            <w:vAlign w:val="center"/>
            <w:hideMark/>
          </w:tcPr>
          <w:p w14:paraId="2CF97BC5"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 </w:t>
            </w:r>
          </w:p>
        </w:tc>
        <w:tc>
          <w:tcPr>
            <w:tcW w:w="800" w:type="dxa"/>
            <w:tcBorders>
              <w:top w:val="nil"/>
              <w:left w:val="nil"/>
              <w:bottom w:val="nil"/>
              <w:right w:val="nil"/>
            </w:tcBorders>
            <w:shd w:val="clear" w:color="000000" w:fill="FFFFFF"/>
            <w:noWrap/>
            <w:vAlign w:val="center"/>
            <w:hideMark/>
          </w:tcPr>
          <w:p w14:paraId="7A0E0E67" w14:textId="6484D3C2" w:rsidR="0016530B" w:rsidRPr="0016530B" w:rsidRDefault="00C17679" w:rsidP="0016530B">
            <w:pPr>
              <w:jc w:val="right"/>
              <w:rPr>
                <w:rFonts w:cs="Arial"/>
                <w:color w:val="000000"/>
                <w:sz w:val="18"/>
                <w:szCs w:val="18"/>
                <w:lang w:eastAsia="en-GB"/>
              </w:rPr>
            </w:pPr>
            <w:r>
              <w:rPr>
                <w:rFonts w:cs="Arial"/>
                <w:color w:val="000000"/>
                <w:sz w:val="18"/>
                <w:szCs w:val="18"/>
                <w:lang w:eastAsia="en-GB"/>
              </w:rPr>
              <w:t>150</w:t>
            </w:r>
          </w:p>
        </w:tc>
        <w:tc>
          <w:tcPr>
            <w:tcW w:w="1000" w:type="dxa"/>
            <w:tcBorders>
              <w:top w:val="nil"/>
              <w:left w:val="nil"/>
              <w:bottom w:val="nil"/>
              <w:right w:val="nil"/>
            </w:tcBorders>
            <w:shd w:val="clear" w:color="000000" w:fill="FFFFFF"/>
            <w:noWrap/>
            <w:vAlign w:val="center"/>
            <w:hideMark/>
          </w:tcPr>
          <w:p w14:paraId="084B7D75"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5318A4AE"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single" w:sz="4" w:space="0" w:color="auto"/>
            </w:tcBorders>
            <w:shd w:val="clear" w:color="000000" w:fill="FFFFFF"/>
            <w:noWrap/>
            <w:vAlign w:val="center"/>
            <w:hideMark/>
          </w:tcPr>
          <w:p w14:paraId="7372835F"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r>
      <w:tr w:rsidR="0016530B" w:rsidRPr="0016530B" w14:paraId="71CC800F"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683C4BC4"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Walter</w:t>
            </w:r>
          </w:p>
        </w:tc>
        <w:tc>
          <w:tcPr>
            <w:tcW w:w="600" w:type="dxa"/>
            <w:tcBorders>
              <w:top w:val="nil"/>
              <w:left w:val="nil"/>
              <w:bottom w:val="nil"/>
              <w:right w:val="nil"/>
            </w:tcBorders>
            <w:shd w:val="clear" w:color="000000" w:fill="FFFFFF"/>
            <w:noWrap/>
            <w:vAlign w:val="center"/>
            <w:hideMark/>
          </w:tcPr>
          <w:p w14:paraId="6C337F02"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P</w:t>
            </w:r>
          </w:p>
        </w:tc>
        <w:tc>
          <w:tcPr>
            <w:tcW w:w="3160" w:type="dxa"/>
            <w:tcBorders>
              <w:top w:val="nil"/>
              <w:left w:val="nil"/>
              <w:bottom w:val="nil"/>
              <w:right w:val="nil"/>
            </w:tcBorders>
            <w:shd w:val="clear" w:color="auto" w:fill="auto"/>
            <w:noWrap/>
            <w:vAlign w:val="bottom"/>
            <w:hideMark/>
          </w:tcPr>
          <w:p w14:paraId="0E9C63A5"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Secretary of State</w:t>
            </w:r>
          </w:p>
        </w:tc>
        <w:tc>
          <w:tcPr>
            <w:tcW w:w="760" w:type="dxa"/>
            <w:tcBorders>
              <w:top w:val="nil"/>
              <w:left w:val="nil"/>
              <w:bottom w:val="nil"/>
              <w:right w:val="nil"/>
            </w:tcBorders>
            <w:shd w:val="clear" w:color="000000" w:fill="FFFFFF"/>
            <w:noWrap/>
            <w:vAlign w:val="center"/>
            <w:hideMark/>
          </w:tcPr>
          <w:p w14:paraId="20A7646B"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1</w:t>
            </w:r>
          </w:p>
        </w:tc>
        <w:tc>
          <w:tcPr>
            <w:tcW w:w="800" w:type="dxa"/>
            <w:tcBorders>
              <w:top w:val="nil"/>
              <w:left w:val="nil"/>
              <w:bottom w:val="nil"/>
              <w:right w:val="nil"/>
            </w:tcBorders>
            <w:shd w:val="clear" w:color="000000" w:fill="FFFFFF"/>
            <w:noWrap/>
            <w:vAlign w:val="center"/>
            <w:hideMark/>
          </w:tcPr>
          <w:p w14:paraId="50C42E8B"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2,234</w:t>
            </w:r>
          </w:p>
        </w:tc>
        <w:tc>
          <w:tcPr>
            <w:tcW w:w="1000" w:type="dxa"/>
            <w:tcBorders>
              <w:top w:val="nil"/>
              <w:left w:val="nil"/>
              <w:bottom w:val="nil"/>
              <w:right w:val="nil"/>
            </w:tcBorders>
            <w:shd w:val="clear" w:color="000000" w:fill="FFFFFF"/>
            <w:noWrap/>
            <w:vAlign w:val="center"/>
            <w:hideMark/>
          </w:tcPr>
          <w:p w14:paraId="113A63E4"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0816C9B2"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409</w:t>
            </w:r>
          </w:p>
        </w:tc>
        <w:tc>
          <w:tcPr>
            <w:tcW w:w="1000" w:type="dxa"/>
            <w:tcBorders>
              <w:top w:val="nil"/>
              <w:left w:val="nil"/>
              <w:bottom w:val="nil"/>
              <w:right w:val="single" w:sz="4" w:space="0" w:color="auto"/>
            </w:tcBorders>
            <w:shd w:val="clear" w:color="000000" w:fill="FFFFFF"/>
            <w:noWrap/>
            <w:vAlign w:val="center"/>
            <w:hideMark/>
          </w:tcPr>
          <w:p w14:paraId="6D44570D"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2,643</w:t>
            </w:r>
          </w:p>
        </w:tc>
      </w:tr>
      <w:tr w:rsidR="0016530B" w:rsidRPr="0016530B" w14:paraId="1F13358A" w14:textId="77777777" w:rsidTr="0016530B">
        <w:trPr>
          <w:trHeight w:val="290"/>
        </w:trPr>
        <w:tc>
          <w:tcPr>
            <w:tcW w:w="2040" w:type="dxa"/>
            <w:tcBorders>
              <w:top w:val="nil"/>
              <w:left w:val="single" w:sz="4" w:space="0" w:color="auto"/>
              <w:bottom w:val="nil"/>
              <w:right w:val="nil"/>
            </w:tcBorders>
            <w:shd w:val="clear" w:color="000000" w:fill="FFFFFF"/>
            <w:noWrap/>
            <w:vAlign w:val="center"/>
            <w:hideMark/>
          </w:tcPr>
          <w:p w14:paraId="4D59C6D8"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Wharton</w:t>
            </w:r>
          </w:p>
        </w:tc>
        <w:tc>
          <w:tcPr>
            <w:tcW w:w="600" w:type="dxa"/>
            <w:tcBorders>
              <w:top w:val="nil"/>
              <w:left w:val="nil"/>
              <w:bottom w:val="nil"/>
              <w:right w:val="nil"/>
            </w:tcBorders>
            <w:shd w:val="clear" w:color="000000" w:fill="FFFFFF"/>
            <w:noWrap/>
            <w:vAlign w:val="center"/>
            <w:hideMark/>
          </w:tcPr>
          <w:p w14:paraId="082E2F01"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I</w:t>
            </w:r>
          </w:p>
        </w:tc>
        <w:tc>
          <w:tcPr>
            <w:tcW w:w="3160" w:type="dxa"/>
            <w:tcBorders>
              <w:top w:val="nil"/>
              <w:left w:val="nil"/>
              <w:bottom w:val="single" w:sz="4" w:space="0" w:color="auto"/>
              <w:right w:val="nil"/>
            </w:tcBorders>
            <w:shd w:val="clear" w:color="auto" w:fill="auto"/>
            <w:noWrap/>
            <w:vAlign w:val="bottom"/>
            <w:hideMark/>
          </w:tcPr>
          <w:p w14:paraId="6ECDE75E" w14:textId="77777777" w:rsidR="0016530B" w:rsidRPr="0016530B" w:rsidRDefault="0016530B" w:rsidP="0016530B">
            <w:pPr>
              <w:rPr>
                <w:rFonts w:cs="Arial"/>
                <w:color w:val="000000"/>
                <w:sz w:val="18"/>
                <w:szCs w:val="18"/>
                <w:lang w:eastAsia="en-GB"/>
              </w:rPr>
            </w:pPr>
            <w:r w:rsidRPr="0016530B">
              <w:rPr>
                <w:rFonts w:cs="Arial"/>
                <w:color w:val="000000"/>
                <w:sz w:val="18"/>
                <w:szCs w:val="18"/>
                <w:lang w:eastAsia="en-GB"/>
              </w:rPr>
              <w:t>Secretary of State</w:t>
            </w:r>
          </w:p>
        </w:tc>
        <w:tc>
          <w:tcPr>
            <w:tcW w:w="760" w:type="dxa"/>
            <w:tcBorders>
              <w:top w:val="nil"/>
              <w:left w:val="nil"/>
              <w:bottom w:val="nil"/>
              <w:right w:val="nil"/>
            </w:tcBorders>
            <w:shd w:val="clear" w:color="000000" w:fill="FFFFFF"/>
            <w:noWrap/>
            <w:vAlign w:val="center"/>
            <w:hideMark/>
          </w:tcPr>
          <w:p w14:paraId="6C31EF37" w14:textId="77777777" w:rsidR="0016530B" w:rsidRPr="0016530B" w:rsidRDefault="0016530B" w:rsidP="0016530B">
            <w:pPr>
              <w:jc w:val="center"/>
              <w:rPr>
                <w:rFonts w:cs="Arial"/>
                <w:color w:val="000000"/>
                <w:sz w:val="18"/>
                <w:szCs w:val="18"/>
                <w:lang w:eastAsia="en-GB"/>
              </w:rPr>
            </w:pPr>
            <w:r w:rsidRPr="0016530B">
              <w:rPr>
                <w:rFonts w:cs="Arial"/>
                <w:color w:val="000000"/>
                <w:sz w:val="18"/>
                <w:szCs w:val="18"/>
                <w:lang w:eastAsia="en-GB"/>
              </w:rPr>
              <w:t>1</w:t>
            </w:r>
          </w:p>
        </w:tc>
        <w:tc>
          <w:tcPr>
            <w:tcW w:w="800" w:type="dxa"/>
            <w:tcBorders>
              <w:top w:val="nil"/>
              <w:left w:val="nil"/>
              <w:bottom w:val="nil"/>
              <w:right w:val="nil"/>
            </w:tcBorders>
            <w:shd w:val="clear" w:color="000000" w:fill="FFFFFF"/>
            <w:noWrap/>
            <w:vAlign w:val="center"/>
            <w:hideMark/>
          </w:tcPr>
          <w:p w14:paraId="52B30ABD"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2,234</w:t>
            </w:r>
          </w:p>
        </w:tc>
        <w:tc>
          <w:tcPr>
            <w:tcW w:w="1000" w:type="dxa"/>
            <w:tcBorders>
              <w:top w:val="nil"/>
              <w:left w:val="nil"/>
              <w:bottom w:val="nil"/>
              <w:right w:val="nil"/>
            </w:tcBorders>
            <w:shd w:val="clear" w:color="000000" w:fill="FFFFFF"/>
            <w:noWrap/>
            <w:vAlign w:val="center"/>
            <w:hideMark/>
          </w:tcPr>
          <w:p w14:paraId="39AFD4F2"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0</w:t>
            </w:r>
          </w:p>
        </w:tc>
        <w:tc>
          <w:tcPr>
            <w:tcW w:w="1000" w:type="dxa"/>
            <w:tcBorders>
              <w:top w:val="nil"/>
              <w:left w:val="nil"/>
              <w:bottom w:val="nil"/>
              <w:right w:val="nil"/>
            </w:tcBorders>
            <w:shd w:val="clear" w:color="000000" w:fill="FFFFFF"/>
            <w:noWrap/>
            <w:vAlign w:val="center"/>
            <w:hideMark/>
          </w:tcPr>
          <w:p w14:paraId="29890B0D"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252</w:t>
            </w:r>
          </w:p>
        </w:tc>
        <w:tc>
          <w:tcPr>
            <w:tcW w:w="1000" w:type="dxa"/>
            <w:tcBorders>
              <w:top w:val="nil"/>
              <w:left w:val="nil"/>
              <w:bottom w:val="nil"/>
              <w:right w:val="single" w:sz="4" w:space="0" w:color="auto"/>
            </w:tcBorders>
            <w:shd w:val="clear" w:color="000000" w:fill="FFFFFF"/>
            <w:noWrap/>
            <w:vAlign w:val="center"/>
            <w:hideMark/>
          </w:tcPr>
          <w:p w14:paraId="0979C1F9" w14:textId="77777777" w:rsidR="0016530B" w:rsidRPr="0016530B" w:rsidRDefault="0016530B" w:rsidP="0016530B">
            <w:pPr>
              <w:jc w:val="right"/>
              <w:rPr>
                <w:rFonts w:cs="Arial"/>
                <w:color w:val="000000"/>
                <w:sz w:val="18"/>
                <w:szCs w:val="18"/>
                <w:lang w:eastAsia="en-GB"/>
              </w:rPr>
            </w:pPr>
            <w:r w:rsidRPr="0016530B">
              <w:rPr>
                <w:rFonts w:cs="Arial"/>
                <w:color w:val="000000"/>
                <w:sz w:val="18"/>
                <w:szCs w:val="18"/>
                <w:lang w:eastAsia="en-GB"/>
              </w:rPr>
              <w:t>2,486</w:t>
            </w:r>
          </w:p>
        </w:tc>
      </w:tr>
      <w:tr w:rsidR="0016530B" w:rsidRPr="0016530B" w14:paraId="0FA4F81E" w14:textId="77777777" w:rsidTr="0016530B">
        <w:trPr>
          <w:trHeight w:val="290"/>
        </w:trPr>
        <w:tc>
          <w:tcPr>
            <w:tcW w:w="2040" w:type="dxa"/>
            <w:tcBorders>
              <w:top w:val="single" w:sz="4" w:space="0" w:color="auto"/>
              <w:left w:val="single" w:sz="4" w:space="0" w:color="auto"/>
              <w:bottom w:val="nil"/>
              <w:right w:val="nil"/>
            </w:tcBorders>
            <w:shd w:val="clear" w:color="000000" w:fill="FFFFFF"/>
            <w:noWrap/>
            <w:vAlign w:val="center"/>
            <w:hideMark/>
          </w:tcPr>
          <w:p w14:paraId="3EF9BEEF" w14:textId="77777777" w:rsidR="0016530B" w:rsidRPr="0016530B" w:rsidRDefault="0016530B" w:rsidP="0016530B">
            <w:pPr>
              <w:rPr>
                <w:rFonts w:cs="Arial"/>
                <w:b/>
                <w:bCs/>
                <w:color w:val="000000"/>
                <w:sz w:val="18"/>
                <w:szCs w:val="18"/>
                <w:lang w:eastAsia="en-GB"/>
              </w:rPr>
            </w:pPr>
            <w:r w:rsidRPr="0016530B">
              <w:rPr>
                <w:rFonts w:cs="Arial"/>
                <w:b/>
                <w:bCs/>
                <w:color w:val="000000"/>
                <w:sz w:val="18"/>
                <w:szCs w:val="18"/>
                <w:lang w:eastAsia="en-GB"/>
              </w:rPr>
              <w:t>Total</w:t>
            </w:r>
          </w:p>
        </w:tc>
        <w:tc>
          <w:tcPr>
            <w:tcW w:w="600" w:type="dxa"/>
            <w:tcBorders>
              <w:top w:val="single" w:sz="4" w:space="0" w:color="auto"/>
              <w:left w:val="nil"/>
              <w:bottom w:val="nil"/>
              <w:right w:val="nil"/>
            </w:tcBorders>
            <w:shd w:val="clear" w:color="000000" w:fill="FFFFFF"/>
            <w:noWrap/>
            <w:vAlign w:val="center"/>
            <w:hideMark/>
          </w:tcPr>
          <w:p w14:paraId="0E1E9B76" w14:textId="77777777" w:rsidR="0016530B" w:rsidRPr="0016530B" w:rsidRDefault="0016530B" w:rsidP="0016530B">
            <w:pPr>
              <w:rPr>
                <w:rFonts w:cs="Arial"/>
                <w:b/>
                <w:bCs/>
                <w:color w:val="000000"/>
                <w:sz w:val="18"/>
                <w:szCs w:val="18"/>
                <w:lang w:eastAsia="en-GB"/>
              </w:rPr>
            </w:pPr>
            <w:r w:rsidRPr="0016530B">
              <w:rPr>
                <w:rFonts w:cs="Arial"/>
                <w:b/>
                <w:bCs/>
                <w:color w:val="000000"/>
                <w:sz w:val="18"/>
                <w:szCs w:val="18"/>
                <w:lang w:eastAsia="en-GB"/>
              </w:rPr>
              <w:t> </w:t>
            </w:r>
          </w:p>
        </w:tc>
        <w:tc>
          <w:tcPr>
            <w:tcW w:w="3160" w:type="dxa"/>
            <w:tcBorders>
              <w:top w:val="nil"/>
              <w:left w:val="nil"/>
              <w:bottom w:val="nil"/>
              <w:right w:val="nil"/>
            </w:tcBorders>
            <w:shd w:val="clear" w:color="000000" w:fill="FFFFFF"/>
            <w:noWrap/>
            <w:vAlign w:val="bottom"/>
            <w:hideMark/>
          </w:tcPr>
          <w:p w14:paraId="473EC007" w14:textId="77777777" w:rsidR="0016530B" w:rsidRPr="0016530B" w:rsidRDefault="0016530B" w:rsidP="0016530B">
            <w:pPr>
              <w:rPr>
                <w:rFonts w:cs="Arial"/>
                <w:b/>
                <w:bCs/>
                <w:color w:val="000000"/>
                <w:sz w:val="18"/>
                <w:szCs w:val="18"/>
                <w:lang w:eastAsia="en-GB"/>
              </w:rPr>
            </w:pPr>
            <w:r w:rsidRPr="0016530B">
              <w:rPr>
                <w:rFonts w:cs="Arial"/>
                <w:b/>
                <w:bCs/>
                <w:color w:val="000000"/>
                <w:sz w:val="18"/>
                <w:szCs w:val="18"/>
                <w:lang w:eastAsia="en-GB"/>
              </w:rPr>
              <w:t> </w:t>
            </w:r>
          </w:p>
        </w:tc>
        <w:tc>
          <w:tcPr>
            <w:tcW w:w="760" w:type="dxa"/>
            <w:tcBorders>
              <w:top w:val="single" w:sz="4" w:space="0" w:color="auto"/>
              <w:left w:val="nil"/>
              <w:bottom w:val="nil"/>
              <w:right w:val="nil"/>
            </w:tcBorders>
            <w:shd w:val="clear" w:color="000000" w:fill="FFFFFF"/>
            <w:noWrap/>
            <w:vAlign w:val="center"/>
            <w:hideMark/>
          </w:tcPr>
          <w:p w14:paraId="4D59B54B" w14:textId="77777777" w:rsidR="0016530B" w:rsidRPr="0016530B" w:rsidRDefault="0016530B" w:rsidP="0016530B">
            <w:pPr>
              <w:jc w:val="center"/>
              <w:rPr>
                <w:rFonts w:cs="Arial"/>
                <w:b/>
                <w:bCs/>
                <w:color w:val="000000"/>
                <w:sz w:val="18"/>
                <w:szCs w:val="18"/>
                <w:lang w:eastAsia="en-GB"/>
              </w:rPr>
            </w:pPr>
            <w:r w:rsidRPr="0016530B">
              <w:rPr>
                <w:rFonts w:cs="Arial"/>
                <w:b/>
                <w:bCs/>
                <w:color w:val="000000"/>
                <w:sz w:val="18"/>
                <w:szCs w:val="18"/>
                <w:lang w:eastAsia="en-GB"/>
              </w:rPr>
              <w:t> </w:t>
            </w:r>
          </w:p>
        </w:tc>
        <w:tc>
          <w:tcPr>
            <w:tcW w:w="800" w:type="dxa"/>
            <w:tcBorders>
              <w:top w:val="single" w:sz="4" w:space="0" w:color="auto"/>
              <w:left w:val="nil"/>
              <w:bottom w:val="nil"/>
              <w:right w:val="nil"/>
            </w:tcBorders>
            <w:shd w:val="clear" w:color="000000" w:fill="FFFFFF"/>
            <w:noWrap/>
            <w:vAlign w:val="center"/>
            <w:hideMark/>
          </w:tcPr>
          <w:p w14:paraId="058CD58B" w14:textId="1B6C5C1A" w:rsidR="0016530B" w:rsidRPr="0016530B" w:rsidRDefault="0016530B" w:rsidP="0016530B">
            <w:pPr>
              <w:jc w:val="right"/>
              <w:rPr>
                <w:rFonts w:cs="Arial"/>
                <w:b/>
                <w:bCs/>
                <w:color w:val="000000"/>
                <w:sz w:val="18"/>
                <w:szCs w:val="18"/>
                <w:lang w:eastAsia="en-GB"/>
              </w:rPr>
            </w:pPr>
            <w:r w:rsidRPr="0016530B">
              <w:rPr>
                <w:rFonts w:cs="Arial"/>
                <w:b/>
                <w:bCs/>
                <w:color w:val="000000"/>
                <w:sz w:val="18"/>
                <w:szCs w:val="18"/>
                <w:lang w:eastAsia="en-GB"/>
              </w:rPr>
              <w:t>57,</w:t>
            </w:r>
            <w:r w:rsidR="00C17679">
              <w:rPr>
                <w:rFonts w:cs="Arial"/>
                <w:b/>
                <w:bCs/>
                <w:color w:val="000000"/>
                <w:sz w:val="18"/>
                <w:szCs w:val="18"/>
                <w:lang w:eastAsia="en-GB"/>
              </w:rPr>
              <w:t>6</w:t>
            </w:r>
            <w:r w:rsidRPr="0016530B">
              <w:rPr>
                <w:rFonts w:cs="Arial"/>
                <w:b/>
                <w:bCs/>
                <w:color w:val="000000"/>
                <w:sz w:val="18"/>
                <w:szCs w:val="18"/>
                <w:lang w:eastAsia="en-GB"/>
              </w:rPr>
              <w:t>05</w:t>
            </w:r>
          </w:p>
        </w:tc>
        <w:tc>
          <w:tcPr>
            <w:tcW w:w="1000" w:type="dxa"/>
            <w:tcBorders>
              <w:top w:val="single" w:sz="4" w:space="0" w:color="auto"/>
              <w:left w:val="nil"/>
              <w:bottom w:val="nil"/>
              <w:right w:val="nil"/>
            </w:tcBorders>
            <w:shd w:val="clear" w:color="000000" w:fill="FFFFFF"/>
            <w:noWrap/>
            <w:vAlign w:val="center"/>
            <w:hideMark/>
          </w:tcPr>
          <w:p w14:paraId="06E8DA11" w14:textId="77777777" w:rsidR="0016530B" w:rsidRPr="0016530B" w:rsidRDefault="0016530B" w:rsidP="0016530B">
            <w:pPr>
              <w:jc w:val="right"/>
              <w:rPr>
                <w:rFonts w:cs="Arial"/>
                <w:b/>
                <w:bCs/>
                <w:color w:val="000000"/>
                <w:sz w:val="18"/>
                <w:szCs w:val="18"/>
                <w:lang w:eastAsia="en-GB"/>
              </w:rPr>
            </w:pPr>
            <w:r w:rsidRPr="0016530B">
              <w:rPr>
                <w:rFonts w:cs="Arial"/>
                <w:b/>
                <w:bCs/>
                <w:color w:val="000000"/>
                <w:sz w:val="18"/>
                <w:szCs w:val="18"/>
                <w:lang w:eastAsia="en-GB"/>
              </w:rPr>
              <w:t>17,318</w:t>
            </w:r>
          </w:p>
        </w:tc>
        <w:tc>
          <w:tcPr>
            <w:tcW w:w="1000" w:type="dxa"/>
            <w:tcBorders>
              <w:top w:val="single" w:sz="4" w:space="0" w:color="auto"/>
              <w:left w:val="nil"/>
              <w:bottom w:val="nil"/>
              <w:right w:val="nil"/>
            </w:tcBorders>
            <w:shd w:val="clear" w:color="000000" w:fill="FFFFFF"/>
            <w:noWrap/>
            <w:vAlign w:val="center"/>
            <w:hideMark/>
          </w:tcPr>
          <w:p w14:paraId="2E0263DE" w14:textId="77777777" w:rsidR="0016530B" w:rsidRPr="0016530B" w:rsidRDefault="0016530B" w:rsidP="0016530B">
            <w:pPr>
              <w:jc w:val="right"/>
              <w:rPr>
                <w:rFonts w:cs="Arial"/>
                <w:b/>
                <w:bCs/>
                <w:color w:val="000000"/>
                <w:sz w:val="18"/>
                <w:szCs w:val="18"/>
                <w:lang w:eastAsia="en-GB"/>
              </w:rPr>
            </w:pPr>
            <w:r w:rsidRPr="0016530B">
              <w:rPr>
                <w:rFonts w:cs="Arial"/>
                <w:b/>
                <w:bCs/>
                <w:color w:val="000000"/>
                <w:sz w:val="18"/>
                <w:szCs w:val="18"/>
                <w:lang w:eastAsia="en-GB"/>
              </w:rPr>
              <w:t>7,816</w:t>
            </w:r>
          </w:p>
        </w:tc>
        <w:tc>
          <w:tcPr>
            <w:tcW w:w="1000" w:type="dxa"/>
            <w:tcBorders>
              <w:top w:val="single" w:sz="4" w:space="0" w:color="auto"/>
              <w:left w:val="nil"/>
              <w:bottom w:val="nil"/>
              <w:right w:val="single" w:sz="4" w:space="0" w:color="auto"/>
            </w:tcBorders>
            <w:shd w:val="clear" w:color="000000" w:fill="FFFFFF"/>
            <w:noWrap/>
            <w:vAlign w:val="center"/>
            <w:hideMark/>
          </w:tcPr>
          <w:p w14:paraId="2CBDFD23" w14:textId="77777777" w:rsidR="0016530B" w:rsidRPr="0016530B" w:rsidRDefault="0016530B" w:rsidP="0016530B">
            <w:pPr>
              <w:jc w:val="right"/>
              <w:rPr>
                <w:rFonts w:cs="Arial"/>
                <w:b/>
                <w:bCs/>
                <w:color w:val="000000"/>
                <w:sz w:val="18"/>
                <w:szCs w:val="18"/>
                <w:lang w:eastAsia="en-GB"/>
              </w:rPr>
            </w:pPr>
            <w:r w:rsidRPr="0016530B">
              <w:rPr>
                <w:rFonts w:cs="Arial"/>
                <w:b/>
                <w:bCs/>
                <w:color w:val="000000"/>
                <w:sz w:val="18"/>
                <w:szCs w:val="18"/>
                <w:lang w:eastAsia="en-GB"/>
              </w:rPr>
              <w:t>82,439</w:t>
            </w:r>
          </w:p>
        </w:tc>
      </w:tr>
      <w:tr w:rsidR="0016530B" w:rsidRPr="0016530B" w14:paraId="7FC0FF41" w14:textId="77777777" w:rsidTr="0016530B">
        <w:trPr>
          <w:trHeight w:val="300"/>
        </w:trPr>
        <w:tc>
          <w:tcPr>
            <w:tcW w:w="2040" w:type="dxa"/>
            <w:tcBorders>
              <w:top w:val="nil"/>
              <w:left w:val="single" w:sz="4" w:space="0" w:color="auto"/>
              <w:bottom w:val="single" w:sz="4" w:space="0" w:color="auto"/>
              <w:right w:val="nil"/>
            </w:tcBorders>
            <w:shd w:val="clear" w:color="000000" w:fill="FFFFFF"/>
            <w:noWrap/>
            <w:vAlign w:val="center"/>
            <w:hideMark/>
          </w:tcPr>
          <w:p w14:paraId="46CF468E" w14:textId="77777777" w:rsidR="0016530B" w:rsidRPr="0016530B" w:rsidRDefault="0016530B" w:rsidP="0016530B">
            <w:pPr>
              <w:rPr>
                <w:rFonts w:cs="Arial"/>
                <w:b/>
                <w:bCs/>
                <w:color w:val="000000"/>
                <w:sz w:val="16"/>
                <w:szCs w:val="16"/>
                <w:lang w:eastAsia="en-GB"/>
              </w:rPr>
            </w:pPr>
            <w:r w:rsidRPr="0016530B">
              <w:rPr>
                <w:rFonts w:cs="Arial"/>
                <w:b/>
                <w:bCs/>
                <w:color w:val="000000"/>
                <w:sz w:val="16"/>
                <w:szCs w:val="16"/>
                <w:lang w:eastAsia="en-GB"/>
              </w:rPr>
              <w:t> </w:t>
            </w:r>
          </w:p>
        </w:tc>
        <w:tc>
          <w:tcPr>
            <w:tcW w:w="600" w:type="dxa"/>
            <w:tcBorders>
              <w:top w:val="nil"/>
              <w:left w:val="nil"/>
              <w:bottom w:val="single" w:sz="4" w:space="0" w:color="auto"/>
              <w:right w:val="nil"/>
            </w:tcBorders>
            <w:shd w:val="clear" w:color="000000" w:fill="FFFFFF"/>
            <w:noWrap/>
            <w:vAlign w:val="center"/>
            <w:hideMark/>
          </w:tcPr>
          <w:p w14:paraId="18D27D25" w14:textId="77777777" w:rsidR="0016530B" w:rsidRPr="0016530B" w:rsidRDefault="0016530B" w:rsidP="0016530B">
            <w:pPr>
              <w:rPr>
                <w:rFonts w:cs="Arial"/>
                <w:b/>
                <w:bCs/>
                <w:color w:val="000000"/>
                <w:sz w:val="16"/>
                <w:szCs w:val="16"/>
                <w:lang w:eastAsia="en-GB"/>
              </w:rPr>
            </w:pPr>
            <w:r w:rsidRPr="0016530B">
              <w:rPr>
                <w:rFonts w:cs="Arial"/>
                <w:b/>
                <w:bCs/>
                <w:color w:val="000000"/>
                <w:sz w:val="16"/>
                <w:szCs w:val="16"/>
                <w:lang w:eastAsia="en-GB"/>
              </w:rPr>
              <w:t> </w:t>
            </w:r>
          </w:p>
        </w:tc>
        <w:tc>
          <w:tcPr>
            <w:tcW w:w="3160" w:type="dxa"/>
            <w:tcBorders>
              <w:top w:val="nil"/>
              <w:left w:val="nil"/>
              <w:bottom w:val="single" w:sz="4" w:space="0" w:color="auto"/>
              <w:right w:val="nil"/>
            </w:tcBorders>
            <w:shd w:val="clear" w:color="000000" w:fill="FFFFFF"/>
            <w:noWrap/>
            <w:vAlign w:val="center"/>
            <w:hideMark/>
          </w:tcPr>
          <w:p w14:paraId="5E17B9D3" w14:textId="77777777" w:rsidR="0016530B" w:rsidRPr="0016530B" w:rsidRDefault="0016530B" w:rsidP="0016530B">
            <w:pPr>
              <w:rPr>
                <w:rFonts w:cs="Arial"/>
                <w:b/>
                <w:bCs/>
                <w:color w:val="000000"/>
                <w:sz w:val="16"/>
                <w:szCs w:val="16"/>
                <w:lang w:eastAsia="en-GB"/>
              </w:rPr>
            </w:pPr>
            <w:r w:rsidRPr="0016530B">
              <w:rPr>
                <w:rFonts w:cs="Arial"/>
                <w:b/>
                <w:bCs/>
                <w:color w:val="000000"/>
                <w:sz w:val="16"/>
                <w:szCs w:val="16"/>
                <w:lang w:eastAsia="en-GB"/>
              </w:rPr>
              <w:t> </w:t>
            </w:r>
          </w:p>
        </w:tc>
        <w:tc>
          <w:tcPr>
            <w:tcW w:w="760" w:type="dxa"/>
            <w:tcBorders>
              <w:top w:val="nil"/>
              <w:left w:val="nil"/>
              <w:bottom w:val="single" w:sz="4" w:space="0" w:color="auto"/>
              <w:right w:val="nil"/>
            </w:tcBorders>
            <w:shd w:val="clear" w:color="000000" w:fill="FFFFFF"/>
            <w:noWrap/>
            <w:vAlign w:val="center"/>
            <w:hideMark/>
          </w:tcPr>
          <w:p w14:paraId="4F40B522" w14:textId="77777777" w:rsidR="0016530B" w:rsidRPr="0016530B" w:rsidRDefault="0016530B" w:rsidP="0016530B">
            <w:pPr>
              <w:jc w:val="center"/>
              <w:rPr>
                <w:rFonts w:cs="Arial"/>
                <w:b/>
                <w:bCs/>
                <w:color w:val="000000"/>
                <w:sz w:val="16"/>
                <w:szCs w:val="16"/>
                <w:lang w:eastAsia="en-GB"/>
              </w:rPr>
            </w:pPr>
            <w:r w:rsidRPr="0016530B">
              <w:rPr>
                <w:rFonts w:cs="Arial"/>
                <w:b/>
                <w:bCs/>
                <w:color w:val="000000"/>
                <w:sz w:val="16"/>
                <w:szCs w:val="16"/>
                <w:lang w:eastAsia="en-GB"/>
              </w:rPr>
              <w:t> </w:t>
            </w:r>
          </w:p>
        </w:tc>
        <w:tc>
          <w:tcPr>
            <w:tcW w:w="800" w:type="dxa"/>
            <w:tcBorders>
              <w:top w:val="nil"/>
              <w:left w:val="nil"/>
              <w:bottom w:val="single" w:sz="4" w:space="0" w:color="auto"/>
              <w:right w:val="nil"/>
            </w:tcBorders>
            <w:shd w:val="clear" w:color="000000" w:fill="FFFFFF"/>
            <w:noWrap/>
            <w:vAlign w:val="center"/>
            <w:hideMark/>
          </w:tcPr>
          <w:p w14:paraId="0071BF42" w14:textId="77777777" w:rsidR="0016530B" w:rsidRPr="0016530B" w:rsidRDefault="0016530B" w:rsidP="0016530B">
            <w:pPr>
              <w:jc w:val="center"/>
              <w:rPr>
                <w:rFonts w:cs="Arial"/>
                <w:b/>
                <w:bCs/>
                <w:color w:val="000000"/>
                <w:sz w:val="16"/>
                <w:szCs w:val="16"/>
                <w:lang w:eastAsia="en-GB"/>
              </w:rPr>
            </w:pPr>
            <w:r w:rsidRPr="0016530B">
              <w:rPr>
                <w:rFonts w:cs="Arial"/>
                <w:b/>
                <w:bCs/>
                <w:color w:val="000000"/>
                <w:sz w:val="16"/>
                <w:szCs w:val="16"/>
                <w:lang w:eastAsia="en-GB"/>
              </w:rPr>
              <w:t> </w:t>
            </w:r>
          </w:p>
        </w:tc>
        <w:tc>
          <w:tcPr>
            <w:tcW w:w="1000" w:type="dxa"/>
            <w:tcBorders>
              <w:top w:val="nil"/>
              <w:left w:val="nil"/>
              <w:bottom w:val="single" w:sz="4" w:space="0" w:color="auto"/>
              <w:right w:val="nil"/>
            </w:tcBorders>
            <w:shd w:val="clear" w:color="000000" w:fill="FFFFFF"/>
            <w:noWrap/>
            <w:vAlign w:val="center"/>
            <w:hideMark/>
          </w:tcPr>
          <w:p w14:paraId="26C2FBA7" w14:textId="77777777" w:rsidR="0016530B" w:rsidRPr="0016530B" w:rsidRDefault="0016530B" w:rsidP="0016530B">
            <w:pPr>
              <w:jc w:val="center"/>
              <w:rPr>
                <w:rFonts w:cs="Arial"/>
                <w:b/>
                <w:bCs/>
                <w:color w:val="000000"/>
                <w:sz w:val="16"/>
                <w:szCs w:val="16"/>
                <w:lang w:eastAsia="en-GB"/>
              </w:rPr>
            </w:pPr>
            <w:r w:rsidRPr="0016530B">
              <w:rPr>
                <w:rFonts w:cs="Arial"/>
                <w:b/>
                <w:bCs/>
                <w:color w:val="000000"/>
                <w:sz w:val="16"/>
                <w:szCs w:val="16"/>
                <w:lang w:eastAsia="en-GB"/>
              </w:rPr>
              <w:t> </w:t>
            </w:r>
          </w:p>
        </w:tc>
        <w:tc>
          <w:tcPr>
            <w:tcW w:w="1000" w:type="dxa"/>
            <w:tcBorders>
              <w:top w:val="nil"/>
              <w:left w:val="nil"/>
              <w:bottom w:val="single" w:sz="4" w:space="0" w:color="auto"/>
              <w:right w:val="nil"/>
            </w:tcBorders>
            <w:shd w:val="clear" w:color="000000" w:fill="FFFFFF"/>
            <w:noWrap/>
            <w:vAlign w:val="center"/>
            <w:hideMark/>
          </w:tcPr>
          <w:p w14:paraId="213D03BF" w14:textId="77777777" w:rsidR="0016530B" w:rsidRPr="0016530B" w:rsidRDefault="0016530B" w:rsidP="0016530B">
            <w:pPr>
              <w:jc w:val="center"/>
              <w:rPr>
                <w:rFonts w:cs="Arial"/>
                <w:b/>
                <w:bCs/>
                <w:color w:val="000000"/>
                <w:sz w:val="16"/>
                <w:szCs w:val="16"/>
                <w:lang w:eastAsia="en-GB"/>
              </w:rPr>
            </w:pPr>
            <w:r w:rsidRPr="0016530B">
              <w:rPr>
                <w:rFonts w:cs="Arial"/>
                <w:b/>
                <w:bCs/>
                <w:color w:val="000000"/>
                <w:sz w:val="16"/>
                <w:szCs w:val="16"/>
                <w:lang w:eastAsia="en-GB"/>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3CC57FB4" w14:textId="77777777" w:rsidR="0016530B" w:rsidRPr="0016530B" w:rsidRDefault="0016530B" w:rsidP="0016530B">
            <w:pPr>
              <w:jc w:val="center"/>
              <w:rPr>
                <w:rFonts w:cs="Arial"/>
                <w:color w:val="000000"/>
                <w:sz w:val="16"/>
                <w:szCs w:val="16"/>
                <w:lang w:eastAsia="en-GB"/>
              </w:rPr>
            </w:pPr>
            <w:r w:rsidRPr="0016530B">
              <w:rPr>
                <w:rFonts w:cs="Arial"/>
                <w:color w:val="000000"/>
                <w:sz w:val="16"/>
                <w:szCs w:val="16"/>
                <w:lang w:eastAsia="en-GB"/>
              </w:rPr>
              <w:t> </w:t>
            </w:r>
          </w:p>
        </w:tc>
      </w:tr>
    </w:tbl>
    <w:p w14:paraId="06BD3CF6" w14:textId="77777777" w:rsidR="005F6EE1" w:rsidRDefault="005F6EE1" w:rsidP="0070459C">
      <w:pPr>
        <w:pStyle w:val="BlockText"/>
        <w:ind w:left="0"/>
        <w:rPr>
          <w:sz w:val="23"/>
          <w:szCs w:val="23"/>
          <w:highlight w:val="yellow"/>
        </w:rPr>
      </w:pPr>
    </w:p>
    <w:p w14:paraId="198BB1DF" w14:textId="77777777" w:rsidR="005F6EE1" w:rsidRDefault="005F6EE1" w:rsidP="0070459C">
      <w:pPr>
        <w:pStyle w:val="BlockText"/>
        <w:ind w:left="0"/>
        <w:rPr>
          <w:sz w:val="23"/>
          <w:szCs w:val="23"/>
          <w:highlight w:val="yellow"/>
        </w:rPr>
      </w:pPr>
    </w:p>
    <w:p w14:paraId="0E442A98" w14:textId="77777777" w:rsidR="007D5C25" w:rsidRDefault="007D5C25" w:rsidP="0070459C"/>
    <w:p w14:paraId="1A6B2AC8" w14:textId="77777777" w:rsidR="007D5C25" w:rsidRDefault="007D5C25" w:rsidP="0070459C"/>
    <w:p w14:paraId="05B86C8E" w14:textId="77777777" w:rsidR="007D5C25" w:rsidRDefault="007D5C25" w:rsidP="0070459C"/>
    <w:p w14:paraId="3C8B22F7" w14:textId="77777777" w:rsidR="007D5C25" w:rsidRDefault="007D5C25" w:rsidP="0070459C"/>
    <w:p w14:paraId="02F56740" w14:textId="77777777" w:rsidR="007D5C25" w:rsidRDefault="007D5C25" w:rsidP="0070459C"/>
    <w:p w14:paraId="17C30B98" w14:textId="77777777" w:rsidR="007D5C25" w:rsidRDefault="007D5C25" w:rsidP="0070459C"/>
    <w:p w14:paraId="485A4660" w14:textId="1B86A70B" w:rsidR="00E00863" w:rsidRPr="009F03E4" w:rsidRDefault="00E00863" w:rsidP="0070459C">
      <w:r w:rsidRPr="009F03E4">
        <w:lastRenderedPageBreak/>
        <w:t>Notes:</w:t>
      </w:r>
    </w:p>
    <w:p w14:paraId="485A4661" w14:textId="77777777" w:rsidR="00E00863" w:rsidRPr="009F03E4" w:rsidRDefault="00E00863" w:rsidP="0070459C">
      <w:pPr>
        <w:rPr>
          <w:highlight w:val="yellow"/>
          <w:u w:val="single"/>
        </w:rPr>
      </w:pPr>
    </w:p>
    <w:p w14:paraId="646536D4" w14:textId="42D15D99" w:rsidR="008220E2" w:rsidRPr="009F03E4" w:rsidRDefault="006D0965" w:rsidP="0070459C">
      <w:pPr>
        <w:pStyle w:val="ListParagraph"/>
        <w:numPr>
          <w:ilvl w:val="1"/>
          <w:numId w:val="36"/>
        </w:numPr>
        <w:ind w:left="0" w:firstLine="0"/>
        <w:rPr>
          <w:rFonts w:cs="Arial"/>
          <w:color w:val="1F497D"/>
          <w:sz w:val="23"/>
          <w:szCs w:val="23"/>
          <w:u w:val="none"/>
          <w:lang w:eastAsia="en-US"/>
        </w:rPr>
      </w:pPr>
      <w:r w:rsidRPr="009F03E4">
        <w:rPr>
          <w:sz w:val="23"/>
          <w:szCs w:val="23"/>
          <w:u w:val="none"/>
        </w:rPr>
        <w:t xml:space="preserve">The following Members joined the Authority during the year: </w:t>
      </w:r>
    </w:p>
    <w:p w14:paraId="19F553DC" w14:textId="77777777" w:rsidR="008220E2" w:rsidRPr="009F03E4" w:rsidRDefault="008220E2" w:rsidP="0070459C">
      <w:pPr>
        <w:pStyle w:val="ListParagraph"/>
        <w:ind w:left="0"/>
        <w:rPr>
          <w:rFonts w:cs="Arial"/>
          <w:color w:val="1F497D"/>
          <w:sz w:val="23"/>
          <w:szCs w:val="23"/>
          <w:u w:val="none"/>
        </w:rPr>
      </w:pPr>
    </w:p>
    <w:p w14:paraId="1BCA16C1" w14:textId="77777777" w:rsidR="00E03B3E" w:rsidRDefault="00E03B3E" w:rsidP="00E03B3E">
      <w:pPr>
        <w:rPr>
          <w:rFonts w:cs="Arial"/>
          <w:color w:val="1F497D"/>
        </w:rPr>
      </w:pPr>
    </w:p>
    <w:p w14:paraId="32D7AEAC" w14:textId="77777777" w:rsidR="00E03B3E" w:rsidRPr="00E03B3E" w:rsidRDefault="00E03B3E" w:rsidP="00E03B3E">
      <w:pPr>
        <w:rPr>
          <w:rFonts w:cs="Arial"/>
        </w:rPr>
      </w:pPr>
      <w:r w:rsidRPr="00E03B3E">
        <w:rPr>
          <w:rFonts w:cs="Arial"/>
        </w:rPr>
        <w:t>Mr M Brereton – 24 April 2023</w:t>
      </w:r>
    </w:p>
    <w:p w14:paraId="1754DE0B" w14:textId="77777777" w:rsidR="00E03B3E" w:rsidRPr="00E03B3E" w:rsidRDefault="00E03B3E" w:rsidP="00E03B3E">
      <w:pPr>
        <w:rPr>
          <w:rFonts w:cs="Arial"/>
        </w:rPr>
      </w:pPr>
      <w:r w:rsidRPr="00E03B3E">
        <w:rPr>
          <w:rFonts w:cs="Arial"/>
        </w:rPr>
        <w:t>Mr G Calland – 3 July 2023</w:t>
      </w:r>
    </w:p>
    <w:p w14:paraId="2DD71281" w14:textId="77777777" w:rsidR="00E03B3E" w:rsidRPr="00E03B3E" w:rsidRDefault="00E03B3E" w:rsidP="00E03B3E">
      <w:pPr>
        <w:rPr>
          <w:rFonts w:cs="Arial"/>
        </w:rPr>
      </w:pPr>
      <w:r w:rsidRPr="00E03B3E">
        <w:rPr>
          <w:rFonts w:cs="Arial"/>
        </w:rPr>
        <w:t>Mr M Campbell-Savours – 17 April 2023</w:t>
      </w:r>
    </w:p>
    <w:p w14:paraId="2EEDB5C8" w14:textId="77777777" w:rsidR="00E03B3E" w:rsidRPr="00E03B3E" w:rsidRDefault="00E03B3E" w:rsidP="00E03B3E">
      <w:pPr>
        <w:rPr>
          <w:rFonts w:cs="Arial"/>
        </w:rPr>
      </w:pPr>
      <w:r w:rsidRPr="00E03B3E">
        <w:rPr>
          <w:rFonts w:cs="Arial"/>
        </w:rPr>
        <w:t>Mr W Clark – 24 April 2023</w:t>
      </w:r>
    </w:p>
    <w:p w14:paraId="7063881B" w14:textId="77777777" w:rsidR="00E03B3E" w:rsidRPr="00E03B3E" w:rsidRDefault="00E03B3E" w:rsidP="00E03B3E">
      <w:pPr>
        <w:rPr>
          <w:rFonts w:cs="Arial"/>
        </w:rPr>
      </w:pPr>
      <w:r w:rsidRPr="00E03B3E">
        <w:rPr>
          <w:rFonts w:cs="Arial"/>
        </w:rPr>
        <w:t>Ms J A Drake – 24 April 2023</w:t>
      </w:r>
    </w:p>
    <w:p w14:paraId="35695478" w14:textId="77777777" w:rsidR="00E03B3E" w:rsidRPr="00E03B3E" w:rsidRDefault="00E03B3E" w:rsidP="00E03B3E">
      <w:pPr>
        <w:rPr>
          <w:rFonts w:cs="Arial"/>
        </w:rPr>
      </w:pPr>
      <w:r w:rsidRPr="00E03B3E">
        <w:rPr>
          <w:rFonts w:cs="Arial"/>
        </w:rPr>
        <w:t>Mr P Endsor – 24 April 2023</w:t>
      </w:r>
    </w:p>
    <w:p w14:paraId="24DA3F5C" w14:textId="77777777" w:rsidR="00E03B3E" w:rsidRPr="00E03B3E" w:rsidRDefault="00E03B3E" w:rsidP="00E03B3E">
      <w:pPr>
        <w:rPr>
          <w:rFonts w:cs="Arial"/>
        </w:rPr>
      </w:pPr>
      <w:r w:rsidRPr="00E03B3E">
        <w:rPr>
          <w:rFonts w:cs="Arial"/>
        </w:rPr>
        <w:t>Mr N Hughes – 20 June 2023</w:t>
      </w:r>
    </w:p>
    <w:p w14:paraId="63BD7600" w14:textId="77777777" w:rsidR="00E03B3E" w:rsidRPr="00E03B3E" w:rsidRDefault="00E03B3E" w:rsidP="00E03B3E">
      <w:pPr>
        <w:rPr>
          <w:rFonts w:cs="Arial"/>
        </w:rPr>
      </w:pPr>
      <w:r w:rsidRPr="00E03B3E">
        <w:rPr>
          <w:rFonts w:cs="Arial"/>
        </w:rPr>
        <w:t>Ms V Hughes – 24 April 2023</w:t>
      </w:r>
    </w:p>
    <w:p w14:paraId="7664C613" w14:textId="77777777" w:rsidR="00E03B3E" w:rsidRPr="00E03B3E" w:rsidRDefault="00E03B3E" w:rsidP="00E03B3E">
      <w:pPr>
        <w:rPr>
          <w:rFonts w:cs="Arial"/>
        </w:rPr>
      </w:pPr>
      <w:r w:rsidRPr="00E03B3E">
        <w:rPr>
          <w:rFonts w:cs="Arial"/>
        </w:rPr>
        <w:t>Ms L Jones-Bulman – 17 April 2023</w:t>
      </w:r>
    </w:p>
    <w:p w14:paraId="130FAC35" w14:textId="77777777" w:rsidR="00E03B3E" w:rsidRPr="00E03B3E" w:rsidRDefault="00E03B3E" w:rsidP="00E03B3E">
      <w:pPr>
        <w:rPr>
          <w:rFonts w:cs="Arial"/>
        </w:rPr>
      </w:pPr>
      <w:r w:rsidRPr="00E03B3E">
        <w:rPr>
          <w:rFonts w:cs="Arial"/>
        </w:rPr>
        <w:t>Mr R G Minshaw – 17 April 2023</w:t>
      </w:r>
    </w:p>
    <w:p w14:paraId="5B4E36E8" w14:textId="77777777" w:rsidR="00E03B3E" w:rsidRPr="00E03B3E" w:rsidRDefault="00E03B3E" w:rsidP="00E03B3E">
      <w:pPr>
        <w:rPr>
          <w:rFonts w:cs="Arial"/>
        </w:rPr>
      </w:pPr>
      <w:r w:rsidRPr="00E03B3E">
        <w:rPr>
          <w:rFonts w:cs="Arial"/>
        </w:rPr>
        <w:t>Mr A Pratt – 17 April 2023</w:t>
      </w:r>
    </w:p>
    <w:p w14:paraId="629D5153" w14:textId="77777777" w:rsidR="00E03B3E" w:rsidRPr="00E03B3E" w:rsidRDefault="00E03B3E" w:rsidP="00E03B3E">
      <w:pPr>
        <w:rPr>
          <w:rFonts w:cs="Arial"/>
        </w:rPr>
      </w:pPr>
      <w:r w:rsidRPr="00E03B3E">
        <w:rPr>
          <w:rFonts w:cs="Arial"/>
        </w:rPr>
        <w:t>Mr D Rathbone – 24 April 2023</w:t>
      </w:r>
    </w:p>
    <w:p w14:paraId="4845BE56" w14:textId="77777777" w:rsidR="00E03B3E" w:rsidRPr="00E03B3E" w:rsidRDefault="00E03B3E" w:rsidP="00E03B3E">
      <w:pPr>
        <w:rPr>
          <w:rFonts w:cs="Arial"/>
        </w:rPr>
      </w:pPr>
      <w:r w:rsidRPr="00E03B3E">
        <w:rPr>
          <w:rFonts w:cs="Arial"/>
        </w:rPr>
        <w:t>Mr P Walter – 3 July 2023</w:t>
      </w:r>
    </w:p>
    <w:p w14:paraId="66315839" w14:textId="7C26171E" w:rsidR="00E03B3E" w:rsidRPr="00E03B3E" w:rsidRDefault="00E03B3E" w:rsidP="00E03B3E">
      <w:pPr>
        <w:rPr>
          <w:rFonts w:cs="Arial"/>
        </w:rPr>
      </w:pPr>
      <w:r w:rsidRPr="00E03B3E">
        <w:rPr>
          <w:rFonts w:cs="Arial"/>
        </w:rPr>
        <w:t>Mr I Wharton – 3 July 2023</w:t>
      </w:r>
    </w:p>
    <w:p w14:paraId="33053A5A" w14:textId="2C054A45" w:rsidR="00960A22" w:rsidRPr="009F03E4" w:rsidRDefault="00960A22" w:rsidP="0070459C">
      <w:pPr>
        <w:rPr>
          <w:rFonts w:cs="Arial"/>
          <w:highlight w:val="yellow"/>
        </w:rPr>
      </w:pPr>
    </w:p>
    <w:p w14:paraId="61FF14ED" w14:textId="77777777" w:rsidR="00DC1950" w:rsidRPr="009F03E4" w:rsidRDefault="00DC1950" w:rsidP="0070459C">
      <w:pPr>
        <w:rPr>
          <w:rFonts w:cs="Arial"/>
          <w:highlight w:val="yellow"/>
        </w:rPr>
      </w:pPr>
    </w:p>
    <w:p w14:paraId="4BE85B73" w14:textId="681B0EF9" w:rsidR="006D0965" w:rsidRPr="009F03E4" w:rsidRDefault="006D0965" w:rsidP="0070459C">
      <w:pPr>
        <w:pStyle w:val="ListParagraph"/>
        <w:numPr>
          <w:ilvl w:val="1"/>
          <w:numId w:val="36"/>
        </w:numPr>
        <w:ind w:left="0" w:firstLine="0"/>
        <w:rPr>
          <w:rFonts w:cs="Arial"/>
          <w:sz w:val="23"/>
          <w:szCs w:val="23"/>
          <w:u w:val="none"/>
        </w:rPr>
      </w:pPr>
      <w:r w:rsidRPr="009F03E4">
        <w:rPr>
          <w:rFonts w:cs="Arial"/>
          <w:sz w:val="23"/>
          <w:szCs w:val="23"/>
          <w:u w:val="none"/>
        </w:rPr>
        <w:t>The following Members left the Authority during the year</w:t>
      </w:r>
      <w:r w:rsidR="007D2E50">
        <w:rPr>
          <w:rFonts w:cs="Arial"/>
          <w:sz w:val="23"/>
          <w:szCs w:val="23"/>
          <w:u w:val="none"/>
        </w:rPr>
        <w:t xml:space="preserve">: </w:t>
      </w:r>
    </w:p>
    <w:p w14:paraId="2C093999" w14:textId="77777777" w:rsidR="006D0965" w:rsidRPr="009F03E4" w:rsidRDefault="006D0965" w:rsidP="0070459C">
      <w:pPr>
        <w:rPr>
          <w:rFonts w:cs="Arial"/>
          <w:highlight w:val="yellow"/>
        </w:rPr>
      </w:pPr>
    </w:p>
    <w:p w14:paraId="65E29980" w14:textId="77777777" w:rsidR="00E03B3E" w:rsidRPr="00E03B3E" w:rsidRDefault="00E03B3E" w:rsidP="00E03B3E">
      <w:pPr>
        <w:rPr>
          <w:rFonts w:cs="Arial"/>
        </w:rPr>
      </w:pPr>
      <w:r w:rsidRPr="00E03B3E">
        <w:rPr>
          <w:rFonts w:cs="Arial"/>
        </w:rPr>
        <w:t>Dr G Davies – 30 June 2023</w:t>
      </w:r>
    </w:p>
    <w:p w14:paraId="4127B984" w14:textId="77777777" w:rsidR="00E03B3E" w:rsidRPr="00E03B3E" w:rsidRDefault="00E03B3E" w:rsidP="00E03B3E">
      <w:pPr>
        <w:rPr>
          <w:rFonts w:cs="Arial"/>
        </w:rPr>
      </w:pPr>
      <w:r w:rsidRPr="00E03B3E">
        <w:rPr>
          <w:rFonts w:cs="Arial"/>
        </w:rPr>
        <w:t>Mr P Endsor – 27 May 2023</w:t>
      </w:r>
    </w:p>
    <w:p w14:paraId="2C04CAA8" w14:textId="77777777" w:rsidR="00E03B3E" w:rsidRPr="00E03B3E" w:rsidRDefault="00E03B3E" w:rsidP="00E03B3E">
      <w:pPr>
        <w:rPr>
          <w:rFonts w:cs="Arial"/>
        </w:rPr>
      </w:pPr>
      <w:r w:rsidRPr="00E03B3E">
        <w:rPr>
          <w:rFonts w:cs="Arial"/>
        </w:rPr>
        <w:t>Mr A Mackenzie – 16 May 2023</w:t>
      </w:r>
    </w:p>
    <w:p w14:paraId="4EDF505E" w14:textId="77777777" w:rsidR="00E03B3E" w:rsidRDefault="00E03B3E" w:rsidP="00E03B3E">
      <w:pPr>
        <w:rPr>
          <w:rFonts w:cs="Arial"/>
        </w:rPr>
      </w:pPr>
      <w:r w:rsidRPr="00E03B3E">
        <w:rPr>
          <w:rFonts w:cs="Arial"/>
        </w:rPr>
        <w:t>Ms J Sayers – 9 May 2023</w:t>
      </w:r>
    </w:p>
    <w:p w14:paraId="2F1F3F8A" w14:textId="77777777" w:rsidR="0016530B" w:rsidRDefault="0016530B" w:rsidP="00E03B3E">
      <w:pPr>
        <w:rPr>
          <w:rFonts w:cs="Arial"/>
        </w:rPr>
      </w:pPr>
    </w:p>
    <w:p w14:paraId="7FC3C32A" w14:textId="5E456D2F" w:rsidR="0016530B" w:rsidRPr="00E03B3E" w:rsidRDefault="0016530B" w:rsidP="00E03B3E">
      <w:pPr>
        <w:rPr>
          <w:rFonts w:cs="Arial"/>
        </w:rPr>
      </w:pPr>
      <w:r>
        <w:rPr>
          <w:rFonts w:cs="Arial"/>
        </w:rPr>
        <w:t>3 – Expenses paid to former Member after they had left the Authority</w:t>
      </w:r>
    </w:p>
    <w:p w14:paraId="485A466A" w14:textId="472F2979" w:rsidR="00D96122" w:rsidRPr="009F03E4" w:rsidRDefault="005B6333" w:rsidP="0070459C">
      <w:pPr>
        <w:rPr>
          <w:highlight w:val="yellow"/>
        </w:rPr>
      </w:pPr>
      <w:r w:rsidRPr="009F03E4">
        <w:rPr>
          <w:rFonts w:eastAsia="Calibri"/>
          <w:highlight w:val="yellow"/>
          <w:lang w:eastAsia="en-GB"/>
        </w:rPr>
        <w:t xml:space="preserve">       </w:t>
      </w:r>
    </w:p>
    <w:p w14:paraId="485A466C" w14:textId="472DACA5" w:rsidR="00F768F9" w:rsidRPr="009F03E4" w:rsidRDefault="00C33968" w:rsidP="0070459C">
      <w:r w:rsidRPr="009F03E4">
        <w:t>Comparative figures for 20</w:t>
      </w:r>
      <w:r w:rsidR="00960A22" w:rsidRPr="009F03E4">
        <w:t>2</w:t>
      </w:r>
      <w:r w:rsidR="00E03B3E">
        <w:t>2</w:t>
      </w:r>
      <w:r w:rsidR="008220E2" w:rsidRPr="009F03E4">
        <w:t>/</w:t>
      </w:r>
      <w:r w:rsidR="0018764B" w:rsidRPr="009F03E4">
        <w:t>2</w:t>
      </w:r>
      <w:r w:rsidR="00E03B3E">
        <w:t>3</w:t>
      </w:r>
      <w:r w:rsidR="00F768F9" w:rsidRPr="009F03E4">
        <w:t xml:space="preserve"> are shown below:</w:t>
      </w:r>
    </w:p>
    <w:p w14:paraId="68648D59" w14:textId="748F6E7D" w:rsidR="00960A22" w:rsidRDefault="00960A22" w:rsidP="0070459C">
      <w:pPr>
        <w:rPr>
          <w:highlight w:val="yellow"/>
        </w:rPr>
      </w:pPr>
    </w:p>
    <w:p w14:paraId="7475ACA5" w14:textId="77777777" w:rsidR="0016530B" w:rsidRPr="004D5CA8" w:rsidRDefault="0016530B" w:rsidP="0070459C">
      <w:pPr>
        <w:rPr>
          <w:highlight w:val="yellow"/>
        </w:rPr>
      </w:pPr>
    </w:p>
    <w:tbl>
      <w:tblPr>
        <w:tblW w:w="4812" w:type="dxa"/>
        <w:jc w:val="center"/>
        <w:tblLook w:val="04A0" w:firstRow="1" w:lastRow="0" w:firstColumn="1" w:lastColumn="0" w:noHBand="0" w:noVBand="1"/>
      </w:tblPr>
      <w:tblGrid>
        <w:gridCol w:w="1012"/>
        <w:gridCol w:w="3160"/>
        <w:gridCol w:w="1012"/>
      </w:tblGrid>
      <w:tr w:rsidR="0016530B" w:rsidRPr="0016530B" w14:paraId="0DAD5FB9" w14:textId="77777777" w:rsidTr="0016530B">
        <w:trPr>
          <w:trHeight w:val="290"/>
          <w:jc w:val="center"/>
        </w:trPr>
        <w:tc>
          <w:tcPr>
            <w:tcW w:w="826" w:type="dxa"/>
            <w:tcBorders>
              <w:top w:val="single" w:sz="8" w:space="0" w:color="auto"/>
              <w:left w:val="single" w:sz="8" w:space="0" w:color="auto"/>
              <w:bottom w:val="nil"/>
              <w:right w:val="nil"/>
            </w:tcBorders>
            <w:shd w:val="clear" w:color="000000" w:fill="000000"/>
            <w:noWrap/>
            <w:vAlign w:val="center"/>
            <w:hideMark/>
          </w:tcPr>
          <w:p w14:paraId="65A58659" w14:textId="77777777" w:rsidR="0016530B" w:rsidRPr="0016530B" w:rsidRDefault="0016530B" w:rsidP="0016530B">
            <w:pPr>
              <w:jc w:val="center"/>
              <w:rPr>
                <w:rFonts w:cs="Arial"/>
                <w:b/>
                <w:bCs/>
                <w:color w:val="FFFFFF"/>
                <w:sz w:val="22"/>
                <w:szCs w:val="22"/>
                <w:lang w:eastAsia="en-GB"/>
              </w:rPr>
            </w:pPr>
            <w:r w:rsidRPr="0016530B">
              <w:rPr>
                <w:rFonts w:cs="Arial"/>
                <w:b/>
                <w:bCs/>
                <w:color w:val="FFFFFF"/>
                <w:sz w:val="22"/>
                <w:szCs w:val="22"/>
                <w:lang w:eastAsia="en-GB"/>
              </w:rPr>
              <w:t>2022/23</w:t>
            </w:r>
          </w:p>
        </w:tc>
        <w:tc>
          <w:tcPr>
            <w:tcW w:w="3160" w:type="dxa"/>
            <w:tcBorders>
              <w:top w:val="single" w:sz="8" w:space="0" w:color="auto"/>
              <w:left w:val="nil"/>
              <w:bottom w:val="nil"/>
              <w:right w:val="nil"/>
            </w:tcBorders>
            <w:shd w:val="clear" w:color="000000" w:fill="000000"/>
            <w:noWrap/>
            <w:vAlign w:val="center"/>
            <w:hideMark/>
          </w:tcPr>
          <w:p w14:paraId="1A1FFD7E" w14:textId="77777777" w:rsidR="0016530B" w:rsidRPr="0016530B" w:rsidRDefault="0016530B" w:rsidP="0016530B">
            <w:pPr>
              <w:rPr>
                <w:rFonts w:cs="Arial"/>
                <w:b/>
                <w:bCs/>
                <w:color w:val="FFFFFF"/>
                <w:sz w:val="22"/>
                <w:szCs w:val="22"/>
                <w:lang w:eastAsia="en-GB"/>
              </w:rPr>
            </w:pPr>
            <w:r w:rsidRPr="0016530B">
              <w:rPr>
                <w:rFonts w:cs="Arial"/>
                <w:b/>
                <w:bCs/>
                <w:color w:val="FFFFFF"/>
                <w:sz w:val="22"/>
                <w:szCs w:val="22"/>
                <w:lang w:eastAsia="en-GB"/>
              </w:rPr>
              <w:t> </w:t>
            </w:r>
          </w:p>
        </w:tc>
        <w:tc>
          <w:tcPr>
            <w:tcW w:w="826" w:type="dxa"/>
            <w:tcBorders>
              <w:top w:val="single" w:sz="8" w:space="0" w:color="auto"/>
              <w:left w:val="nil"/>
              <w:bottom w:val="nil"/>
              <w:right w:val="single" w:sz="8" w:space="0" w:color="auto"/>
            </w:tcBorders>
            <w:shd w:val="clear" w:color="000000" w:fill="000000"/>
            <w:noWrap/>
            <w:vAlign w:val="center"/>
            <w:hideMark/>
          </w:tcPr>
          <w:p w14:paraId="584C9999" w14:textId="77777777" w:rsidR="0016530B" w:rsidRPr="0016530B" w:rsidRDefault="0016530B" w:rsidP="0016530B">
            <w:pPr>
              <w:jc w:val="center"/>
              <w:rPr>
                <w:rFonts w:cs="Arial"/>
                <w:b/>
                <w:bCs/>
                <w:color w:val="FFFFFF"/>
                <w:sz w:val="22"/>
                <w:szCs w:val="22"/>
                <w:lang w:eastAsia="en-GB"/>
              </w:rPr>
            </w:pPr>
            <w:r w:rsidRPr="0016530B">
              <w:rPr>
                <w:rFonts w:cs="Arial"/>
                <w:b/>
                <w:bCs/>
                <w:color w:val="FFFFFF"/>
                <w:sz w:val="22"/>
                <w:szCs w:val="22"/>
                <w:lang w:eastAsia="en-GB"/>
              </w:rPr>
              <w:t>2023/24</w:t>
            </w:r>
          </w:p>
        </w:tc>
      </w:tr>
      <w:tr w:rsidR="0016530B" w:rsidRPr="0016530B" w14:paraId="12313B1C" w14:textId="77777777" w:rsidTr="0016530B">
        <w:trPr>
          <w:trHeight w:val="290"/>
          <w:jc w:val="center"/>
        </w:trPr>
        <w:tc>
          <w:tcPr>
            <w:tcW w:w="826" w:type="dxa"/>
            <w:tcBorders>
              <w:top w:val="nil"/>
              <w:left w:val="single" w:sz="8" w:space="0" w:color="auto"/>
              <w:bottom w:val="nil"/>
              <w:right w:val="nil"/>
            </w:tcBorders>
            <w:shd w:val="clear" w:color="000000" w:fill="000000"/>
            <w:noWrap/>
            <w:vAlign w:val="center"/>
            <w:hideMark/>
          </w:tcPr>
          <w:p w14:paraId="4F3DE737" w14:textId="77777777" w:rsidR="0016530B" w:rsidRPr="0016530B" w:rsidRDefault="0016530B" w:rsidP="0016530B">
            <w:pPr>
              <w:jc w:val="center"/>
              <w:rPr>
                <w:rFonts w:cs="Arial"/>
                <w:b/>
                <w:bCs/>
                <w:color w:val="FFFFFF"/>
                <w:sz w:val="22"/>
                <w:szCs w:val="22"/>
                <w:lang w:eastAsia="en-GB"/>
              </w:rPr>
            </w:pPr>
            <w:r w:rsidRPr="0016530B">
              <w:rPr>
                <w:rFonts w:cs="Arial"/>
                <w:b/>
                <w:bCs/>
                <w:color w:val="FFFFFF"/>
                <w:sz w:val="22"/>
                <w:szCs w:val="22"/>
                <w:lang w:eastAsia="en-GB"/>
              </w:rPr>
              <w:t>£000</w:t>
            </w:r>
          </w:p>
        </w:tc>
        <w:tc>
          <w:tcPr>
            <w:tcW w:w="3160" w:type="dxa"/>
            <w:tcBorders>
              <w:top w:val="nil"/>
              <w:left w:val="nil"/>
              <w:bottom w:val="nil"/>
              <w:right w:val="nil"/>
            </w:tcBorders>
            <w:shd w:val="clear" w:color="000000" w:fill="000000"/>
            <w:noWrap/>
            <w:vAlign w:val="center"/>
            <w:hideMark/>
          </w:tcPr>
          <w:p w14:paraId="14DC0CDD" w14:textId="77777777" w:rsidR="0016530B" w:rsidRPr="0016530B" w:rsidRDefault="0016530B" w:rsidP="0016530B">
            <w:pPr>
              <w:rPr>
                <w:rFonts w:cs="Arial"/>
                <w:b/>
                <w:bCs/>
                <w:color w:val="FFFFFF"/>
                <w:sz w:val="22"/>
                <w:szCs w:val="22"/>
                <w:lang w:eastAsia="en-GB"/>
              </w:rPr>
            </w:pPr>
            <w:r w:rsidRPr="0016530B">
              <w:rPr>
                <w:rFonts w:cs="Arial"/>
                <w:b/>
                <w:bCs/>
                <w:color w:val="FFFFFF"/>
                <w:sz w:val="22"/>
                <w:szCs w:val="22"/>
                <w:lang w:eastAsia="en-GB"/>
              </w:rPr>
              <w:t> </w:t>
            </w:r>
          </w:p>
        </w:tc>
        <w:tc>
          <w:tcPr>
            <w:tcW w:w="826" w:type="dxa"/>
            <w:tcBorders>
              <w:top w:val="nil"/>
              <w:left w:val="nil"/>
              <w:bottom w:val="nil"/>
              <w:right w:val="single" w:sz="8" w:space="0" w:color="auto"/>
            </w:tcBorders>
            <w:shd w:val="clear" w:color="000000" w:fill="000000"/>
            <w:noWrap/>
            <w:vAlign w:val="center"/>
            <w:hideMark/>
          </w:tcPr>
          <w:p w14:paraId="58E632A1" w14:textId="77777777" w:rsidR="0016530B" w:rsidRPr="0016530B" w:rsidRDefault="0016530B" w:rsidP="0016530B">
            <w:pPr>
              <w:jc w:val="center"/>
              <w:rPr>
                <w:rFonts w:cs="Arial"/>
                <w:b/>
                <w:bCs/>
                <w:color w:val="FFFFFF"/>
                <w:sz w:val="22"/>
                <w:szCs w:val="22"/>
                <w:lang w:eastAsia="en-GB"/>
              </w:rPr>
            </w:pPr>
            <w:r w:rsidRPr="0016530B">
              <w:rPr>
                <w:rFonts w:cs="Arial"/>
                <w:b/>
                <w:bCs/>
                <w:color w:val="FFFFFF"/>
                <w:sz w:val="22"/>
                <w:szCs w:val="22"/>
                <w:lang w:eastAsia="en-GB"/>
              </w:rPr>
              <w:t>£000</w:t>
            </w:r>
          </w:p>
        </w:tc>
      </w:tr>
      <w:tr w:rsidR="0016530B" w:rsidRPr="0016530B" w14:paraId="33908374" w14:textId="77777777" w:rsidTr="0016530B">
        <w:trPr>
          <w:trHeight w:val="290"/>
          <w:jc w:val="center"/>
        </w:trPr>
        <w:tc>
          <w:tcPr>
            <w:tcW w:w="826" w:type="dxa"/>
            <w:tcBorders>
              <w:top w:val="nil"/>
              <w:left w:val="single" w:sz="8" w:space="0" w:color="auto"/>
              <w:bottom w:val="nil"/>
              <w:right w:val="nil"/>
            </w:tcBorders>
            <w:shd w:val="clear" w:color="auto" w:fill="auto"/>
            <w:noWrap/>
            <w:vAlign w:val="center"/>
            <w:hideMark/>
          </w:tcPr>
          <w:p w14:paraId="05B554E0" w14:textId="77777777" w:rsidR="0016530B" w:rsidRPr="0016530B" w:rsidRDefault="0016530B" w:rsidP="0016530B">
            <w:pPr>
              <w:rPr>
                <w:rFonts w:cs="Arial"/>
                <w:color w:val="000000"/>
                <w:sz w:val="22"/>
                <w:szCs w:val="22"/>
                <w:lang w:eastAsia="en-GB"/>
              </w:rPr>
            </w:pPr>
            <w:r w:rsidRPr="0016530B">
              <w:rPr>
                <w:rFonts w:cs="Arial"/>
                <w:color w:val="000000"/>
                <w:sz w:val="22"/>
                <w:szCs w:val="22"/>
                <w:lang w:eastAsia="en-GB"/>
              </w:rPr>
              <w:t> </w:t>
            </w:r>
          </w:p>
        </w:tc>
        <w:tc>
          <w:tcPr>
            <w:tcW w:w="3160" w:type="dxa"/>
            <w:tcBorders>
              <w:top w:val="nil"/>
              <w:left w:val="nil"/>
              <w:bottom w:val="nil"/>
              <w:right w:val="nil"/>
            </w:tcBorders>
            <w:shd w:val="clear" w:color="auto" w:fill="auto"/>
            <w:noWrap/>
            <w:vAlign w:val="bottom"/>
            <w:hideMark/>
          </w:tcPr>
          <w:p w14:paraId="1885D597" w14:textId="77777777" w:rsidR="0016530B" w:rsidRPr="0016530B" w:rsidRDefault="0016530B" w:rsidP="0016530B">
            <w:pPr>
              <w:rPr>
                <w:rFonts w:cs="Arial"/>
                <w:color w:val="000000"/>
                <w:sz w:val="22"/>
                <w:szCs w:val="22"/>
                <w:lang w:eastAsia="en-GB"/>
              </w:rPr>
            </w:pPr>
          </w:p>
        </w:tc>
        <w:tc>
          <w:tcPr>
            <w:tcW w:w="826" w:type="dxa"/>
            <w:tcBorders>
              <w:top w:val="nil"/>
              <w:left w:val="nil"/>
              <w:bottom w:val="nil"/>
              <w:right w:val="single" w:sz="8" w:space="0" w:color="auto"/>
            </w:tcBorders>
            <w:shd w:val="clear" w:color="auto" w:fill="auto"/>
            <w:noWrap/>
            <w:vAlign w:val="center"/>
            <w:hideMark/>
          </w:tcPr>
          <w:p w14:paraId="615FCEE1" w14:textId="77777777" w:rsidR="0016530B" w:rsidRPr="0016530B" w:rsidRDefault="0016530B" w:rsidP="0016530B">
            <w:pPr>
              <w:rPr>
                <w:rFonts w:cs="Arial"/>
                <w:color w:val="000000"/>
                <w:sz w:val="22"/>
                <w:szCs w:val="22"/>
                <w:lang w:eastAsia="en-GB"/>
              </w:rPr>
            </w:pPr>
            <w:r w:rsidRPr="0016530B">
              <w:rPr>
                <w:rFonts w:cs="Arial"/>
                <w:color w:val="000000"/>
                <w:sz w:val="22"/>
                <w:szCs w:val="22"/>
                <w:lang w:eastAsia="en-GB"/>
              </w:rPr>
              <w:t> </w:t>
            </w:r>
          </w:p>
        </w:tc>
      </w:tr>
      <w:tr w:rsidR="0016530B" w:rsidRPr="0016530B" w14:paraId="111E5FCC" w14:textId="77777777" w:rsidTr="0016530B">
        <w:trPr>
          <w:trHeight w:val="290"/>
          <w:jc w:val="center"/>
        </w:trPr>
        <w:tc>
          <w:tcPr>
            <w:tcW w:w="826" w:type="dxa"/>
            <w:tcBorders>
              <w:top w:val="nil"/>
              <w:left w:val="single" w:sz="8" w:space="0" w:color="auto"/>
              <w:bottom w:val="nil"/>
              <w:right w:val="nil"/>
            </w:tcBorders>
            <w:shd w:val="clear" w:color="auto" w:fill="auto"/>
            <w:noWrap/>
            <w:vAlign w:val="center"/>
            <w:hideMark/>
          </w:tcPr>
          <w:p w14:paraId="4A0FBA54" w14:textId="77777777" w:rsidR="0016530B" w:rsidRPr="0016530B" w:rsidRDefault="0016530B" w:rsidP="0016530B">
            <w:pPr>
              <w:jc w:val="right"/>
              <w:rPr>
                <w:rFonts w:cs="Arial"/>
                <w:color w:val="000000"/>
                <w:sz w:val="22"/>
                <w:szCs w:val="22"/>
                <w:lang w:eastAsia="en-GB"/>
              </w:rPr>
            </w:pPr>
            <w:r w:rsidRPr="0016530B">
              <w:rPr>
                <w:rFonts w:cs="Arial"/>
                <w:color w:val="000000"/>
                <w:sz w:val="22"/>
                <w:szCs w:val="22"/>
                <w:lang w:eastAsia="en-GB"/>
              </w:rPr>
              <w:t>76</w:t>
            </w:r>
          </w:p>
        </w:tc>
        <w:tc>
          <w:tcPr>
            <w:tcW w:w="3160" w:type="dxa"/>
            <w:tcBorders>
              <w:top w:val="nil"/>
              <w:left w:val="nil"/>
              <w:bottom w:val="nil"/>
              <w:right w:val="nil"/>
            </w:tcBorders>
            <w:shd w:val="clear" w:color="auto" w:fill="auto"/>
            <w:noWrap/>
            <w:vAlign w:val="center"/>
            <w:hideMark/>
          </w:tcPr>
          <w:p w14:paraId="586C0367" w14:textId="77777777" w:rsidR="0016530B" w:rsidRPr="0016530B" w:rsidRDefault="0016530B" w:rsidP="0016530B">
            <w:pPr>
              <w:jc w:val="center"/>
              <w:rPr>
                <w:rFonts w:cs="Arial"/>
                <w:color w:val="000000"/>
                <w:sz w:val="22"/>
                <w:szCs w:val="22"/>
                <w:lang w:eastAsia="en-GB"/>
              </w:rPr>
            </w:pPr>
            <w:r w:rsidRPr="0016530B">
              <w:rPr>
                <w:rFonts w:cs="Arial"/>
                <w:color w:val="000000"/>
                <w:sz w:val="22"/>
                <w:szCs w:val="22"/>
                <w:lang w:eastAsia="en-GB"/>
              </w:rPr>
              <w:t>Allowances</w:t>
            </w:r>
          </w:p>
        </w:tc>
        <w:tc>
          <w:tcPr>
            <w:tcW w:w="826" w:type="dxa"/>
            <w:tcBorders>
              <w:top w:val="nil"/>
              <w:left w:val="nil"/>
              <w:bottom w:val="nil"/>
              <w:right w:val="single" w:sz="8" w:space="0" w:color="auto"/>
            </w:tcBorders>
            <w:shd w:val="clear" w:color="auto" w:fill="auto"/>
            <w:noWrap/>
            <w:vAlign w:val="center"/>
            <w:hideMark/>
          </w:tcPr>
          <w:p w14:paraId="42CB6CEC" w14:textId="77777777" w:rsidR="0016530B" w:rsidRPr="0016530B" w:rsidRDefault="0016530B" w:rsidP="0016530B">
            <w:pPr>
              <w:jc w:val="right"/>
              <w:rPr>
                <w:rFonts w:cs="Arial"/>
                <w:color w:val="000000"/>
                <w:sz w:val="22"/>
                <w:szCs w:val="22"/>
                <w:lang w:eastAsia="en-GB"/>
              </w:rPr>
            </w:pPr>
            <w:r w:rsidRPr="0016530B">
              <w:rPr>
                <w:rFonts w:cs="Arial"/>
                <w:color w:val="000000"/>
                <w:sz w:val="22"/>
                <w:szCs w:val="22"/>
                <w:lang w:eastAsia="en-GB"/>
              </w:rPr>
              <w:t>75</w:t>
            </w:r>
          </w:p>
        </w:tc>
      </w:tr>
      <w:tr w:rsidR="0016530B" w:rsidRPr="0016530B" w14:paraId="08B2B54C" w14:textId="77777777" w:rsidTr="0016530B">
        <w:trPr>
          <w:trHeight w:val="290"/>
          <w:jc w:val="center"/>
        </w:trPr>
        <w:tc>
          <w:tcPr>
            <w:tcW w:w="826" w:type="dxa"/>
            <w:tcBorders>
              <w:top w:val="nil"/>
              <w:left w:val="single" w:sz="8" w:space="0" w:color="auto"/>
              <w:bottom w:val="single" w:sz="4" w:space="0" w:color="auto"/>
              <w:right w:val="nil"/>
            </w:tcBorders>
            <w:shd w:val="clear" w:color="auto" w:fill="auto"/>
            <w:noWrap/>
            <w:vAlign w:val="center"/>
            <w:hideMark/>
          </w:tcPr>
          <w:p w14:paraId="554DC237" w14:textId="77777777" w:rsidR="0016530B" w:rsidRPr="0016530B" w:rsidRDefault="0016530B" w:rsidP="0016530B">
            <w:pPr>
              <w:jc w:val="right"/>
              <w:rPr>
                <w:rFonts w:cs="Arial"/>
                <w:color w:val="000000"/>
                <w:sz w:val="22"/>
                <w:szCs w:val="22"/>
                <w:lang w:eastAsia="en-GB"/>
              </w:rPr>
            </w:pPr>
            <w:r w:rsidRPr="0016530B">
              <w:rPr>
                <w:rFonts w:cs="Arial"/>
                <w:color w:val="000000"/>
                <w:sz w:val="22"/>
                <w:szCs w:val="22"/>
                <w:lang w:eastAsia="en-GB"/>
              </w:rPr>
              <w:t>3</w:t>
            </w:r>
          </w:p>
        </w:tc>
        <w:tc>
          <w:tcPr>
            <w:tcW w:w="3160" w:type="dxa"/>
            <w:tcBorders>
              <w:top w:val="nil"/>
              <w:left w:val="nil"/>
              <w:bottom w:val="nil"/>
              <w:right w:val="nil"/>
            </w:tcBorders>
            <w:shd w:val="clear" w:color="auto" w:fill="auto"/>
            <w:noWrap/>
            <w:vAlign w:val="center"/>
            <w:hideMark/>
          </w:tcPr>
          <w:p w14:paraId="23209F29" w14:textId="77777777" w:rsidR="0016530B" w:rsidRPr="0016530B" w:rsidRDefault="0016530B" w:rsidP="0016530B">
            <w:pPr>
              <w:jc w:val="center"/>
              <w:rPr>
                <w:rFonts w:cs="Arial"/>
                <w:color w:val="000000"/>
                <w:sz w:val="22"/>
                <w:szCs w:val="22"/>
                <w:lang w:eastAsia="en-GB"/>
              </w:rPr>
            </w:pPr>
            <w:r w:rsidRPr="0016530B">
              <w:rPr>
                <w:rFonts w:cs="Arial"/>
                <w:color w:val="000000"/>
                <w:sz w:val="22"/>
                <w:szCs w:val="22"/>
                <w:lang w:eastAsia="en-GB"/>
              </w:rPr>
              <w:t>Expenses</w:t>
            </w:r>
          </w:p>
        </w:tc>
        <w:tc>
          <w:tcPr>
            <w:tcW w:w="826" w:type="dxa"/>
            <w:tcBorders>
              <w:top w:val="nil"/>
              <w:left w:val="nil"/>
              <w:bottom w:val="single" w:sz="4" w:space="0" w:color="auto"/>
              <w:right w:val="single" w:sz="8" w:space="0" w:color="auto"/>
            </w:tcBorders>
            <w:shd w:val="clear" w:color="auto" w:fill="auto"/>
            <w:noWrap/>
            <w:vAlign w:val="center"/>
            <w:hideMark/>
          </w:tcPr>
          <w:p w14:paraId="35869FF1" w14:textId="77777777" w:rsidR="0016530B" w:rsidRPr="0016530B" w:rsidRDefault="0016530B" w:rsidP="0016530B">
            <w:pPr>
              <w:jc w:val="right"/>
              <w:rPr>
                <w:rFonts w:cs="Arial"/>
                <w:color w:val="000000"/>
                <w:sz w:val="22"/>
                <w:szCs w:val="22"/>
                <w:lang w:eastAsia="en-GB"/>
              </w:rPr>
            </w:pPr>
            <w:r w:rsidRPr="0016530B">
              <w:rPr>
                <w:rFonts w:cs="Arial"/>
                <w:color w:val="000000"/>
                <w:sz w:val="22"/>
                <w:szCs w:val="22"/>
                <w:lang w:eastAsia="en-GB"/>
              </w:rPr>
              <w:t>8</w:t>
            </w:r>
          </w:p>
        </w:tc>
      </w:tr>
      <w:tr w:rsidR="0016530B" w:rsidRPr="0016530B" w14:paraId="3F03813F" w14:textId="77777777" w:rsidTr="0016530B">
        <w:trPr>
          <w:trHeight w:val="300"/>
          <w:jc w:val="center"/>
        </w:trPr>
        <w:tc>
          <w:tcPr>
            <w:tcW w:w="826" w:type="dxa"/>
            <w:tcBorders>
              <w:top w:val="nil"/>
              <w:left w:val="single" w:sz="8" w:space="0" w:color="auto"/>
              <w:bottom w:val="single" w:sz="8" w:space="0" w:color="auto"/>
              <w:right w:val="nil"/>
            </w:tcBorders>
            <w:shd w:val="clear" w:color="auto" w:fill="auto"/>
            <w:noWrap/>
            <w:vAlign w:val="center"/>
            <w:hideMark/>
          </w:tcPr>
          <w:p w14:paraId="4AE1E8CB" w14:textId="77777777" w:rsidR="0016530B" w:rsidRPr="0016530B" w:rsidRDefault="0016530B" w:rsidP="0016530B">
            <w:pPr>
              <w:jc w:val="right"/>
              <w:rPr>
                <w:rFonts w:cs="Arial"/>
                <w:b/>
                <w:bCs/>
                <w:color w:val="000000"/>
                <w:sz w:val="22"/>
                <w:szCs w:val="22"/>
                <w:lang w:eastAsia="en-GB"/>
              </w:rPr>
            </w:pPr>
            <w:r w:rsidRPr="0016530B">
              <w:rPr>
                <w:rFonts w:cs="Arial"/>
                <w:b/>
                <w:bCs/>
                <w:color w:val="000000"/>
                <w:sz w:val="22"/>
                <w:szCs w:val="22"/>
                <w:lang w:eastAsia="en-GB"/>
              </w:rPr>
              <w:t>79</w:t>
            </w:r>
          </w:p>
        </w:tc>
        <w:tc>
          <w:tcPr>
            <w:tcW w:w="3160" w:type="dxa"/>
            <w:tcBorders>
              <w:top w:val="nil"/>
              <w:left w:val="nil"/>
              <w:bottom w:val="single" w:sz="8" w:space="0" w:color="auto"/>
              <w:right w:val="nil"/>
            </w:tcBorders>
            <w:shd w:val="clear" w:color="auto" w:fill="auto"/>
            <w:noWrap/>
            <w:vAlign w:val="center"/>
            <w:hideMark/>
          </w:tcPr>
          <w:p w14:paraId="57AC98D3" w14:textId="77777777" w:rsidR="0016530B" w:rsidRPr="0016530B" w:rsidRDefault="0016530B" w:rsidP="0016530B">
            <w:pPr>
              <w:rPr>
                <w:rFonts w:cs="Arial"/>
                <w:color w:val="000000"/>
                <w:sz w:val="22"/>
                <w:szCs w:val="22"/>
                <w:lang w:eastAsia="en-GB"/>
              </w:rPr>
            </w:pPr>
            <w:r w:rsidRPr="0016530B">
              <w:rPr>
                <w:rFonts w:cs="Arial"/>
                <w:color w:val="000000"/>
                <w:sz w:val="22"/>
                <w:szCs w:val="22"/>
                <w:lang w:eastAsia="en-GB"/>
              </w:rPr>
              <w:t> </w:t>
            </w:r>
          </w:p>
        </w:tc>
        <w:tc>
          <w:tcPr>
            <w:tcW w:w="826" w:type="dxa"/>
            <w:tcBorders>
              <w:top w:val="nil"/>
              <w:left w:val="nil"/>
              <w:bottom w:val="single" w:sz="8" w:space="0" w:color="auto"/>
              <w:right w:val="single" w:sz="8" w:space="0" w:color="auto"/>
            </w:tcBorders>
            <w:shd w:val="clear" w:color="auto" w:fill="auto"/>
            <w:noWrap/>
            <w:vAlign w:val="center"/>
            <w:hideMark/>
          </w:tcPr>
          <w:p w14:paraId="136FB1C5" w14:textId="77777777" w:rsidR="0016530B" w:rsidRPr="0016530B" w:rsidRDefault="0016530B" w:rsidP="0016530B">
            <w:pPr>
              <w:jc w:val="right"/>
              <w:rPr>
                <w:rFonts w:cs="Arial"/>
                <w:b/>
                <w:bCs/>
                <w:color w:val="000000"/>
                <w:sz w:val="22"/>
                <w:szCs w:val="22"/>
                <w:lang w:eastAsia="en-GB"/>
              </w:rPr>
            </w:pPr>
            <w:r w:rsidRPr="0016530B">
              <w:rPr>
                <w:rFonts w:cs="Arial"/>
                <w:b/>
                <w:bCs/>
                <w:color w:val="000000"/>
                <w:sz w:val="22"/>
                <w:szCs w:val="22"/>
                <w:lang w:eastAsia="en-GB"/>
              </w:rPr>
              <w:t>83</w:t>
            </w:r>
          </w:p>
        </w:tc>
      </w:tr>
    </w:tbl>
    <w:p w14:paraId="3D8EA579" w14:textId="77777777" w:rsidR="00960A22" w:rsidRPr="004D5CA8" w:rsidRDefault="00960A22" w:rsidP="0070459C">
      <w:pPr>
        <w:rPr>
          <w:highlight w:val="yellow"/>
        </w:rPr>
      </w:pPr>
    </w:p>
    <w:p w14:paraId="485A466D" w14:textId="77777777" w:rsidR="00F768F9" w:rsidRPr="004D5CA8" w:rsidRDefault="00F768F9" w:rsidP="0070459C">
      <w:pPr>
        <w:rPr>
          <w:highlight w:val="yellow"/>
        </w:rPr>
      </w:pPr>
    </w:p>
    <w:p w14:paraId="485A4671" w14:textId="0CE9CFBD" w:rsidR="00E00863" w:rsidRPr="00162C02" w:rsidRDefault="00E00863" w:rsidP="0070459C">
      <w:pPr>
        <w:pStyle w:val="ListParagraph"/>
        <w:numPr>
          <w:ilvl w:val="0"/>
          <w:numId w:val="47"/>
        </w:numPr>
        <w:ind w:left="0" w:firstLine="0"/>
        <w:rPr>
          <w:b/>
          <w:bCs/>
          <w:u w:val="none"/>
        </w:rPr>
      </w:pPr>
      <w:bookmarkStart w:id="188" w:name="_MON_1429554560"/>
      <w:bookmarkStart w:id="189" w:name="_MON_1372829940"/>
      <w:bookmarkStart w:id="190" w:name="_MON_1372830037"/>
      <w:bookmarkStart w:id="191" w:name="_MON_1372830052"/>
      <w:bookmarkStart w:id="192" w:name="_MON_1372830122"/>
      <w:bookmarkStart w:id="193" w:name="_MON_1372830176"/>
      <w:bookmarkStart w:id="194" w:name="_MON_1372830297"/>
      <w:bookmarkStart w:id="195" w:name="_MON_1395561461"/>
      <w:bookmarkStart w:id="196" w:name="_MON_1395659538"/>
      <w:bookmarkStart w:id="197" w:name="_MON_1402138010"/>
      <w:bookmarkStart w:id="198" w:name="_MON_1402138019"/>
      <w:bookmarkStart w:id="199" w:name="_Toc167965805"/>
      <w:bookmarkEnd w:id="188"/>
      <w:bookmarkEnd w:id="189"/>
      <w:bookmarkEnd w:id="190"/>
      <w:bookmarkEnd w:id="191"/>
      <w:bookmarkEnd w:id="192"/>
      <w:bookmarkEnd w:id="193"/>
      <w:bookmarkEnd w:id="194"/>
      <w:bookmarkEnd w:id="195"/>
      <w:bookmarkEnd w:id="196"/>
      <w:bookmarkEnd w:id="197"/>
      <w:bookmarkEnd w:id="198"/>
      <w:r w:rsidRPr="00162C02">
        <w:rPr>
          <w:rStyle w:val="Heading2Char"/>
          <w:u w:val="none"/>
        </w:rPr>
        <w:t>Related Party Transactions</w:t>
      </w:r>
      <w:bookmarkEnd w:id="199"/>
      <w:r w:rsidR="00F71FFB" w:rsidRPr="00162C02">
        <w:rPr>
          <w:b/>
          <w:u w:val="none"/>
        </w:rPr>
        <w:t xml:space="preserve"> </w:t>
      </w:r>
    </w:p>
    <w:p w14:paraId="485A4672" w14:textId="77777777" w:rsidR="00E00863" w:rsidRPr="0068303E" w:rsidRDefault="00E00863" w:rsidP="0070459C">
      <w:pPr>
        <w:rPr>
          <w:lang w:eastAsia="en-GB"/>
        </w:rPr>
      </w:pPr>
    </w:p>
    <w:p w14:paraId="485A4673" w14:textId="77777777" w:rsidR="00E00863" w:rsidRPr="0068303E" w:rsidRDefault="00E00863" w:rsidP="0070459C">
      <w:pPr>
        <w:pStyle w:val="BlockText"/>
        <w:tabs>
          <w:tab w:val="clear" w:pos="1843"/>
          <w:tab w:val="left" w:pos="709"/>
        </w:tabs>
        <w:ind w:left="0" w:right="0"/>
        <w:rPr>
          <w:sz w:val="23"/>
          <w:szCs w:val="23"/>
        </w:rPr>
      </w:pPr>
      <w:r w:rsidRPr="0068303E">
        <w:rPr>
          <w:sz w:val="23"/>
          <w:szCs w:val="23"/>
        </w:rPr>
        <w:t>The Authority is required to disclose details of material transactions with related parties. Related parties are generally either individuals or organisations that could exert direct or indirect control over the other party.</w:t>
      </w:r>
    </w:p>
    <w:p w14:paraId="485A4674" w14:textId="77777777" w:rsidR="00E00863" w:rsidRPr="0068303E" w:rsidRDefault="00E00863" w:rsidP="0070459C">
      <w:pPr>
        <w:pStyle w:val="BlockText"/>
        <w:tabs>
          <w:tab w:val="clear" w:pos="1843"/>
          <w:tab w:val="left" w:pos="709"/>
        </w:tabs>
        <w:ind w:left="0" w:right="0"/>
        <w:rPr>
          <w:sz w:val="23"/>
          <w:szCs w:val="23"/>
        </w:rPr>
      </w:pPr>
    </w:p>
    <w:p w14:paraId="485A4675" w14:textId="77777777" w:rsidR="00E00863" w:rsidRPr="0068303E" w:rsidRDefault="00282689" w:rsidP="0070459C">
      <w:pPr>
        <w:pStyle w:val="BlockText"/>
        <w:tabs>
          <w:tab w:val="clear" w:pos="1843"/>
          <w:tab w:val="left" w:pos="709"/>
        </w:tabs>
        <w:ind w:left="0" w:right="0"/>
        <w:rPr>
          <w:sz w:val="23"/>
          <w:szCs w:val="23"/>
        </w:rPr>
      </w:pPr>
      <w:r w:rsidRPr="0068303E">
        <w:rPr>
          <w:sz w:val="23"/>
          <w:szCs w:val="23"/>
        </w:rPr>
        <w:t>The Authority’s transactions with related parties can be summarised as follows:</w:t>
      </w:r>
    </w:p>
    <w:p w14:paraId="485A4676" w14:textId="77777777" w:rsidR="00E00863" w:rsidRPr="004D5CA8" w:rsidRDefault="00E00863" w:rsidP="0070459C">
      <w:pPr>
        <w:pStyle w:val="BlockText"/>
        <w:tabs>
          <w:tab w:val="clear" w:pos="1843"/>
          <w:tab w:val="left" w:pos="1440"/>
        </w:tabs>
        <w:ind w:left="0" w:right="0"/>
        <w:rPr>
          <w:sz w:val="23"/>
          <w:szCs w:val="23"/>
          <w:highlight w:val="yellow"/>
        </w:rPr>
      </w:pPr>
    </w:p>
    <w:p w14:paraId="485A4677" w14:textId="64404A8B" w:rsidR="009E61AE" w:rsidRPr="0068303E" w:rsidRDefault="009E61AE" w:rsidP="0070459C">
      <w:r w:rsidRPr="0068303E">
        <w:rPr>
          <w:b/>
        </w:rPr>
        <w:t>Central Government</w:t>
      </w:r>
      <w:r w:rsidRPr="0068303E">
        <w:t xml:space="preserve"> exerts significant influence over the general operations of the Authority. It is responsible for providing the statutory framework in which it operates, provides </w:t>
      </w:r>
      <w:r w:rsidR="00094033">
        <w:t xml:space="preserve">a significant element </w:t>
      </w:r>
      <w:r w:rsidRPr="0068303E">
        <w:t>of its funding in the form of grants and prescribes the terms of many of the transactions the Authority has with other parties. The majority of the Authority’s</w:t>
      </w:r>
      <w:r w:rsidR="00094033">
        <w:t xml:space="preserve"> grant</w:t>
      </w:r>
      <w:r w:rsidRPr="0068303E">
        <w:t xml:space="preserve"> funding </w:t>
      </w:r>
      <w:r w:rsidRPr="0068303E">
        <w:lastRenderedPageBreak/>
        <w:t xml:space="preserve">is provided by the Department of </w:t>
      </w:r>
      <w:r w:rsidR="00262CA8" w:rsidRPr="0068303E">
        <w:t xml:space="preserve">Environment, </w:t>
      </w:r>
      <w:r w:rsidRPr="0068303E">
        <w:t>Food and Rural Affairs. Al</w:t>
      </w:r>
      <w:r w:rsidR="004E110A" w:rsidRPr="0068303E">
        <w:t>l grants received during 20</w:t>
      </w:r>
      <w:r w:rsidR="00E75A15" w:rsidRPr="0068303E">
        <w:t>2</w:t>
      </w:r>
      <w:r w:rsidR="00094033">
        <w:t>3/</w:t>
      </w:r>
      <w:r w:rsidR="00886B3A" w:rsidRPr="0068303E">
        <w:t>2</w:t>
      </w:r>
      <w:r w:rsidR="00094033">
        <w:t>4</w:t>
      </w:r>
      <w:r w:rsidRPr="0068303E">
        <w:t xml:space="preserve"> are detailed in note 1</w:t>
      </w:r>
      <w:r w:rsidR="00094033">
        <w:t>5 (Grants)</w:t>
      </w:r>
      <w:r w:rsidRPr="0068303E">
        <w:t xml:space="preserve"> to the Financial Statements.</w:t>
      </w:r>
    </w:p>
    <w:p w14:paraId="485A4678" w14:textId="77777777" w:rsidR="00A953C4" w:rsidRPr="004D5CA8" w:rsidRDefault="00A953C4" w:rsidP="0070459C">
      <w:pPr>
        <w:rPr>
          <w:highlight w:val="yellow"/>
        </w:rPr>
      </w:pPr>
    </w:p>
    <w:p w14:paraId="485A4679" w14:textId="33251D2C" w:rsidR="00681D5F" w:rsidRPr="0082644A" w:rsidRDefault="00282689" w:rsidP="0070459C">
      <w:pPr>
        <w:spacing w:before="60" w:after="60" w:line="240" w:lineRule="atLeast"/>
      </w:pPr>
      <w:r w:rsidRPr="0082644A">
        <w:rPr>
          <w:b/>
        </w:rPr>
        <w:t>Members</w:t>
      </w:r>
      <w:r w:rsidRPr="0082644A">
        <w:t xml:space="preserve"> </w:t>
      </w:r>
      <w:r w:rsidR="00C74F98" w:rsidRPr="0082644A">
        <w:t>–</w:t>
      </w:r>
      <w:r w:rsidRPr="0082644A">
        <w:t xml:space="preserve"> </w:t>
      </w:r>
      <w:r w:rsidR="009E61AE" w:rsidRPr="0082644A">
        <w:t>Members of the Authority have direct control over the Authority’s financial and operating policies. Members allowances paid in</w:t>
      </w:r>
      <w:r w:rsidR="004E110A" w:rsidRPr="0082644A">
        <w:t xml:space="preserve"> </w:t>
      </w:r>
      <w:r w:rsidR="00627253" w:rsidRPr="0082644A">
        <w:t>20</w:t>
      </w:r>
      <w:r w:rsidR="00E75A15" w:rsidRPr="0082644A">
        <w:t>2</w:t>
      </w:r>
      <w:r w:rsidR="00094033">
        <w:t>3</w:t>
      </w:r>
      <w:r w:rsidR="00627253" w:rsidRPr="0082644A">
        <w:t>/</w:t>
      </w:r>
      <w:r w:rsidR="00886B3A" w:rsidRPr="0082644A">
        <w:t>2</w:t>
      </w:r>
      <w:r w:rsidR="00094033">
        <w:t>4</w:t>
      </w:r>
      <w:r w:rsidR="00866225" w:rsidRPr="0082644A">
        <w:t xml:space="preserve"> are detailed in note 1</w:t>
      </w:r>
      <w:r w:rsidR="00094033">
        <w:t>2</w:t>
      </w:r>
      <w:r w:rsidR="009E61AE" w:rsidRPr="0082644A">
        <w:t xml:space="preserve"> to the Financial Statements</w:t>
      </w:r>
      <w:r w:rsidR="003A0FC0" w:rsidRPr="0082644A">
        <w:t xml:space="preserve">. </w:t>
      </w:r>
      <w:r w:rsidR="00DC1950" w:rsidRPr="0082644A">
        <w:t>As set out in note 1</w:t>
      </w:r>
      <w:r w:rsidR="00094033">
        <w:t>2</w:t>
      </w:r>
      <w:r w:rsidR="00DC1950" w:rsidRPr="0082644A">
        <w:t xml:space="preserve"> a significant number of t</w:t>
      </w:r>
      <w:r w:rsidR="009E61AE" w:rsidRPr="0082644A">
        <w:t>he Authority’s members</w:t>
      </w:r>
      <w:r w:rsidR="00C3587D" w:rsidRPr="0082644A">
        <w:t xml:space="preserve"> during the year were</w:t>
      </w:r>
      <w:r w:rsidR="009E61AE" w:rsidRPr="0082644A">
        <w:t xml:space="preserve"> also elected members of other local authorities within Cumbria. Details of the Authority’s transactions with these authorities are detailed in the table below. All elected members are required to keep a register </w:t>
      </w:r>
      <w:r w:rsidR="007E05CD" w:rsidRPr="0082644A">
        <w:t xml:space="preserve">of </w:t>
      </w:r>
      <w:r w:rsidR="009E61AE" w:rsidRPr="0082644A">
        <w:t>their disclosable pecuniary interests up to date and complete a declaration of related party transactions at the end of the year.</w:t>
      </w:r>
      <w:r w:rsidR="00B51EA9" w:rsidRPr="0082644A">
        <w:t xml:space="preserve"> </w:t>
      </w:r>
      <w:r w:rsidR="007230BC">
        <w:t>The authority also has representation on the Board of Cumbria LEP.</w:t>
      </w:r>
    </w:p>
    <w:p w14:paraId="485A467C" w14:textId="5878EF4A" w:rsidR="00B10E2F" w:rsidRPr="0068303E" w:rsidRDefault="00094033" w:rsidP="0070459C">
      <w:pPr>
        <w:pStyle w:val="BodyTextIndent"/>
        <w:spacing w:before="60" w:after="60" w:line="240" w:lineRule="atLeast"/>
        <w:ind w:left="0"/>
        <w:rPr>
          <w:sz w:val="22"/>
        </w:rPr>
      </w:pPr>
      <w:bookmarkStart w:id="200" w:name="_MON_1558613379"/>
      <w:bookmarkStart w:id="201" w:name="_MON_1463578053"/>
      <w:bookmarkEnd w:id="200"/>
      <w:bookmarkEnd w:id="201"/>
      <w:r>
        <w:t>Allerdale and Copeland now form part of Cumberland Council. South Lakeland and Eden now form part of Westmorland and Furness Council; Cumbria County Council was split and also forms part of the new unitary authorities</w:t>
      </w:r>
      <w:r w:rsidR="005C232C">
        <w:t xml:space="preserve">. The items in 2023/24 relating to these bodies </w:t>
      </w:r>
      <w:r w:rsidR="007230BC">
        <w:t>are</w:t>
      </w:r>
      <w:r w:rsidR="005C232C">
        <w:t xml:space="preserve"> the release of income in advance received from them in prior years</w:t>
      </w:r>
      <w:r w:rsidR="00B10E2F" w:rsidRPr="0068303E">
        <w:t>:</w:t>
      </w:r>
    </w:p>
    <w:p w14:paraId="485A467D" w14:textId="175C57A5" w:rsidR="00B10E2F" w:rsidRPr="0068303E" w:rsidRDefault="00B10E2F" w:rsidP="0070459C">
      <w:bookmarkStart w:id="202" w:name="_MON_1558613038"/>
      <w:bookmarkEnd w:id="202"/>
    </w:p>
    <w:tbl>
      <w:tblPr>
        <w:tblW w:w="9923" w:type="dxa"/>
        <w:jc w:val="center"/>
        <w:tblLook w:val="04A0" w:firstRow="1" w:lastRow="0" w:firstColumn="1" w:lastColumn="0" w:noHBand="0" w:noVBand="1"/>
      </w:tblPr>
      <w:tblGrid>
        <w:gridCol w:w="3534"/>
        <w:gridCol w:w="1017"/>
        <w:gridCol w:w="1120"/>
        <w:gridCol w:w="992"/>
        <w:gridCol w:w="1134"/>
        <w:gridCol w:w="992"/>
        <w:gridCol w:w="1134"/>
      </w:tblGrid>
      <w:tr w:rsidR="005C232C" w:rsidRPr="005C232C" w14:paraId="4ACFAAB2" w14:textId="77777777" w:rsidTr="005C232C">
        <w:trPr>
          <w:trHeight w:val="290"/>
          <w:jc w:val="center"/>
        </w:trPr>
        <w:tc>
          <w:tcPr>
            <w:tcW w:w="3534" w:type="dxa"/>
            <w:tcBorders>
              <w:top w:val="single" w:sz="4" w:space="0" w:color="auto"/>
              <w:left w:val="single" w:sz="4" w:space="0" w:color="auto"/>
              <w:bottom w:val="nil"/>
              <w:right w:val="nil"/>
            </w:tcBorders>
            <w:shd w:val="clear" w:color="000000" w:fill="000000"/>
            <w:vAlign w:val="center"/>
            <w:hideMark/>
          </w:tcPr>
          <w:p w14:paraId="1E94E1D9" w14:textId="77777777" w:rsidR="005C232C" w:rsidRPr="005C232C" w:rsidRDefault="005C232C" w:rsidP="005C232C">
            <w:pPr>
              <w:jc w:val="center"/>
              <w:rPr>
                <w:rFonts w:cs="Arial"/>
                <w:b/>
                <w:bCs/>
                <w:color w:val="FFFFFF"/>
                <w:sz w:val="18"/>
                <w:szCs w:val="18"/>
                <w:lang w:eastAsia="en-GB"/>
              </w:rPr>
            </w:pPr>
            <w:r w:rsidRPr="005C232C">
              <w:rPr>
                <w:rFonts w:cs="Arial"/>
                <w:b/>
                <w:bCs/>
                <w:color w:val="FFFFFF"/>
                <w:sz w:val="18"/>
                <w:szCs w:val="18"/>
                <w:lang w:eastAsia="en-GB"/>
              </w:rPr>
              <w:t>Related Party</w:t>
            </w:r>
          </w:p>
        </w:tc>
        <w:tc>
          <w:tcPr>
            <w:tcW w:w="1017" w:type="dxa"/>
            <w:tcBorders>
              <w:top w:val="single" w:sz="4" w:space="0" w:color="auto"/>
              <w:left w:val="nil"/>
              <w:bottom w:val="nil"/>
              <w:right w:val="nil"/>
            </w:tcBorders>
            <w:shd w:val="clear" w:color="000000" w:fill="000000"/>
            <w:vAlign w:val="center"/>
            <w:hideMark/>
          </w:tcPr>
          <w:p w14:paraId="50A912D4" w14:textId="77777777" w:rsidR="005C232C" w:rsidRPr="005C232C" w:rsidRDefault="005C232C" w:rsidP="005C232C">
            <w:pPr>
              <w:jc w:val="center"/>
              <w:rPr>
                <w:rFonts w:cs="Arial"/>
                <w:b/>
                <w:bCs/>
                <w:color w:val="FFFFFF"/>
                <w:sz w:val="18"/>
                <w:szCs w:val="18"/>
                <w:lang w:eastAsia="en-GB"/>
              </w:rPr>
            </w:pPr>
            <w:r w:rsidRPr="005C232C">
              <w:rPr>
                <w:rFonts w:cs="Arial"/>
                <w:b/>
                <w:bCs/>
                <w:color w:val="FFFFFF"/>
                <w:sz w:val="18"/>
                <w:szCs w:val="18"/>
                <w:lang w:eastAsia="en-GB"/>
              </w:rPr>
              <w:t>Business Rates</w:t>
            </w:r>
          </w:p>
        </w:tc>
        <w:tc>
          <w:tcPr>
            <w:tcW w:w="1120" w:type="dxa"/>
            <w:tcBorders>
              <w:top w:val="single" w:sz="4" w:space="0" w:color="auto"/>
              <w:left w:val="nil"/>
              <w:bottom w:val="nil"/>
              <w:right w:val="single" w:sz="8" w:space="0" w:color="auto"/>
            </w:tcBorders>
            <w:shd w:val="clear" w:color="000000" w:fill="000000"/>
            <w:vAlign w:val="center"/>
            <w:hideMark/>
          </w:tcPr>
          <w:p w14:paraId="0144366C" w14:textId="77777777" w:rsidR="005C232C" w:rsidRPr="005C232C" w:rsidRDefault="005C232C" w:rsidP="005C232C">
            <w:pPr>
              <w:jc w:val="center"/>
              <w:rPr>
                <w:rFonts w:cs="Arial"/>
                <w:b/>
                <w:bCs/>
                <w:color w:val="FFFFFF"/>
                <w:sz w:val="18"/>
                <w:szCs w:val="18"/>
                <w:lang w:eastAsia="en-GB"/>
              </w:rPr>
            </w:pPr>
            <w:r w:rsidRPr="005C232C">
              <w:rPr>
                <w:rFonts w:cs="Arial"/>
                <w:b/>
                <w:bCs/>
                <w:color w:val="FFFFFF"/>
                <w:sz w:val="18"/>
                <w:szCs w:val="18"/>
                <w:lang w:eastAsia="en-GB"/>
              </w:rPr>
              <w:t>Other Payments</w:t>
            </w:r>
          </w:p>
        </w:tc>
        <w:tc>
          <w:tcPr>
            <w:tcW w:w="992" w:type="dxa"/>
            <w:tcBorders>
              <w:top w:val="single" w:sz="4" w:space="0" w:color="auto"/>
              <w:left w:val="nil"/>
              <w:bottom w:val="nil"/>
              <w:right w:val="single" w:sz="8" w:space="0" w:color="auto"/>
            </w:tcBorders>
            <w:shd w:val="clear" w:color="000000" w:fill="000000"/>
            <w:vAlign w:val="center"/>
            <w:hideMark/>
          </w:tcPr>
          <w:p w14:paraId="61E2E014" w14:textId="77777777" w:rsidR="005C232C" w:rsidRPr="005C232C" w:rsidRDefault="005C232C" w:rsidP="005C232C">
            <w:pPr>
              <w:jc w:val="center"/>
              <w:rPr>
                <w:rFonts w:cs="Arial"/>
                <w:b/>
                <w:bCs/>
                <w:color w:val="FFFFFF"/>
                <w:sz w:val="18"/>
                <w:szCs w:val="18"/>
                <w:lang w:eastAsia="en-GB"/>
              </w:rPr>
            </w:pPr>
            <w:r w:rsidRPr="005C232C">
              <w:rPr>
                <w:rFonts w:cs="Arial"/>
                <w:b/>
                <w:bCs/>
                <w:color w:val="FFFFFF"/>
                <w:sz w:val="18"/>
                <w:szCs w:val="18"/>
                <w:lang w:eastAsia="en-GB"/>
              </w:rPr>
              <w:t>Income</w:t>
            </w:r>
          </w:p>
        </w:tc>
        <w:tc>
          <w:tcPr>
            <w:tcW w:w="1134" w:type="dxa"/>
            <w:tcBorders>
              <w:top w:val="single" w:sz="4" w:space="0" w:color="auto"/>
              <w:left w:val="nil"/>
              <w:bottom w:val="nil"/>
              <w:right w:val="single" w:sz="8" w:space="0" w:color="auto"/>
            </w:tcBorders>
            <w:shd w:val="clear" w:color="000000" w:fill="000000"/>
            <w:vAlign w:val="center"/>
            <w:hideMark/>
          </w:tcPr>
          <w:p w14:paraId="57BB4877" w14:textId="77777777" w:rsidR="005C232C" w:rsidRPr="005C232C" w:rsidRDefault="005C232C" w:rsidP="005C232C">
            <w:pPr>
              <w:jc w:val="center"/>
              <w:rPr>
                <w:rFonts w:cs="Arial"/>
                <w:b/>
                <w:bCs/>
                <w:color w:val="FFFFFF"/>
                <w:sz w:val="18"/>
                <w:szCs w:val="18"/>
                <w:lang w:eastAsia="en-GB"/>
              </w:rPr>
            </w:pPr>
            <w:r w:rsidRPr="005C232C">
              <w:rPr>
                <w:rFonts w:cs="Arial"/>
                <w:b/>
                <w:bCs/>
                <w:color w:val="FFFFFF"/>
                <w:sz w:val="18"/>
                <w:szCs w:val="18"/>
                <w:lang w:eastAsia="en-GB"/>
              </w:rPr>
              <w:t>Support Grants</w:t>
            </w:r>
          </w:p>
        </w:tc>
        <w:tc>
          <w:tcPr>
            <w:tcW w:w="992" w:type="dxa"/>
            <w:tcBorders>
              <w:top w:val="single" w:sz="4" w:space="0" w:color="auto"/>
              <w:left w:val="nil"/>
              <w:bottom w:val="nil"/>
              <w:right w:val="single" w:sz="8" w:space="0" w:color="auto"/>
            </w:tcBorders>
            <w:shd w:val="clear" w:color="000000" w:fill="000000"/>
            <w:vAlign w:val="center"/>
            <w:hideMark/>
          </w:tcPr>
          <w:p w14:paraId="46D7D7F8" w14:textId="77777777" w:rsidR="005C232C" w:rsidRPr="005C232C" w:rsidRDefault="005C232C" w:rsidP="005C232C">
            <w:pPr>
              <w:jc w:val="center"/>
              <w:rPr>
                <w:rFonts w:cs="Arial"/>
                <w:b/>
                <w:bCs/>
                <w:color w:val="FFFFFF"/>
                <w:sz w:val="18"/>
                <w:szCs w:val="18"/>
                <w:lang w:eastAsia="en-GB"/>
              </w:rPr>
            </w:pPr>
            <w:r w:rsidRPr="005C232C">
              <w:rPr>
                <w:rFonts w:cs="Arial"/>
                <w:b/>
                <w:bCs/>
                <w:color w:val="FFFFFF"/>
                <w:sz w:val="18"/>
                <w:szCs w:val="18"/>
                <w:lang w:eastAsia="en-GB"/>
              </w:rPr>
              <w:t>Owed To</w:t>
            </w:r>
          </w:p>
        </w:tc>
        <w:tc>
          <w:tcPr>
            <w:tcW w:w="1134" w:type="dxa"/>
            <w:tcBorders>
              <w:top w:val="single" w:sz="4" w:space="0" w:color="auto"/>
              <w:left w:val="nil"/>
              <w:bottom w:val="nil"/>
              <w:right w:val="single" w:sz="4" w:space="0" w:color="auto"/>
            </w:tcBorders>
            <w:shd w:val="clear" w:color="000000" w:fill="000000"/>
            <w:vAlign w:val="center"/>
            <w:hideMark/>
          </w:tcPr>
          <w:p w14:paraId="61851DA8" w14:textId="77777777" w:rsidR="005C232C" w:rsidRPr="005C232C" w:rsidRDefault="005C232C" w:rsidP="005C232C">
            <w:pPr>
              <w:jc w:val="center"/>
              <w:rPr>
                <w:rFonts w:cs="Arial"/>
                <w:b/>
                <w:bCs/>
                <w:color w:val="FFFFFF"/>
                <w:sz w:val="18"/>
                <w:szCs w:val="18"/>
                <w:lang w:eastAsia="en-GB"/>
              </w:rPr>
            </w:pPr>
            <w:r w:rsidRPr="005C232C">
              <w:rPr>
                <w:rFonts w:cs="Arial"/>
                <w:b/>
                <w:bCs/>
                <w:color w:val="FFFFFF"/>
                <w:sz w:val="18"/>
                <w:szCs w:val="18"/>
                <w:lang w:eastAsia="en-GB"/>
              </w:rPr>
              <w:t>Owed From</w:t>
            </w:r>
          </w:p>
        </w:tc>
      </w:tr>
      <w:tr w:rsidR="005C232C" w:rsidRPr="005C232C" w14:paraId="388C7280" w14:textId="77777777" w:rsidTr="005C232C">
        <w:trPr>
          <w:trHeight w:val="300"/>
          <w:jc w:val="center"/>
        </w:trPr>
        <w:tc>
          <w:tcPr>
            <w:tcW w:w="3534" w:type="dxa"/>
            <w:tcBorders>
              <w:top w:val="nil"/>
              <w:left w:val="single" w:sz="4" w:space="0" w:color="auto"/>
              <w:bottom w:val="single" w:sz="8" w:space="0" w:color="auto"/>
              <w:right w:val="nil"/>
            </w:tcBorders>
            <w:shd w:val="clear" w:color="000000" w:fill="000000"/>
            <w:noWrap/>
            <w:vAlign w:val="center"/>
            <w:hideMark/>
          </w:tcPr>
          <w:p w14:paraId="1BD44163" w14:textId="77777777" w:rsidR="005C232C" w:rsidRPr="005C232C" w:rsidRDefault="005C232C" w:rsidP="005C232C">
            <w:pPr>
              <w:rPr>
                <w:rFonts w:ascii="Calibri" w:hAnsi="Calibri" w:cs="Calibri"/>
                <w:color w:val="000000"/>
                <w:sz w:val="22"/>
                <w:szCs w:val="22"/>
                <w:lang w:eastAsia="en-GB"/>
              </w:rPr>
            </w:pPr>
            <w:r w:rsidRPr="005C232C">
              <w:rPr>
                <w:rFonts w:ascii="Calibri" w:hAnsi="Calibri" w:cs="Calibri"/>
                <w:color w:val="000000"/>
                <w:sz w:val="22"/>
                <w:szCs w:val="22"/>
                <w:lang w:eastAsia="en-GB"/>
              </w:rPr>
              <w:t> </w:t>
            </w:r>
          </w:p>
        </w:tc>
        <w:tc>
          <w:tcPr>
            <w:tcW w:w="1017" w:type="dxa"/>
            <w:tcBorders>
              <w:top w:val="nil"/>
              <w:left w:val="nil"/>
              <w:bottom w:val="single" w:sz="8" w:space="0" w:color="auto"/>
              <w:right w:val="nil"/>
            </w:tcBorders>
            <w:shd w:val="clear" w:color="000000" w:fill="000000"/>
            <w:noWrap/>
            <w:vAlign w:val="center"/>
            <w:hideMark/>
          </w:tcPr>
          <w:p w14:paraId="38DD3AD2" w14:textId="77777777" w:rsidR="005C232C" w:rsidRPr="005C232C" w:rsidRDefault="005C232C" w:rsidP="005C232C">
            <w:pPr>
              <w:jc w:val="center"/>
              <w:rPr>
                <w:rFonts w:cs="Arial"/>
                <w:b/>
                <w:bCs/>
                <w:color w:val="FFFFFF"/>
                <w:sz w:val="18"/>
                <w:szCs w:val="18"/>
                <w:lang w:eastAsia="en-GB"/>
              </w:rPr>
            </w:pPr>
            <w:r w:rsidRPr="005C232C">
              <w:rPr>
                <w:rFonts w:cs="Arial"/>
                <w:b/>
                <w:bCs/>
                <w:color w:val="FFFFFF"/>
                <w:sz w:val="18"/>
                <w:szCs w:val="18"/>
                <w:lang w:eastAsia="en-GB"/>
              </w:rPr>
              <w:t>£000</w:t>
            </w:r>
          </w:p>
        </w:tc>
        <w:tc>
          <w:tcPr>
            <w:tcW w:w="1120" w:type="dxa"/>
            <w:tcBorders>
              <w:top w:val="nil"/>
              <w:left w:val="nil"/>
              <w:bottom w:val="single" w:sz="8" w:space="0" w:color="auto"/>
              <w:right w:val="nil"/>
            </w:tcBorders>
            <w:shd w:val="clear" w:color="000000" w:fill="000000"/>
            <w:noWrap/>
            <w:vAlign w:val="center"/>
            <w:hideMark/>
          </w:tcPr>
          <w:p w14:paraId="1A266B8C" w14:textId="77777777" w:rsidR="005C232C" w:rsidRPr="005C232C" w:rsidRDefault="005C232C" w:rsidP="005C232C">
            <w:pPr>
              <w:jc w:val="center"/>
              <w:rPr>
                <w:rFonts w:cs="Arial"/>
                <w:b/>
                <w:bCs/>
                <w:color w:val="FFFFFF"/>
                <w:sz w:val="18"/>
                <w:szCs w:val="18"/>
                <w:lang w:eastAsia="en-GB"/>
              </w:rPr>
            </w:pPr>
            <w:r w:rsidRPr="005C232C">
              <w:rPr>
                <w:rFonts w:cs="Arial"/>
                <w:b/>
                <w:bCs/>
                <w:color w:val="FFFFFF"/>
                <w:sz w:val="18"/>
                <w:szCs w:val="18"/>
                <w:lang w:eastAsia="en-GB"/>
              </w:rPr>
              <w:t>£000</w:t>
            </w:r>
          </w:p>
        </w:tc>
        <w:tc>
          <w:tcPr>
            <w:tcW w:w="992" w:type="dxa"/>
            <w:tcBorders>
              <w:top w:val="nil"/>
              <w:left w:val="nil"/>
              <w:bottom w:val="single" w:sz="8" w:space="0" w:color="auto"/>
              <w:right w:val="nil"/>
            </w:tcBorders>
            <w:shd w:val="clear" w:color="000000" w:fill="000000"/>
            <w:noWrap/>
            <w:vAlign w:val="center"/>
            <w:hideMark/>
          </w:tcPr>
          <w:p w14:paraId="30DCFC52" w14:textId="77777777" w:rsidR="005C232C" w:rsidRPr="005C232C" w:rsidRDefault="005C232C" w:rsidP="005C232C">
            <w:pPr>
              <w:jc w:val="center"/>
              <w:rPr>
                <w:rFonts w:cs="Arial"/>
                <w:b/>
                <w:bCs/>
                <w:color w:val="FFFFFF"/>
                <w:sz w:val="18"/>
                <w:szCs w:val="18"/>
                <w:lang w:eastAsia="en-GB"/>
              </w:rPr>
            </w:pPr>
            <w:r w:rsidRPr="005C232C">
              <w:rPr>
                <w:rFonts w:cs="Arial"/>
                <w:b/>
                <w:bCs/>
                <w:color w:val="FFFFFF"/>
                <w:sz w:val="18"/>
                <w:szCs w:val="18"/>
                <w:lang w:eastAsia="en-GB"/>
              </w:rPr>
              <w:t>£000</w:t>
            </w:r>
          </w:p>
        </w:tc>
        <w:tc>
          <w:tcPr>
            <w:tcW w:w="1134" w:type="dxa"/>
            <w:tcBorders>
              <w:top w:val="nil"/>
              <w:left w:val="nil"/>
              <w:bottom w:val="single" w:sz="8" w:space="0" w:color="auto"/>
              <w:right w:val="nil"/>
            </w:tcBorders>
            <w:shd w:val="clear" w:color="000000" w:fill="000000"/>
            <w:noWrap/>
            <w:vAlign w:val="center"/>
            <w:hideMark/>
          </w:tcPr>
          <w:p w14:paraId="28C89E2C" w14:textId="77777777" w:rsidR="005C232C" w:rsidRPr="005C232C" w:rsidRDefault="005C232C" w:rsidP="005C232C">
            <w:pPr>
              <w:jc w:val="center"/>
              <w:rPr>
                <w:rFonts w:cs="Arial"/>
                <w:b/>
                <w:bCs/>
                <w:color w:val="FFFFFF"/>
                <w:sz w:val="18"/>
                <w:szCs w:val="18"/>
                <w:lang w:eastAsia="en-GB"/>
              </w:rPr>
            </w:pPr>
            <w:r w:rsidRPr="005C232C">
              <w:rPr>
                <w:rFonts w:cs="Arial"/>
                <w:b/>
                <w:bCs/>
                <w:color w:val="FFFFFF"/>
                <w:sz w:val="18"/>
                <w:szCs w:val="18"/>
                <w:lang w:eastAsia="en-GB"/>
              </w:rPr>
              <w:t>£000</w:t>
            </w:r>
          </w:p>
        </w:tc>
        <w:tc>
          <w:tcPr>
            <w:tcW w:w="992" w:type="dxa"/>
            <w:tcBorders>
              <w:top w:val="nil"/>
              <w:left w:val="nil"/>
              <w:bottom w:val="single" w:sz="8" w:space="0" w:color="auto"/>
              <w:right w:val="nil"/>
            </w:tcBorders>
            <w:shd w:val="clear" w:color="000000" w:fill="000000"/>
            <w:noWrap/>
            <w:vAlign w:val="center"/>
            <w:hideMark/>
          </w:tcPr>
          <w:p w14:paraId="3368C34B" w14:textId="77777777" w:rsidR="005C232C" w:rsidRPr="005C232C" w:rsidRDefault="005C232C" w:rsidP="005C232C">
            <w:pPr>
              <w:jc w:val="center"/>
              <w:rPr>
                <w:rFonts w:cs="Arial"/>
                <w:b/>
                <w:bCs/>
                <w:color w:val="FFFFFF"/>
                <w:sz w:val="18"/>
                <w:szCs w:val="18"/>
                <w:lang w:eastAsia="en-GB"/>
              </w:rPr>
            </w:pPr>
            <w:r w:rsidRPr="005C232C">
              <w:rPr>
                <w:rFonts w:cs="Arial"/>
                <w:b/>
                <w:bCs/>
                <w:color w:val="FFFFFF"/>
                <w:sz w:val="18"/>
                <w:szCs w:val="18"/>
                <w:lang w:eastAsia="en-GB"/>
              </w:rPr>
              <w:t>£000</w:t>
            </w:r>
          </w:p>
        </w:tc>
        <w:tc>
          <w:tcPr>
            <w:tcW w:w="1134" w:type="dxa"/>
            <w:tcBorders>
              <w:top w:val="nil"/>
              <w:left w:val="nil"/>
              <w:bottom w:val="single" w:sz="8" w:space="0" w:color="auto"/>
              <w:right w:val="single" w:sz="4" w:space="0" w:color="auto"/>
            </w:tcBorders>
            <w:shd w:val="clear" w:color="000000" w:fill="000000"/>
            <w:noWrap/>
            <w:vAlign w:val="center"/>
            <w:hideMark/>
          </w:tcPr>
          <w:p w14:paraId="5518EEC2" w14:textId="77777777" w:rsidR="005C232C" w:rsidRPr="005C232C" w:rsidRDefault="005C232C" w:rsidP="005C232C">
            <w:pPr>
              <w:jc w:val="center"/>
              <w:rPr>
                <w:rFonts w:cs="Arial"/>
                <w:b/>
                <w:bCs/>
                <w:color w:val="FFFFFF"/>
                <w:sz w:val="18"/>
                <w:szCs w:val="18"/>
                <w:lang w:eastAsia="en-GB"/>
              </w:rPr>
            </w:pPr>
            <w:r w:rsidRPr="005C232C">
              <w:rPr>
                <w:rFonts w:cs="Arial"/>
                <w:b/>
                <w:bCs/>
                <w:color w:val="FFFFFF"/>
                <w:sz w:val="18"/>
                <w:szCs w:val="18"/>
                <w:lang w:eastAsia="en-GB"/>
              </w:rPr>
              <w:t>£000</w:t>
            </w:r>
          </w:p>
        </w:tc>
      </w:tr>
      <w:tr w:rsidR="005C232C" w:rsidRPr="005C232C" w14:paraId="7505474E" w14:textId="77777777" w:rsidTr="005C232C">
        <w:trPr>
          <w:trHeight w:val="290"/>
          <w:jc w:val="center"/>
        </w:trPr>
        <w:tc>
          <w:tcPr>
            <w:tcW w:w="3534" w:type="dxa"/>
            <w:tcBorders>
              <w:top w:val="nil"/>
              <w:left w:val="single" w:sz="4" w:space="0" w:color="auto"/>
              <w:bottom w:val="nil"/>
              <w:right w:val="nil"/>
            </w:tcBorders>
            <w:shd w:val="clear" w:color="auto" w:fill="auto"/>
            <w:noWrap/>
            <w:vAlign w:val="center"/>
            <w:hideMark/>
          </w:tcPr>
          <w:p w14:paraId="7F117329" w14:textId="77777777" w:rsidR="005C232C" w:rsidRPr="005C232C" w:rsidRDefault="005C232C" w:rsidP="005C232C">
            <w:pPr>
              <w:rPr>
                <w:rFonts w:ascii="Calibri" w:hAnsi="Calibri" w:cs="Calibri"/>
                <w:color w:val="000000"/>
                <w:sz w:val="22"/>
                <w:szCs w:val="22"/>
                <w:lang w:eastAsia="en-GB"/>
              </w:rPr>
            </w:pPr>
            <w:r w:rsidRPr="005C232C">
              <w:rPr>
                <w:rFonts w:ascii="Calibri" w:hAnsi="Calibri" w:cs="Calibri"/>
                <w:color w:val="000000"/>
                <w:sz w:val="22"/>
                <w:szCs w:val="22"/>
                <w:lang w:eastAsia="en-GB"/>
              </w:rPr>
              <w:t> </w:t>
            </w:r>
          </w:p>
        </w:tc>
        <w:tc>
          <w:tcPr>
            <w:tcW w:w="1017" w:type="dxa"/>
            <w:tcBorders>
              <w:top w:val="nil"/>
              <w:left w:val="nil"/>
              <w:bottom w:val="nil"/>
              <w:right w:val="nil"/>
            </w:tcBorders>
            <w:shd w:val="clear" w:color="auto" w:fill="auto"/>
            <w:noWrap/>
            <w:vAlign w:val="center"/>
            <w:hideMark/>
          </w:tcPr>
          <w:p w14:paraId="5B7BE3DA" w14:textId="77777777" w:rsidR="005C232C" w:rsidRPr="005C232C" w:rsidRDefault="005C232C" w:rsidP="005C232C">
            <w:pPr>
              <w:rPr>
                <w:rFonts w:ascii="Calibri" w:hAnsi="Calibri" w:cs="Calibri"/>
                <w:color w:val="000000"/>
                <w:sz w:val="22"/>
                <w:szCs w:val="22"/>
                <w:lang w:eastAsia="en-GB"/>
              </w:rPr>
            </w:pPr>
          </w:p>
        </w:tc>
        <w:tc>
          <w:tcPr>
            <w:tcW w:w="1120" w:type="dxa"/>
            <w:tcBorders>
              <w:top w:val="nil"/>
              <w:left w:val="nil"/>
              <w:bottom w:val="nil"/>
              <w:right w:val="nil"/>
            </w:tcBorders>
            <w:shd w:val="clear" w:color="auto" w:fill="auto"/>
            <w:noWrap/>
            <w:vAlign w:val="center"/>
            <w:hideMark/>
          </w:tcPr>
          <w:p w14:paraId="3AE11B0E" w14:textId="77777777" w:rsidR="005C232C" w:rsidRPr="005C232C" w:rsidRDefault="005C232C" w:rsidP="005C232C">
            <w:pPr>
              <w:rPr>
                <w:rFonts w:ascii="Times New Roman" w:hAnsi="Times New Roman"/>
                <w:sz w:val="20"/>
                <w:szCs w:val="20"/>
                <w:lang w:eastAsia="en-GB"/>
              </w:rPr>
            </w:pPr>
          </w:p>
        </w:tc>
        <w:tc>
          <w:tcPr>
            <w:tcW w:w="992" w:type="dxa"/>
            <w:tcBorders>
              <w:top w:val="nil"/>
              <w:left w:val="nil"/>
              <w:bottom w:val="nil"/>
              <w:right w:val="nil"/>
            </w:tcBorders>
            <w:shd w:val="clear" w:color="auto" w:fill="auto"/>
            <w:noWrap/>
            <w:vAlign w:val="center"/>
            <w:hideMark/>
          </w:tcPr>
          <w:p w14:paraId="3E4DE3B9" w14:textId="77777777" w:rsidR="005C232C" w:rsidRPr="005C232C" w:rsidRDefault="005C232C" w:rsidP="005C232C">
            <w:pPr>
              <w:rPr>
                <w:rFonts w:ascii="Times New Roman" w:hAnsi="Times New Roman"/>
                <w:sz w:val="20"/>
                <w:szCs w:val="20"/>
                <w:lang w:eastAsia="en-GB"/>
              </w:rPr>
            </w:pPr>
          </w:p>
        </w:tc>
        <w:tc>
          <w:tcPr>
            <w:tcW w:w="1134" w:type="dxa"/>
            <w:tcBorders>
              <w:top w:val="nil"/>
              <w:left w:val="nil"/>
              <w:bottom w:val="nil"/>
              <w:right w:val="nil"/>
            </w:tcBorders>
            <w:shd w:val="clear" w:color="auto" w:fill="auto"/>
            <w:noWrap/>
            <w:vAlign w:val="center"/>
            <w:hideMark/>
          </w:tcPr>
          <w:p w14:paraId="4D25FBCF" w14:textId="77777777" w:rsidR="005C232C" w:rsidRPr="005C232C" w:rsidRDefault="005C232C" w:rsidP="005C232C">
            <w:pPr>
              <w:rPr>
                <w:rFonts w:ascii="Times New Roman" w:hAnsi="Times New Roman"/>
                <w:sz w:val="20"/>
                <w:szCs w:val="20"/>
                <w:lang w:eastAsia="en-GB"/>
              </w:rPr>
            </w:pPr>
          </w:p>
        </w:tc>
        <w:tc>
          <w:tcPr>
            <w:tcW w:w="992" w:type="dxa"/>
            <w:tcBorders>
              <w:top w:val="nil"/>
              <w:left w:val="nil"/>
              <w:bottom w:val="nil"/>
              <w:right w:val="nil"/>
            </w:tcBorders>
            <w:shd w:val="clear" w:color="auto" w:fill="auto"/>
            <w:noWrap/>
            <w:vAlign w:val="center"/>
            <w:hideMark/>
          </w:tcPr>
          <w:p w14:paraId="453A189A" w14:textId="77777777" w:rsidR="005C232C" w:rsidRPr="005C232C" w:rsidRDefault="005C232C" w:rsidP="005C232C">
            <w:pPr>
              <w:rPr>
                <w:rFonts w:ascii="Times New Roman" w:hAnsi="Times New Roman"/>
                <w:sz w:val="20"/>
                <w:szCs w:val="20"/>
                <w:lang w:eastAsia="en-GB"/>
              </w:rPr>
            </w:pPr>
          </w:p>
        </w:tc>
        <w:tc>
          <w:tcPr>
            <w:tcW w:w="1134" w:type="dxa"/>
            <w:tcBorders>
              <w:top w:val="nil"/>
              <w:left w:val="nil"/>
              <w:bottom w:val="nil"/>
              <w:right w:val="single" w:sz="4" w:space="0" w:color="auto"/>
            </w:tcBorders>
            <w:shd w:val="clear" w:color="auto" w:fill="auto"/>
            <w:noWrap/>
            <w:vAlign w:val="center"/>
            <w:hideMark/>
          </w:tcPr>
          <w:p w14:paraId="60CEB511" w14:textId="77777777" w:rsidR="005C232C" w:rsidRPr="005C232C" w:rsidRDefault="005C232C" w:rsidP="005C232C">
            <w:pPr>
              <w:rPr>
                <w:rFonts w:ascii="Calibri" w:hAnsi="Calibri" w:cs="Calibri"/>
                <w:color w:val="000000"/>
                <w:sz w:val="22"/>
                <w:szCs w:val="22"/>
                <w:lang w:eastAsia="en-GB"/>
              </w:rPr>
            </w:pPr>
            <w:r w:rsidRPr="005C232C">
              <w:rPr>
                <w:rFonts w:ascii="Calibri" w:hAnsi="Calibri" w:cs="Calibri"/>
                <w:color w:val="000000"/>
                <w:sz w:val="22"/>
                <w:szCs w:val="22"/>
                <w:lang w:eastAsia="en-GB"/>
              </w:rPr>
              <w:t> </w:t>
            </w:r>
          </w:p>
        </w:tc>
      </w:tr>
      <w:tr w:rsidR="005C232C" w:rsidRPr="005C232C" w14:paraId="4F8B9104" w14:textId="77777777" w:rsidTr="005C232C">
        <w:trPr>
          <w:trHeight w:val="290"/>
          <w:jc w:val="center"/>
        </w:trPr>
        <w:tc>
          <w:tcPr>
            <w:tcW w:w="3534" w:type="dxa"/>
            <w:tcBorders>
              <w:top w:val="nil"/>
              <w:left w:val="single" w:sz="4" w:space="0" w:color="auto"/>
              <w:bottom w:val="nil"/>
              <w:right w:val="nil"/>
            </w:tcBorders>
            <w:shd w:val="clear" w:color="auto" w:fill="auto"/>
            <w:noWrap/>
            <w:vAlign w:val="center"/>
            <w:hideMark/>
          </w:tcPr>
          <w:p w14:paraId="668D7E62" w14:textId="77777777" w:rsidR="005C232C" w:rsidRPr="005C232C" w:rsidRDefault="005C232C" w:rsidP="005C232C">
            <w:pPr>
              <w:rPr>
                <w:rFonts w:cs="Arial"/>
                <w:color w:val="000000"/>
                <w:sz w:val="20"/>
                <w:szCs w:val="20"/>
                <w:lang w:eastAsia="en-GB"/>
              </w:rPr>
            </w:pPr>
            <w:r w:rsidRPr="005C232C">
              <w:rPr>
                <w:rFonts w:cs="Arial"/>
                <w:color w:val="000000"/>
                <w:sz w:val="20"/>
                <w:szCs w:val="20"/>
                <w:lang w:eastAsia="en-GB"/>
              </w:rPr>
              <w:t>Westmorland and Furness Council</w:t>
            </w:r>
          </w:p>
        </w:tc>
        <w:tc>
          <w:tcPr>
            <w:tcW w:w="1017" w:type="dxa"/>
            <w:tcBorders>
              <w:top w:val="nil"/>
              <w:left w:val="nil"/>
              <w:bottom w:val="nil"/>
              <w:right w:val="nil"/>
            </w:tcBorders>
            <w:shd w:val="clear" w:color="auto" w:fill="auto"/>
            <w:noWrap/>
            <w:vAlign w:val="center"/>
            <w:hideMark/>
          </w:tcPr>
          <w:p w14:paraId="5D3669F7" w14:textId="77777777" w:rsidR="005C232C" w:rsidRPr="005C232C" w:rsidRDefault="005C232C" w:rsidP="005C232C">
            <w:pPr>
              <w:jc w:val="right"/>
              <w:rPr>
                <w:rFonts w:cs="Arial"/>
                <w:color w:val="000000"/>
                <w:lang w:eastAsia="en-GB"/>
              </w:rPr>
            </w:pPr>
            <w:r w:rsidRPr="005C232C">
              <w:rPr>
                <w:rFonts w:cs="Arial"/>
                <w:color w:val="000000"/>
                <w:lang w:eastAsia="en-GB"/>
              </w:rPr>
              <w:t>410</w:t>
            </w:r>
          </w:p>
        </w:tc>
        <w:tc>
          <w:tcPr>
            <w:tcW w:w="1120" w:type="dxa"/>
            <w:tcBorders>
              <w:top w:val="nil"/>
              <w:left w:val="nil"/>
              <w:bottom w:val="nil"/>
              <w:right w:val="nil"/>
            </w:tcBorders>
            <w:shd w:val="clear" w:color="auto" w:fill="auto"/>
            <w:noWrap/>
            <w:vAlign w:val="center"/>
            <w:hideMark/>
          </w:tcPr>
          <w:p w14:paraId="0B8C05F2" w14:textId="77777777" w:rsidR="005C232C" w:rsidRPr="005C232C" w:rsidRDefault="005C232C" w:rsidP="005C232C">
            <w:pPr>
              <w:jc w:val="right"/>
              <w:rPr>
                <w:rFonts w:cs="Arial"/>
                <w:color w:val="000000"/>
                <w:lang w:eastAsia="en-GB"/>
              </w:rPr>
            </w:pPr>
            <w:r w:rsidRPr="005C232C">
              <w:rPr>
                <w:rFonts w:cs="Arial"/>
                <w:color w:val="000000"/>
                <w:lang w:eastAsia="en-GB"/>
              </w:rPr>
              <w:t>59</w:t>
            </w:r>
          </w:p>
        </w:tc>
        <w:tc>
          <w:tcPr>
            <w:tcW w:w="992" w:type="dxa"/>
            <w:tcBorders>
              <w:top w:val="nil"/>
              <w:left w:val="nil"/>
              <w:bottom w:val="nil"/>
              <w:right w:val="nil"/>
            </w:tcBorders>
            <w:shd w:val="clear" w:color="auto" w:fill="auto"/>
            <w:noWrap/>
            <w:vAlign w:val="center"/>
            <w:hideMark/>
          </w:tcPr>
          <w:p w14:paraId="7CAB7193" w14:textId="77777777" w:rsidR="005C232C" w:rsidRPr="005C232C" w:rsidRDefault="005C232C" w:rsidP="005C232C">
            <w:pPr>
              <w:jc w:val="right"/>
              <w:rPr>
                <w:rFonts w:cs="Arial"/>
                <w:color w:val="000000"/>
                <w:lang w:eastAsia="en-GB"/>
              </w:rPr>
            </w:pPr>
            <w:r w:rsidRPr="005C232C">
              <w:rPr>
                <w:rFonts w:cs="Arial"/>
                <w:color w:val="000000"/>
                <w:lang w:eastAsia="en-GB"/>
              </w:rPr>
              <w:t>52</w:t>
            </w:r>
          </w:p>
        </w:tc>
        <w:tc>
          <w:tcPr>
            <w:tcW w:w="1134" w:type="dxa"/>
            <w:tcBorders>
              <w:top w:val="nil"/>
              <w:left w:val="nil"/>
              <w:bottom w:val="nil"/>
              <w:right w:val="nil"/>
            </w:tcBorders>
            <w:shd w:val="clear" w:color="auto" w:fill="auto"/>
            <w:noWrap/>
            <w:vAlign w:val="center"/>
            <w:hideMark/>
          </w:tcPr>
          <w:p w14:paraId="58310192" w14:textId="77777777" w:rsidR="005C232C" w:rsidRPr="005C232C" w:rsidRDefault="005C232C" w:rsidP="005C232C">
            <w:pPr>
              <w:jc w:val="right"/>
              <w:rPr>
                <w:rFonts w:cs="Arial"/>
                <w:color w:val="000000"/>
                <w:lang w:eastAsia="en-GB"/>
              </w:rPr>
            </w:pPr>
            <w:r w:rsidRPr="005C232C">
              <w:rPr>
                <w:rFonts w:cs="Arial"/>
                <w:color w:val="000000"/>
                <w:lang w:eastAsia="en-GB"/>
              </w:rPr>
              <w:t>0</w:t>
            </w:r>
          </w:p>
        </w:tc>
        <w:tc>
          <w:tcPr>
            <w:tcW w:w="992" w:type="dxa"/>
            <w:tcBorders>
              <w:top w:val="nil"/>
              <w:left w:val="nil"/>
              <w:bottom w:val="nil"/>
              <w:right w:val="nil"/>
            </w:tcBorders>
            <w:shd w:val="clear" w:color="auto" w:fill="auto"/>
            <w:noWrap/>
            <w:vAlign w:val="center"/>
            <w:hideMark/>
          </w:tcPr>
          <w:p w14:paraId="6B1630E7" w14:textId="77777777" w:rsidR="005C232C" w:rsidRPr="005C232C" w:rsidRDefault="005C232C" w:rsidP="005C232C">
            <w:pPr>
              <w:jc w:val="right"/>
              <w:rPr>
                <w:rFonts w:cs="Arial"/>
                <w:color w:val="000000"/>
                <w:lang w:eastAsia="en-GB"/>
              </w:rPr>
            </w:pPr>
            <w:r w:rsidRPr="005C232C">
              <w:rPr>
                <w:rFonts w:cs="Arial"/>
                <w:color w:val="000000"/>
                <w:lang w:eastAsia="en-GB"/>
              </w:rPr>
              <w:t>109</w:t>
            </w:r>
          </w:p>
        </w:tc>
        <w:tc>
          <w:tcPr>
            <w:tcW w:w="1134" w:type="dxa"/>
            <w:tcBorders>
              <w:top w:val="nil"/>
              <w:left w:val="nil"/>
              <w:bottom w:val="nil"/>
              <w:right w:val="single" w:sz="4" w:space="0" w:color="auto"/>
            </w:tcBorders>
            <w:shd w:val="clear" w:color="auto" w:fill="auto"/>
            <w:noWrap/>
            <w:vAlign w:val="center"/>
            <w:hideMark/>
          </w:tcPr>
          <w:p w14:paraId="4D5EF937" w14:textId="77777777" w:rsidR="005C232C" w:rsidRPr="005C232C" w:rsidRDefault="005C232C" w:rsidP="005C232C">
            <w:pPr>
              <w:jc w:val="right"/>
              <w:rPr>
                <w:rFonts w:cs="Arial"/>
                <w:color w:val="000000"/>
                <w:lang w:eastAsia="en-GB"/>
              </w:rPr>
            </w:pPr>
            <w:r w:rsidRPr="005C232C">
              <w:rPr>
                <w:rFonts w:cs="Arial"/>
                <w:color w:val="000000"/>
                <w:lang w:eastAsia="en-GB"/>
              </w:rPr>
              <w:t>3</w:t>
            </w:r>
          </w:p>
        </w:tc>
      </w:tr>
      <w:tr w:rsidR="005C232C" w:rsidRPr="005C232C" w14:paraId="4176DB77" w14:textId="77777777" w:rsidTr="005C232C">
        <w:trPr>
          <w:trHeight w:val="290"/>
          <w:jc w:val="center"/>
        </w:trPr>
        <w:tc>
          <w:tcPr>
            <w:tcW w:w="3534" w:type="dxa"/>
            <w:tcBorders>
              <w:top w:val="nil"/>
              <w:left w:val="single" w:sz="4" w:space="0" w:color="auto"/>
              <w:bottom w:val="nil"/>
              <w:right w:val="nil"/>
            </w:tcBorders>
            <w:shd w:val="clear" w:color="auto" w:fill="auto"/>
            <w:noWrap/>
            <w:vAlign w:val="center"/>
            <w:hideMark/>
          </w:tcPr>
          <w:p w14:paraId="38471EB8" w14:textId="77777777" w:rsidR="005C232C" w:rsidRPr="005C232C" w:rsidRDefault="005C232C" w:rsidP="005C232C">
            <w:pPr>
              <w:rPr>
                <w:rFonts w:cs="Arial"/>
                <w:color w:val="000000"/>
                <w:sz w:val="20"/>
                <w:szCs w:val="20"/>
                <w:lang w:eastAsia="en-GB"/>
              </w:rPr>
            </w:pPr>
            <w:r w:rsidRPr="005C232C">
              <w:rPr>
                <w:rFonts w:cs="Arial"/>
                <w:color w:val="000000"/>
                <w:sz w:val="20"/>
                <w:szCs w:val="20"/>
                <w:lang w:eastAsia="en-GB"/>
              </w:rPr>
              <w:t>Cumberland Council</w:t>
            </w:r>
          </w:p>
        </w:tc>
        <w:tc>
          <w:tcPr>
            <w:tcW w:w="1017" w:type="dxa"/>
            <w:tcBorders>
              <w:top w:val="nil"/>
              <w:left w:val="nil"/>
              <w:bottom w:val="nil"/>
              <w:right w:val="nil"/>
            </w:tcBorders>
            <w:shd w:val="clear" w:color="auto" w:fill="auto"/>
            <w:noWrap/>
            <w:vAlign w:val="center"/>
            <w:hideMark/>
          </w:tcPr>
          <w:p w14:paraId="1B7251A3" w14:textId="77777777" w:rsidR="005C232C" w:rsidRPr="005C232C" w:rsidRDefault="005C232C" w:rsidP="005C232C">
            <w:pPr>
              <w:jc w:val="right"/>
              <w:rPr>
                <w:rFonts w:cs="Arial"/>
                <w:color w:val="000000"/>
                <w:lang w:eastAsia="en-GB"/>
              </w:rPr>
            </w:pPr>
            <w:r w:rsidRPr="005C232C">
              <w:rPr>
                <w:rFonts w:cs="Arial"/>
                <w:color w:val="000000"/>
                <w:lang w:eastAsia="en-GB"/>
              </w:rPr>
              <w:t>27</w:t>
            </w:r>
          </w:p>
        </w:tc>
        <w:tc>
          <w:tcPr>
            <w:tcW w:w="1120" w:type="dxa"/>
            <w:tcBorders>
              <w:top w:val="nil"/>
              <w:left w:val="nil"/>
              <w:bottom w:val="nil"/>
              <w:right w:val="nil"/>
            </w:tcBorders>
            <w:shd w:val="clear" w:color="auto" w:fill="auto"/>
            <w:noWrap/>
            <w:vAlign w:val="center"/>
            <w:hideMark/>
          </w:tcPr>
          <w:p w14:paraId="0BB2970F" w14:textId="77777777" w:rsidR="005C232C" w:rsidRPr="005C232C" w:rsidRDefault="005C232C" w:rsidP="005C232C">
            <w:pPr>
              <w:jc w:val="right"/>
              <w:rPr>
                <w:rFonts w:cs="Arial"/>
                <w:color w:val="000000"/>
                <w:lang w:eastAsia="en-GB"/>
              </w:rPr>
            </w:pPr>
            <w:r w:rsidRPr="005C232C">
              <w:rPr>
                <w:rFonts w:cs="Arial"/>
                <w:color w:val="000000"/>
                <w:lang w:eastAsia="en-GB"/>
              </w:rPr>
              <w:t>2</w:t>
            </w:r>
          </w:p>
        </w:tc>
        <w:tc>
          <w:tcPr>
            <w:tcW w:w="992" w:type="dxa"/>
            <w:tcBorders>
              <w:top w:val="nil"/>
              <w:left w:val="nil"/>
              <w:bottom w:val="nil"/>
              <w:right w:val="nil"/>
            </w:tcBorders>
            <w:shd w:val="clear" w:color="auto" w:fill="auto"/>
            <w:noWrap/>
            <w:vAlign w:val="center"/>
            <w:hideMark/>
          </w:tcPr>
          <w:p w14:paraId="40827167" w14:textId="77777777" w:rsidR="005C232C" w:rsidRPr="005C232C" w:rsidRDefault="005C232C" w:rsidP="005C232C">
            <w:pPr>
              <w:jc w:val="right"/>
              <w:rPr>
                <w:rFonts w:cs="Arial"/>
                <w:color w:val="000000"/>
                <w:lang w:eastAsia="en-GB"/>
              </w:rPr>
            </w:pPr>
            <w:r w:rsidRPr="005C232C">
              <w:rPr>
                <w:rFonts w:cs="Arial"/>
                <w:color w:val="000000"/>
                <w:lang w:eastAsia="en-GB"/>
              </w:rPr>
              <w:t>24</w:t>
            </w:r>
          </w:p>
        </w:tc>
        <w:tc>
          <w:tcPr>
            <w:tcW w:w="1134" w:type="dxa"/>
            <w:tcBorders>
              <w:top w:val="nil"/>
              <w:left w:val="nil"/>
              <w:bottom w:val="nil"/>
              <w:right w:val="nil"/>
            </w:tcBorders>
            <w:shd w:val="clear" w:color="auto" w:fill="auto"/>
            <w:noWrap/>
            <w:vAlign w:val="center"/>
            <w:hideMark/>
          </w:tcPr>
          <w:p w14:paraId="67455C53" w14:textId="77777777" w:rsidR="005C232C" w:rsidRPr="005C232C" w:rsidRDefault="005C232C" w:rsidP="005C232C">
            <w:pPr>
              <w:jc w:val="right"/>
              <w:rPr>
                <w:rFonts w:cs="Arial"/>
                <w:color w:val="000000"/>
                <w:lang w:eastAsia="en-GB"/>
              </w:rPr>
            </w:pPr>
            <w:r w:rsidRPr="005C232C">
              <w:rPr>
                <w:rFonts w:cs="Arial"/>
                <w:color w:val="000000"/>
                <w:lang w:eastAsia="en-GB"/>
              </w:rPr>
              <w:t>25</w:t>
            </w:r>
          </w:p>
        </w:tc>
        <w:tc>
          <w:tcPr>
            <w:tcW w:w="992" w:type="dxa"/>
            <w:tcBorders>
              <w:top w:val="nil"/>
              <w:left w:val="nil"/>
              <w:bottom w:val="nil"/>
              <w:right w:val="nil"/>
            </w:tcBorders>
            <w:shd w:val="clear" w:color="auto" w:fill="auto"/>
            <w:noWrap/>
            <w:vAlign w:val="center"/>
            <w:hideMark/>
          </w:tcPr>
          <w:p w14:paraId="6AF3C92C" w14:textId="77777777" w:rsidR="005C232C" w:rsidRPr="005C232C" w:rsidRDefault="005C232C" w:rsidP="005C232C">
            <w:pPr>
              <w:jc w:val="right"/>
              <w:rPr>
                <w:rFonts w:cs="Arial"/>
                <w:color w:val="000000"/>
                <w:lang w:eastAsia="en-GB"/>
              </w:rPr>
            </w:pPr>
            <w:r w:rsidRPr="005C232C">
              <w:rPr>
                <w:rFonts w:cs="Arial"/>
                <w:color w:val="000000"/>
                <w:lang w:eastAsia="en-GB"/>
              </w:rPr>
              <w:t>21</w:t>
            </w:r>
          </w:p>
        </w:tc>
        <w:tc>
          <w:tcPr>
            <w:tcW w:w="1134" w:type="dxa"/>
            <w:tcBorders>
              <w:top w:val="nil"/>
              <w:left w:val="nil"/>
              <w:bottom w:val="nil"/>
              <w:right w:val="single" w:sz="4" w:space="0" w:color="auto"/>
            </w:tcBorders>
            <w:shd w:val="clear" w:color="auto" w:fill="auto"/>
            <w:noWrap/>
            <w:vAlign w:val="center"/>
            <w:hideMark/>
          </w:tcPr>
          <w:p w14:paraId="257981D7" w14:textId="77777777" w:rsidR="005C232C" w:rsidRPr="005C232C" w:rsidRDefault="005C232C" w:rsidP="005C232C">
            <w:pPr>
              <w:jc w:val="right"/>
              <w:rPr>
                <w:rFonts w:cs="Arial"/>
                <w:color w:val="000000"/>
                <w:lang w:eastAsia="en-GB"/>
              </w:rPr>
            </w:pPr>
            <w:r w:rsidRPr="005C232C">
              <w:rPr>
                <w:rFonts w:cs="Arial"/>
                <w:color w:val="000000"/>
                <w:lang w:eastAsia="en-GB"/>
              </w:rPr>
              <w:t>3</w:t>
            </w:r>
          </w:p>
        </w:tc>
      </w:tr>
      <w:tr w:rsidR="005C232C" w:rsidRPr="005C232C" w14:paraId="712ADF67" w14:textId="77777777" w:rsidTr="005C232C">
        <w:trPr>
          <w:trHeight w:val="290"/>
          <w:jc w:val="center"/>
        </w:trPr>
        <w:tc>
          <w:tcPr>
            <w:tcW w:w="3534" w:type="dxa"/>
            <w:tcBorders>
              <w:top w:val="nil"/>
              <w:left w:val="single" w:sz="4" w:space="0" w:color="auto"/>
              <w:bottom w:val="nil"/>
              <w:right w:val="nil"/>
            </w:tcBorders>
            <w:shd w:val="clear" w:color="auto" w:fill="auto"/>
            <w:noWrap/>
            <w:vAlign w:val="center"/>
            <w:hideMark/>
          </w:tcPr>
          <w:p w14:paraId="07CE2D37" w14:textId="77777777" w:rsidR="005C232C" w:rsidRPr="005C232C" w:rsidRDefault="005C232C" w:rsidP="005C232C">
            <w:pPr>
              <w:rPr>
                <w:rFonts w:cs="Arial"/>
                <w:color w:val="000000"/>
                <w:sz w:val="20"/>
                <w:szCs w:val="20"/>
                <w:lang w:eastAsia="en-GB"/>
              </w:rPr>
            </w:pPr>
            <w:r w:rsidRPr="005C232C">
              <w:rPr>
                <w:rFonts w:cs="Arial"/>
                <w:color w:val="000000"/>
                <w:sz w:val="20"/>
                <w:szCs w:val="20"/>
                <w:lang w:eastAsia="en-GB"/>
              </w:rPr>
              <w:t>Cumbria County Council</w:t>
            </w:r>
          </w:p>
        </w:tc>
        <w:tc>
          <w:tcPr>
            <w:tcW w:w="1017" w:type="dxa"/>
            <w:tcBorders>
              <w:top w:val="nil"/>
              <w:left w:val="nil"/>
              <w:bottom w:val="nil"/>
              <w:right w:val="nil"/>
            </w:tcBorders>
            <w:shd w:val="clear" w:color="auto" w:fill="auto"/>
            <w:noWrap/>
            <w:vAlign w:val="center"/>
            <w:hideMark/>
          </w:tcPr>
          <w:p w14:paraId="0BA94750" w14:textId="77777777" w:rsidR="005C232C" w:rsidRPr="005C232C" w:rsidRDefault="005C232C" w:rsidP="005C232C">
            <w:pPr>
              <w:jc w:val="right"/>
              <w:rPr>
                <w:rFonts w:cs="Arial"/>
                <w:color w:val="000000"/>
                <w:lang w:eastAsia="en-GB"/>
              </w:rPr>
            </w:pPr>
            <w:r w:rsidRPr="005C232C">
              <w:rPr>
                <w:rFonts w:cs="Arial"/>
                <w:color w:val="000000"/>
                <w:lang w:eastAsia="en-GB"/>
              </w:rPr>
              <w:t>0</w:t>
            </w:r>
          </w:p>
        </w:tc>
        <w:tc>
          <w:tcPr>
            <w:tcW w:w="1120" w:type="dxa"/>
            <w:tcBorders>
              <w:top w:val="nil"/>
              <w:left w:val="nil"/>
              <w:bottom w:val="nil"/>
              <w:right w:val="nil"/>
            </w:tcBorders>
            <w:shd w:val="clear" w:color="auto" w:fill="auto"/>
            <w:noWrap/>
            <w:vAlign w:val="center"/>
            <w:hideMark/>
          </w:tcPr>
          <w:p w14:paraId="7821819B" w14:textId="77777777" w:rsidR="005C232C" w:rsidRPr="005C232C" w:rsidRDefault="005C232C" w:rsidP="005C232C">
            <w:pPr>
              <w:jc w:val="right"/>
              <w:rPr>
                <w:rFonts w:cs="Arial"/>
                <w:color w:val="000000"/>
                <w:lang w:eastAsia="en-GB"/>
              </w:rPr>
            </w:pPr>
            <w:r w:rsidRPr="005C232C">
              <w:rPr>
                <w:rFonts w:cs="Arial"/>
                <w:color w:val="000000"/>
                <w:lang w:eastAsia="en-GB"/>
              </w:rPr>
              <w:t>0</w:t>
            </w:r>
          </w:p>
        </w:tc>
        <w:tc>
          <w:tcPr>
            <w:tcW w:w="992" w:type="dxa"/>
            <w:tcBorders>
              <w:top w:val="nil"/>
              <w:left w:val="nil"/>
              <w:bottom w:val="nil"/>
              <w:right w:val="nil"/>
            </w:tcBorders>
            <w:shd w:val="clear" w:color="auto" w:fill="auto"/>
            <w:noWrap/>
            <w:vAlign w:val="center"/>
            <w:hideMark/>
          </w:tcPr>
          <w:p w14:paraId="2D3EB597" w14:textId="77777777" w:rsidR="005C232C" w:rsidRPr="005C232C" w:rsidRDefault="005C232C" w:rsidP="005C232C">
            <w:pPr>
              <w:jc w:val="right"/>
              <w:rPr>
                <w:rFonts w:cs="Arial"/>
                <w:color w:val="000000"/>
                <w:lang w:eastAsia="en-GB"/>
              </w:rPr>
            </w:pPr>
            <w:r w:rsidRPr="005C232C">
              <w:rPr>
                <w:rFonts w:cs="Arial"/>
                <w:color w:val="000000"/>
                <w:lang w:eastAsia="en-GB"/>
              </w:rPr>
              <w:t>0</w:t>
            </w:r>
          </w:p>
        </w:tc>
        <w:tc>
          <w:tcPr>
            <w:tcW w:w="1134" w:type="dxa"/>
            <w:tcBorders>
              <w:top w:val="nil"/>
              <w:left w:val="nil"/>
              <w:bottom w:val="nil"/>
              <w:right w:val="nil"/>
            </w:tcBorders>
            <w:shd w:val="clear" w:color="auto" w:fill="auto"/>
            <w:noWrap/>
            <w:vAlign w:val="center"/>
            <w:hideMark/>
          </w:tcPr>
          <w:p w14:paraId="59C93F24" w14:textId="77777777" w:rsidR="005C232C" w:rsidRPr="005C232C" w:rsidRDefault="005C232C" w:rsidP="005C232C">
            <w:pPr>
              <w:jc w:val="right"/>
              <w:rPr>
                <w:rFonts w:cs="Arial"/>
                <w:color w:val="000000"/>
                <w:lang w:eastAsia="en-GB"/>
              </w:rPr>
            </w:pPr>
            <w:r w:rsidRPr="005C232C">
              <w:rPr>
                <w:rFonts w:cs="Arial"/>
                <w:color w:val="000000"/>
                <w:lang w:eastAsia="en-GB"/>
              </w:rPr>
              <w:t>78</w:t>
            </w:r>
          </w:p>
        </w:tc>
        <w:tc>
          <w:tcPr>
            <w:tcW w:w="992" w:type="dxa"/>
            <w:tcBorders>
              <w:top w:val="nil"/>
              <w:left w:val="nil"/>
              <w:bottom w:val="nil"/>
              <w:right w:val="nil"/>
            </w:tcBorders>
            <w:shd w:val="clear" w:color="auto" w:fill="auto"/>
            <w:noWrap/>
            <w:vAlign w:val="center"/>
            <w:hideMark/>
          </w:tcPr>
          <w:p w14:paraId="18882764" w14:textId="77777777" w:rsidR="005C232C" w:rsidRPr="005C232C" w:rsidRDefault="005C232C" w:rsidP="005C232C">
            <w:pPr>
              <w:jc w:val="right"/>
              <w:rPr>
                <w:rFonts w:cs="Arial"/>
                <w:color w:val="000000"/>
                <w:lang w:eastAsia="en-GB"/>
              </w:rPr>
            </w:pPr>
            <w:r w:rsidRPr="005C232C">
              <w:rPr>
                <w:rFonts w:cs="Arial"/>
                <w:color w:val="000000"/>
                <w:lang w:eastAsia="en-GB"/>
              </w:rPr>
              <w:t>0</w:t>
            </w:r>
          </w:p>
        </w:tc>
        <w:tc>
          <w:tcPr>
            <w:tcW w:w="1134" w:type="dxa"/>
            <w:tcBorders>
              <w:top w:val="nil"/>
              <w:left w:val="nil"/>
              <w:bottom w:val="nil"/>
              <w:right w:val="single" w:sz="4" w:space="0" w:color="auto"/>
            </w:tcBorders>
            <w:shd w:val="clear" w:color="auto" w:fill="auto"/>
            <w:noWrap/>
            <w:vAlign w:val="center"/>
            <w:hideMark/>
          </w:tcPr>
          <w:p w14:paraId="3A5BDC9A" w14:textId="77777777" w:rsidR="005C232C" w:rsidRPr="005C232C" w:rsidRDefault="005C232C" w:rsidP="005C232C">
            <w:pPr>
              <w:jc w:val="right"/>
              <w:rPr>
                <w:rFonts w:cs="Arial"/>
                <w:color w:val="000000"/>
                <w:lang w:eastAsia="en-GB"/>
              </w:rPr>
            </w:pPr>
            <w:r w:rsidRPr="005C232C">
              <w:rPr>
                <w:rFonts w:cs="Arial"/>
                <w:color w:val="000000"/>
                <w:lang w:eastAsia="en-GB"/>
              </w:rPr>
              <w:t>0</w:t>
            </w:r>
          </w:p>
        </w:tc>
      </w:tr>
      <w:tr w:rsidR="005C232C" w:rsidRPr="005C232C" w14:paraId="06B062B1" w14:textId="77777777" w:rsidTr="005C232C">
        <w:trPr>
          <w:trHeight w:val="290"/>
          <w:jc w:val="center"/>
        </w:trPr>
        <w:tc>
          <w:tcPr>
            <w:tcW w:w="3534" w:type="dxa"/>
            <w:tcBorders>
              <w:top w:val="nil"/>
              <w:left w:val="single" w:sz="4" w:space="0" w:color="auto"/>
              <w:bottom w:val="nil"/>
              <w:right w:val="nil"/>
            </w:tcBorders>
            <w:shd w:val="clear" w:color="auto" w:fill="auto"/>
            <w:noWrap/>
            <w:vAlign w:val="center"/>
            <w:hideMark/>
          </w:tcPr>
          <w:p w14:paraId="14C95BFF" w14:textId="77777777" w:rsidR="005C232C" w:rsidRPr="005C232C" w:rsidRDefault="005C232C" w:rsidP="005C232C">
            <w:pPr>
              <w:rPr>
                <w:rFonts w:cs="Arial"/>
                <w:color w:val="000000"/>
                <w:sz w:val="20"/>
                <w:szCs w:val="20"/>
                <w:lang w:eastAsia="en-GB"/>
              </w:rPr>
            </w:pPr>
            <w:r w:rsidRPr="005C232C">
              <w:rPr>
                <w:rFonts w:cs="Arial"/>
                <w:color w:val="000000"/>
                <w:sz w:val="20"/>
                <w:szCs w:val="20"/>
                <w:lang w:eastAsia="en-GB"/>
              </w:rPr>
              <w:t>Copeland Borough Council</w:t>
            </w:r>
          </w:p>
        </w:tc>
        <w:tc>
          <w:tcPr>
            <w:tcW w:w="1017" w:type="dxa"/>
            <w:tcBorders>
              <w:top w:val="nil"/>
              <w:left w:val="nil"/>
              <w:bottom w:val="nil"/>
              <w:right w:val="nil"/>
            </w:tcBorders>
            <w:shd w:val="clear" w:color="auto" w:fill="auto"/>
            <w:noWrap/>
            <w:vAlign w:val="center"/>
            <w:hideMark/>
          </w:tcPr>
          <w:p w14:paraId="0BDAF692" w14:textId="77777777" w:rsidR="005C232C" w:rsidRPr="005C232C" w:rsidRDefault="005C232C" w:rsidP="005C232C">
            <w:pPr>
              <w:jc w:val="right"/>
              <w:rPr>
                <w:rFonts w:cs="Arial"/>
                <w:color w:val="000000"/>
                <w:lang w:eastAsia="en-GB"/>
              </w:rPr>
            </w:pPr>
            <w:r w:rsidRPr="005C232C">
              <w:rPr>
                <w:rFonts w:cs="Arial"/>
                <w:color w:val="000000"/>
                <w:lang w:eastAsia="en-GB"/>
              </w:rPr>
              <w:t>0</w:t>
            </w:r>
          </w:p>
        </w:tc>
        <w:tc>
          <w:tcPr>
            <w:tcW w:w="1120" w:type="dxa"/>
            <w:tcBorders>
              <w:top w:val="nil"/>
              <w:left w:val="nil"/>
              <w:bottom w:val="nil"/>
              <w:right w:val="nil"/>
            </w:tcBorders>
            <w:shd w:val="clear" w:color="auto" w:fill="auto"/>
            <w:noWrap/>
            <w:vAlign w:val="center"/>
            <w:hideMark/>
          </w:tcPr>
          <w:p w14:paraId="6A31E39A" w14:textId="77777777" w:rsidR="005C232C" w:rsidRPr="005C232C" w:rsidRDefault="005C232C" w:rsidP="005C232C">
            <w:pPr>
              <w:jc w:val="right"/>
              <w:rPr>
                <w:rFonts w:cs="Arial"/>
                <w:color w:val="000000"/>
                <w:lang w:eastAsia="en-GB"/>
              </w:rPr>
            </w:pPr>
            <w:r w:rsidRPr="005C232C">
              <w:rPr>
                <w:rFonts w:cs="Arial"/>
                <w:color w:val="000000"/>
                <w:lang w:eastAsia="en-GB"/>
              </w:rPr>
              <w:t>0</w:t>
            </w:r>
          </w:p>
        </w:tc>
        <w:tc>
          <w:tcPr>
            <w:tcW w:w="992" w:type="dxa"/>
            <w:tcBorders>
              <w:top w:val="nil"/>
              <w:left w:val="nil"/>
              <w:bottom w:val="nil"/>
              <w:right w:val="nil"/>
            </w:tcBorders>
            <w:shd w:val="clear" w:color="auto" w:fill="auto"/>
            <w:noWrap/>
            <w:vAlign w:val="center"/>
            <w:hideMark/>
          </w:tcPr>
          <w:p w14:paraId="7117BFD3" w14:textId="77777777" w:rsidR="005C232C" w:rsidRPr="005C232C" w:rsidRDefault="005C232C" w:rsidP="005C232C">
            <w:pPr>
              <w:jc w:val="right"/>
              <w:rPr>
                <w:rFonts w:cs="Arial"/>
                <w:color w:val="000000"/>
                <w:lang w:eastAsia="en-GB"/>
              </w:rPr>
            </w:pPr>
            <w:r w:rsidRPr="005C232C">
              <w:rPr>
                <w:rFonts w:cs="Arial"/>
                <w:color w:val="000000"/>
                <w:lang w:eastAsia="en-GB"/>
              </w:rPr>
              <w:t>0</w:t>
            </w:r>
          </w:p>
        </w:tc>
        <w:tc>
          <w:tcPr>
            <w:tcW w:w="1134" w:type="dxa"/>
            <w:tcBorders>
              <w:top w:val="nil"/>
              <w:left w:val="nil"/>
              <w:bottom w:val="nil"/>
              <w:right w:val="nil"/>
            </w:tcBorders>
            <w:shd w:val="clear" w:color="auto" w:fill="auto"/>
            <w:noWrap/>
            <w:vAlign w:val="bottom"/>
            <w:hideMark/>
          </w:tcPr>
          <w:p w14:paraId="3726FE09" w14:textId="77777777" w:rsidR="005C232C" w:rsidRPr="005C232C" w:rsidRDefault="005C232C" w:rsidP="005C232C">
            <w:pPr>
              <w:jc w:val="right"/>
              <w:rPr>
                <w:rFonts w:ascii="Aptos Narrow" w:hAnsi="Aptos Narrow"/>
                <w:color w:val="000000"/>
                <w:sz w:val="22"/>
                <w:szCs w:val="22"/>
                <w:lang w:eastAsia="en-GB"/>
              </w:rPr>
            </w:pPr>
            <w:r w:rsidRPr="005C232C">
              <w:rPr>
                <w:rFonts w:ascii="Aptos Narrow" w:hAnsi="Aptos Narrow"/>
                <w:color w:val="000000"/>
                <w:sz w:val="22"/>
                <w:szCs w:val="22"/>
                <w:lang w:eastAsia="en-GB"/>
              </w:rPr>
              <w:t>74</w:t>
            </w:r>
          </w:p>
        </w:tc>
        <w:tc>
          <w:tcPr>
            <w:tcW w:w="992" w:type="dxa"/>
            <w:tcBorders>
              <w:top w:val="nil"/>
              <w:left w:val="nil"/>
              <w:bottom w:val="nil"/>
              <w:right w:val="nil"/>
            </w:tcBorders>
            <w:shd w:val="clear" w:color="auto" w:fill="auto"/>
            <w:noWrap/>
            <w:vAlign w:val="center"/>
            <w:hideMark/>
          </w:tcPr>
          <w:p w14:paraId="6DEC66D3" w14:textId="77777777" w:rsidR="005C232C" w:rsidRPr="005C232C" w:rsidRDefault="005C232C" w:rsidP="005C232C">
            <w:pPr>
              <w:jc w:val="right"/>
              <w:rPr>
                <w:rFonts w:cs="Arial"/>
                <w:color w:val="000000"/>
                <w:lang w:eastAsia="en-GB"/>
              </w:rPr>
            </w:pPr>
            <w:r w:rsidRPr="005C232C">
              <w:rPr>
                <w:rFonts w:cs="Arial"/>
                <w:color w:val="000000"/>
                <w:lang w:eastAsia="en-GB"/>
              </w:rPr>
              <w:t>0</w:t>
            </w:r>
          </w:p>
        </w:tc>
        <w:tc>
          <w:tcPr>
            <w:tcW w:w="1134" w:type="dxa"/>
            <w:tcBorders>
              <w:top w:val="nil"/>
              <w:left w:val="nil"/>
              <w:bottom w:val="nil"/>
              <w:right w:val="single" w:sz="4" w:space="0" w:color="auto"/>
            </w:tcBorders>
            <w:shd w:val="clear" w:color="auto" w:fill="auto"/>
            <w:noWrap/>
            <w:vAlign w:val="center"/>
            <w:hideMark/>
          </w:tcPr>
          <w:p w14:paraId="21319867" w14:textId="77777777" w:rsidR="005C232C" w:rsidRPr="005C232C" w:rsidRDefault="005C232C" w:rsidP="005C232C">
            <w:pPr>
              <w:jc w:val="right"/>
              <w:rPr>
                <w:rFonts w:cs="Arial"/>
                <w:color w:val="000000"/>
                <w:lang w:eastAsia="en-GB"/>
              </w:rPr>
            </w:pPr>
            <w:r w:rsidRPr="005C232C">
              <w:rPr>
                <w:rFonts w:cs="Arial"/>
                <w:color w:val="000000"/>
                <w:lang w:eastAsia="en-GB"/>
              </w:rPr>
              <w:t>0</w:t>
            </w:r>
          </w:p>
        </w:tc>
      </w:tr>
      <w:tr w:rsidR="005C232C" w:rsidRPr="005C232C" w14:paraId="1916FA46" w14:textId="77777777" w:rsidTr="005C232C">
        <w:trPr>
          <w:trHeight w:val="300"/>
          <w:jc w:val="center"/>
        </w:trPr>
        <w:tc>
          <w:tcPr>
            <w:tcW w:w="3534" w:type="dxa"/>
            <w:tcBorders>
              <w:top w:val="nil"/>
              <w:left w:val="single" w:sz="4" w:space="0" w:color="auto"/>
              <w:bottom w:val="nil"/>
              <w:right w:val="nil"/>
            </w:tcBorders>
            <w:shd w:val="clear" w:color="auto" w:fill="auto"/>
            <w:noWrap/>
            <w:vAlign w:val="center"/>
            <w:hideMark/>
          </w:tcPr>
          <w:p w14:paraId="37C6C76A" w14:textId="77777777" w:rsidR="005C232C" w:rsidRPr="005C232C" w:rsidRDefault="005C232C" w:rsidP="005C232C">
            <w:pPr>
              <w:rPr>
                <w:rFonts w:cs="Arial"/>
                <w:color w:val="000000"/>
                <w:sz w:val="20"/>
                <w:szCs w:val="20"/>
                <w:lang w:eastAsia="en-GB"/>
              </w:rPr>
            </w:pPr>
            <w:r w:rsidRPr="005C232C">
              <w:rPr>
                <w:rFonts w:cs="Arial"/>
                <w:color w:val="000000"/>
                <w:sz w:val="20"/>
                <w:szCs w:val="20"/>
                <w:lang w:eastAsia="en-GB"/>
              </w:rPr>
              <w:t>Allerdale Borough Council</w:t>
            </w:r>
          </w:p>
        </w:tc>
        <w:tc>
          <w:tcPr>
            <w:tcW w:w="1017" w:type="dxa"/>
            <w:tcBorders>
              <w:top w:val="nil"/>
              <w:left w:val="nil"/>
              <w:bottom w:val="nil"/>
              <w:right w:val="nil"/>
            </w:tcBorders>
            <w:shd w:val="clear" w:color="auto" w:fill="auto"/>
            <w:noWrap/>
            <w:vAlign w:val="center"/>
            <w:hideMark/>
          </w:tcPr>
          <w:p w14:paraId="5FDD004D" w14:textId="77777777" w:rsidR="005C232C" w:rsidRPr="005C232C" w:rsidRDefault="005C232C" w:rsidP="005C232C">
            <w:pPr>
              <w:jc w:val="right"/>
              <w:rPr>
                <w:rFonts w:cs="Arial"/>
                <w:color w:val="000000"/>
                <w:lang w:eastAsia="en-GB"/>
              </w:rPr>
            </w:pPr>
            <w:r w:rsidRPr="005C232C">
              <w:rPr>
                <w:rFonts w:cs="Arial"/>
                <w:color w:val="000000"/>
                <w:lang w:eastAsia="en-GB"/>
              </w:rPr>
              <w:t>0</w:t>
            </w:r>
          </w:p>
        </w:tc>
        <w:tc>
          <w:tcPr>
            <w:tcW w:w="1120" w:type="dxa"/>
            <w:tcBorders>
              <w:top w:val="nil"/>
              <w:left w:val="nil"/>
              <w:bottom w:val="nil"/>
              <w:right w:val="nil"/>
            </w:tcBorders>
            <w:shd w:val="clear" w:color="auto" w:fill="auto"/>
            <w:noWrap/>
            <w:vAlign w:val="center"/>
            <w:hideMark/>
          </w:tcPr>
          <w:p w14:paraId="3C617F29" w14:textId="77777777" w:rsidR="005C232C" w:rsidRPr="005C232C" w:rsidRDefault="005C232C" w:rsidP="005C232C">
            <w:pPr>
              <w:jc w:val="right"/>
              <w:rPr>
                <w:rFonts w:cs="Arial"/>
                <w:color w:val="000000"/>
                <w:lang w:eastAsia="en-GB"/>
              </w:rPr>
            </w:pPr>
            <w:r w:rsidRPr="005C232C">
              <w:rPr>
                <w:rFonts w:cs="Arial"/>
                <w:color w:val="000000"/>
                <w:lang w:eastAsia="en-GB"/>
              </w:rPr>
              <w:t>0</w:t>
            </w:r>
          </w:p>
        </w:tc>
        <w:tc>
          <w:tcPr>
            <w:tcW w:w="992" w:type="dxa"/>
            <w:tcBorders>
              <w:top w:val="nil"/>
              <w:left w:val="nil"/>
              <w:bottom w:val="nil"/>
              <w:right w:val="nil"/>
            </w:tcBorders>
            <w:shd w:val="clear" w:color="auto" w:fill="auto"/>
            <w:noWrap/>
            <w:vAlign w:val="center"/>
            <w:hideMark/>
          </w:tcPr>
          <w:p w14:paraId="524D08AC" w14:textId="77777777" w:rsidR="005C232C" w:rsidRPr="005C232C" w:rsidRDefault="005C232C" w:rsidP="005C232C">
            <w:pPr>
              <w:jc w:val="right"/>
              <w:rPr>
                <w:rFonts w:cs="Arial"/>
                <w:color w:val="000000"/>
                <w:lang w:eastAsia="en-GB"/>
              </w:rPr>
            </w:pPr>
            <w:r w:rsidRPr="005C232C">
              <w:rPr>
                <w:rFonts w:cs="Arial"/>
                <w:color w:val="000000"/>
                <w:lang w:eastAsia="en-GB"/>
              </w:rPr>
              <w:t>0</w:t>
            </w:r>
          </w:p>
        </w:tc>
        <w:tc>
          <w:tcPr>
            <w:tcW w:w="1134" w:type="dxa"/>
            <w:tcBorders>
              <w:top w:val="nil"/>
              <w:left w:val="nil"/>
              <w:bottom w:val="nil"/>
              <w:right w:val="nil"/>
            </w:tcBorders>
            <w:shd w:val="clear" w:color="auto" w:fill="auto"/>
            <w:noWrap/>
            <w:vAlign w:val="center"/>
            <w:hideMark/>
          </w:tcPr>
          <w:p w14:paraId="70528D31" w14:textId="77777777" w:rsidR="005C232C" w:rsidRPr="005C232C" w:rsidRDefault="005C232C" w:rsidP="005C232C">
            <w:pPr>
              <w:jc w:val="right"/>
              <w:rPr>
                <w:rFonts w:cs="Arial"/>
                <w:color w:val="000000"/>
                <w:lang w:eastAsia="en-GB"/>
              </w:rPr>
            </w:pPr>
            <w:r w:rsidRPr="005C232C">
              <w:rPr>
                <w:rFonts w:cs="Arial"/>
                <w:color w:val="000000"/>
                <w:lang w:eastAsia="en-GB"/>
              </w:rPr>
              <w:t>8</w:t>
            </w:r>
          </w:p>
        </w:tc>
        <w:tc>
          <w:tcPr>
            <w:tcW w:w="992" w:type="dxa"/>
            <w:tcBorders>
              <w:top w:val="nil"/>
              <w:left w:val="nil"/>
              <w:bottom w:val="nil"/>
              <w:right w:val="nil"/>
            </w:tcBorders>
            <w:shd w:val="clear" w:color="auto" w:fill="auto"/>
            <w:noWrap/>
            <w:vAlign w:val="center"/>
            <w:hideMark/>
          </w:tcPr>
          <w:p w14:paraId="29FF816B" w14:textId="77777777" w:rsidR="005C232C" w:rsidRPr="005C232C" w:rsidRDefault="005C232C" w:rsidP="005C232C">
            <w:pPr>
              <w:jc w:val="right"/>
              <w:rPr>
                <w:rFonts w:cs="Arial"/>
                <w:color w:val="000000"/>
                <w:lang w:eastAsia="en-GB"/>
              </w:rPr>
            </w:pPr>
            <w:r w:rsidRPr="005C232C">
              <w:rPr>
                <w:rFonts w:cs="Arial"/>
                <w:color w:val="000000"/>
                <w:lang w:eastAsia="en-GB"/>
              </w:rPr>
              <w:t>0</w:t>
            </w:r>
          </w:p>
        </w:tc>
        <w:tc>
          <w:tcPr>
            <w:tcW w:w="1134" w:type="dxa"/>
            <w:tcBorders>
              <w:top w:val="nil"/>
              <w:left w:val="nil"/>
              <w:bottom w:val="nil"/>
              <w:right w:val="single" w:sz="4" w:space="0" w:color="auto"/>
            </w:tcBorders>
            <w:shd w:val="clear" w:color="auto" w:fill="auto"/>
            <w:noWrap/>
            <w:vAlign w:val="center"/>
            <w:hideMark/>
          </w:tcPr>
          <w:p w14:paraId="4A14C002" w14:textId="77777777" w:rsidR="005C232C" w:rsidRPr="005C232C" w:rsidRDefault="005C232C" w:rsidP="005C232C">
            <w:pPr>
              <w:jc w:val="right"/>
              <w:rPr>
                <w:rFonts w:cs="Arial"/>
                <w:color w:val="000000"/>
                <w:lang w:eastAsia="en-GB"/>
              </w:rPr>
            </w:pPr>
            <w:r w:rsidRPr="005C232C">
              <w:rPr>
                <w:rFonts w:cs="Arial"/>
                <w:color w:val="000000"/>
                <w:lang w:eastAsia="en-GB"/>
              </w:rPr>
              <w:t>0</w:t>
            </w:r>
          </w:p>
        </w:tc>
      </w:tr>
      <w:tr w:rsidR="005C232C" w:rsidRPr="005C232C" w14:paraId="4AFDCDE8" w14:textId="77777777" w:rsidTr="005C232C">
        <w:trPr>
          <w:trHeight w:val="300"/>
          <w:jc w:val="center"/>
        </w:trPr>
        <w:tc>
          <w:tcPr>
            <w:tcW w:w="3534" w:type="dxa"/>
            <w:tcBorders>
              <w:top w:val="nil"/>
              <w:left w:val="single" w:sz="4" w:space="0" w:color="auto"/>
              <w:bottom w:val="nil"/>
              <w:right w:val="nil"/>
            </w:tcBorders>
            <w:shd w:val="clear" w:color="auto" w:fill="auto"/>
            <w:noWrap/>
            <w:vAlign w:val="center"/>
            <w:hideMark/>
          </w:tcPr>
          <w:p w14:paraId="218C1856" w14:textId="77777777" w:rsidR="005C232C" w:rsidRPr="005C232C" w:rsidRDefault="005C232C" w:rsidP="005C232C">
            <w:pPr>
              <w:rPr>
                <w:rFonts w:cs="Arial"/>
                <w:color w:val="000000"/>
                <w:sz w:val="20"/>
                <w:szCs w:val="20"/>
                <w:lang w:eastAsia="en-GB"/>
              </w:rPr>
            </w:pPr>
            <w:r w:rsidRPr="005C232C">
              <w:rPr>
                <w:rFonts w:cs="Arial"/>
                <w:color w:val="000000"/>
                <w:sz w:val="20"/>
                <w:szCs w:val="20"/>
                <w:lang w:eastAsia="en-GB"/>
              </w:rPr>
              <w:t>Total</w:t>
            </w:r>
          </w:p>
        </w:tc>
        <w:tc>
          <w:tcPr>
            <w:tcW w:w="1017" w:type="dxa"/>
            <w:tcBorders>
              <w:top w:val="single" w:sz="8" w:space="0" w:color="auto"/>
              <w:left w:val="nil"/>
              <w:bottom w:val="double" w:sz="6" w:space="0" w:color="auto"/>
              <w:right w:val="nil"/>
            </w:tcBorders>
            <w:shd w:val="clear" w:color="auto" w:fill="auto"/>
            <w:noWrap/>
            <w:vAlign w:val="center"/>
            <w:hideMark/>
          </w:tcPr>
          <w:p w14:paraId="168E6AF8" w14:textId="77777777" w:rsidR="005C232C" w:rsidRPr="005C232C" w:rsidRDefault="005C232C" w:rsidP="005C232C">
            <w:pPr>
              <w:jc w:val="right"/>
              <w:rPr>
                <w:rFonts w:cs="Arial"/>
                <w:b/>
                <w:bCs/>
                <w:color w:val="000000"/>
                <w:sz w:val="20"/>
                <w:szCs w:val="20"/>
                <w:lang w:eastAsia="en-GB"/>
              </w:rPr>
            </w:pPr>
            <w:r w:rsidRPr="005C232C">
              <w:rPr>
                <w:rFonts w:cs="Arial"/>
                <w:b/>
                <w:bCs/>
                <w:color w:val="000000"/>
                <w:sz w:val="20"/>
                <w:szCs w:val="20"/>
                <w:lang w:eastAsia="en-GB"/>
              </w:rPr>
              <w:t>437</w:t>
            </w:r>
          </w:p>
        </w:tc>
        <w:tc>
          <w:tcPr>
            <w:tcW w:w="1120" w:type="dxa"/>
            <w:tcBorders>
              <w:top w:val="single" w:sz="8" w:space="0" w:color="auto"/>
              <w:left w:val="nil"/>
              <w:bottom w:val="double" w:sz="6" w:space="0" w:color="auto"/>
              <w:right w:val="nil"/>
            </w:tcBorders>
            <w:shd w:val="clear" w:color="auto" w:fill="auto"/>
            <w:noWrap/>
            <w:vAlign w:val="center"/>
            <w:hideMark/>
          </w:tcPr>
          <w:p w14:paraId="70AA69C2" w14:textId="77777777" w:rsidR="005C232C" w:rsidRPr="005C232C" w:rsidRDefault="005C232C" w:rsidP="005C232C">
            <w:pPr>
              <w:jc w:val="right"/>
              <w:rPr>
                <w:rFonts w:cs="Arial"/>
                <w:b/>
                <w:bCs/>
                <w:color w:val="000000"/>
                <w:sz w:val="20"/>
                <w:szCs w:val="20"/>
                <w:lang w:eastAsia="en-GB"/>
              </w:rPr>
            </w:pPr>
            <w:r w:rsidRPr="005C232C">
              <w:rPr>
                <w:rFonts w:cs="Arial"/>
                <w:b/>
                <w:bCs/>
                <w:color w:val="000000"/>
                <w:sz w:val="20"/>
                <w:szCs w:val="20"/>
                <w:lang w:eastAsia="en-GB"/>
              </w:rPr>
              <w:t>61</w:t>
            </w:r>
          </w:p>
        </w:tc>
        <w:tc>
          <w:tcPr>
            <w:tcW w:w="992" w:type="dxa"/>
            <w:tcBorders>
              <w:top w:val="single" w:sz="8" w:space="0" w:color="auto"/>
              <w:left w:val="nil"/>
              <w:bottom w:val="double" w:sz="6" w:space="0" w:color="auto"/>
              <w:right w:val="nil"/>
            </w:tcBorders>
            <w:shd w:val="clear" w:color="auto" w:fill="auto"/>
            <w:noWrap/>
            <w:vAlign w:val="center"/>
            <w:hideMark/>
          </w:tcPr>
          <w:p w14:paraId="021184C6" w14:textId="77777777" w:rsidR="005C232C" w:rsidRPr="005C232C" w:rsidRDefault="005C232C" w:rsidP="005C232C">
            <w:pPr>
              <w:jc w:val="right"/>
              <w:rPr>
                <w:rFonts w:cs="Arial"/>
                <w:b/>
                <w:bCs/>
                <w:color w:val="000000"/>
                <w:sz w:val="20"/>
                <w:szCs w:val="20"/>
                <w:lang w:eastAsia="en-GB"/>
              </w:rPr>
            </w:pPr>
            <w:r w:rsidRPr="005C232C">
              <w:rPr>
                <w:rFonts w:cs="Arial"/>
                <w:b/>
                <w:bCs/>
                <w:color w:val="000000"/>
                <w:sz w:val="20"/>
                <w:szCs w:val="20"/>
                <w:lang w:eastAsia="en-GB"/>
              </w:rPr>
              <w:t>76</w:t>
            </w:r>
          </w:p>
        </w:tc>
        <w:tc>
          <w:tcPr>
            <w:tcW w:w="1134" w:type="dxa"/>
            <w:tcBorders>
              <w:top w:val="single" w:sz="8" w:space="0" w:color="auto"/>
              <w:left w:val="nil"/>
              <w:bottom w:val="double" w:sz="6" w:space="0" w:color="auto"/>
              <w:right w:val="nil"/>
            </w:tcBorders>
            <w:shd w:val="clear" w:color="auto" w:fill="auto"/>
            <w:noWrap/>
            <w:vAlign w:val="center"/>
            <w:hideMark/>
          </w:tcPr>
          <w:p w14:paraId="751F50DB" w14:textId="77777777" w:rsidR="005C232C" w:rsidRPr="005C232C" w:rsidRDefault="005C232C" w:rsidP="005C232C">
            <w:pPr>
              <w:jc w:val="right"/>
              <w:rPr>
                <w:rFonts w:cs="Arial"/>
                <w:b/>
                <w:bCs/>
                <w:color w:val="000000"/>
                <w:sz w:val="20"/>
                <w:szCs w:val="20"/>
                <w:lang w:eastAsia="en-GB"/>
              </w:rPr>
            </w:pPr>
            <w:r w:rsidRPr="005C232C">
              <w:rPr>
                <w:rFonts w:cs="Arial"/>
                <w:b/>
                <w:bCs/>
                <w:color w:val="000000"/>
                <w:sz w:val="20"/>
                <w:szCs w:val="20"/>
                <w:lang w:eastAsia="en-GB"/>
              </w:rPr>
              <w:t>185</w:t>
            </w:r>
          </w:p>
        </w:tc>
        <w:tc>
          <w:tcPr>
            <w:tcW w:w="992" w:type="dxa"/>
            <w:tcBorders>
              <w:top w:val="single" w:sz="8" w:space="0" w:color="auto"/>
              <w:left w:val="nil"/>
              <w:bottom w:val="double" w:sz="6" w:space="0" w:color="auto"/>
              <w:right w:val="nil"/>
            </w:tcBorders>
            <w:shd w:val="clear" w:color="auto" w:fill="auto"/>
            <w:noWrap/>
            <w:vAlign w:val="center"/>
            <w:hideMark/>
          </w:tcPr>
          <w:p w14:paraId="4D6DD2DA" w14:textId="77777777" w:rsidR="005C232C" w:rsidRPr="005C232C" w:rsidRDefault="005C232C" w:rsidP="005C232C">
            <w:pPr>
              <w:jc w:val="right"/>
              <w:rPr>
                <w:rFonts w:cs="Arial"/>
                <w:b/>
                <w:bCs/>
                <w:color w:val="000000"/>
                <w:sz w:val="20"/>
                <w:szCs w:val="20"/>
                <w:lang w:eastAsia="en-GB"/>
              </w:rPr>
            </w:pPr>
            <w:r w:rsidRPr="005C232C">
              <w:rPr>
                <w:rFonts w:cs="Arial"/>
                <w:b/>
                <w:bCs/>
                <w:color w:val="000000"/>
                <w:sz w:val="20"/>
                <w:szCs w:val="20"/>
                <w:lang w:eastAsia="en-GB"/>
              </w:rPr>
              <w:t>130</w:t>
            </w:r>
          </w:p>
        </w:tc>
        <w:tc>
          <w:tcPr>
            <w:tcW w:w="1134" w:type="dxa"/>
            <w:tcBorders>
              <w:top w:val="single" w:sz="8" w:space="0" w:color="auto"/>
              <w:left w:val="nil"/>
              <w:bottom w:val="double" w:sz="6" w:space="0" w:color="auto"/>
              <w:right w:val="single" w:sz="4" w:space="0" w:color="auto"/>
            </w:tcBorders>
            <w:shd w:val="clear" w:color="auto" w:fill="auto"/>
            <w:noWrap/>
            <w:vAlign w:val="center"/>
            <w:hideMark/>
          </w:tcPr>
          <w:p w14:paraId="093ED854" w14:textId="77777777" w:rsidR="005C232C" w:rsidRPr="005C232C" w:rsidRDefault="005C232C" w:rsidP="005C232C">
            <w:pPr>
              <w:jc w:val="right"/>
              <w:rPr>
                <w:rFonts w:cs="Arial"/>
                <w:b/>
                <w:bCs/>
                <w:color w:val="000000"/>
                <w:sz w:val="20"/>
                <w:szCs w:val="20"/>
                <w:lang w:eastAsia="en-GB"/>
              </w:rPr>
            </w:pPr>
            <w:r w:rsidRPr="005C232C">
              <w:rPr>
                <w:rFonts w:cs="Arial"/>
                <w:b/>
                <w:bCs/>
                <w:color w:val="000000"/>
                <w:sz w:val="20"/>
                <w:szCs w:val="20"/>
                <w:lang w:eastAsia="en-GB"/>
              </w:rPr>
              <w:t>6</w:t>
            </w:r>
          </w:p>
        </w:tc>
      </w:tr>
      <w:tr w:rsidR="005C232C" w:rsidRPr="005C232C" w14:paraId="17903DFF" w14:textId="77777777" w:rsidTr="005C232C">
        <w:trPr>
          <w:trHeight w:val="310"/>
          <w:jc w:val="center"/>
        </w:trPr>
        <w:tc>
          <w:tcPr>
            <w:tcW w:w="3534" w:type="dxa"/>
            <w:tcBorders>
              <w:top w:val="nil"/>
              <w:left w:val="single" w:sz="4" w:space="0" w:color="auto"/>
              <w:bottom w:val="single" w:sz="4" w:space="0" w:color="auto"/>
              <w:right w:val="nil"/>
            </w:tcBorders>
            <w:shd w:val="clear" w:color="auto" w:fill="auto"/>
            <w:noWrap/>
            <w:vAlign w:val="center"/>
            <w:hideMark/>
          </w:tcPr>
          <w:p w14:paraId="05D10A63" w14:textId="77777777" w:rsidR="005C232C" w:rsidRPr="005C232C" w:rsidRDefault="005C232C" w:rsidP="005C232C">
            <w:pPr>
              <w:rPr>
                <w:rFonts w:ascii="Calibri" w:hAnsi="Calibri" w:cs="Calibri"/>
                <w:color w:val="000000"/>
                <w:sz w:val="22"/>
                <w:szCs w:val="22"/>
                <w:lang w:eastAsia="en-GB"/>
              </w:rPr>
            </w:pPr>
            <w:r w:rsidRPr="005C232C">
              <w:rPr>
                <w:rFonts w:ascii="Calibri" w:hAnsi="Calibri" w:cs="Calibri"/>
                <w:color w:val="000000"/>
                <w:sz w:val="22"/>
                <w:szCs w:val="22"/>
                <w:lang w:eastAsia="en-GB"/>
              </w:rPr>
              <w:t> </w:t>
            </w:r>
          </w:p>
        </w:tc>
        <w:tc>
          <w:tcPr>
            <w:tcW w:w="1017" w:type="dxa"/>
            <w:tcBorders>
              <w:top w:val="nil"/>
              <w:left w:val="nil"/>
              <w:bottom w:val="single" w:sz="4" w:space="0" w:color="auto"/>
              <w:right w:val="nil"/>
            </w:tcBorders>
            <w:shd w:val="clear" w:color="auto" w:fill="auto"/>
            <w:noWrap/>
            <w:vAlign w:val="center"/>
            <w:hideMark/>
          </w:tcPr>
          <w:p w14:paraId="3F8827EB" w14:textId="77777777" w:rsidR="005C232C" w:rsidRPr="005C232C" w:rsidRDefault="005C232C" w:rsidP="005C232C">
            <w:pPr>
              <w:rPr>
                <w:rFonts w:ascii="Calibri" w:hAnsi="Calibri" w:cs="Calibri"/>
                <w:color w:val="000000"/>
                <w:sz w:val="22"/>
                <w:szCs w:val="22"/>
                <w:lang w:eastAsia="en-GB"/>
              </w:rPr>
            </w:pPr>
            <w:r w:rsidRPr="005C232C">
              <w:rPr>
                <w:rFonts w:ascii="Calibri" w:hAnsi="Calibri" w:cs="Calibri"/>
                <w:color w:val="000000"/>
                <w:sz w:val="22"/>
                <w:szCs w:val="22"/>
                <w:lang w:eastAsia="en-GB"/>
              </w:rPr>
              <w:t> </w:t>
            </w:r>
          </w:p>
        </w:tc>
        <w:tc>
          <w:tcPr>
            <w:tcW w:w="1120" w:type="dxa"/>
            <w:tcBorders>
              <w:top w:val="nil"/>
              <w:left w:val="nil"/>
              <w:bottom w:val="single" w:sz="4" w:space="0" w:color="auto"/>
              <w:right w:val="nil"/>
            </w:tcBorders>
            <w:shd w:val="clear" w:color="auto" w:fill="auto"/>
            <w:noWrap/>
            <w:vAlign w:val="center"/>
            <w:hideMark/>
          </w:tcPr>
          <w:p w14:paraId="657045CD" w14:textId="77777777" w:rsidR="005C232C" w:rsidRPr="005C232C" w:rsidRDefault="005C232C" w:rsidP="005C232C">
            <w:pPr>
              <w:rPr>
                <w:rFonts w:ascii="Calibri" w:hAnsi="Calibri" w:cs="Calibri"/>
                <w:color w:val="000000"/>
                <w:sz w:val="22"/>
                <w:szCs w:val="22"/>
                <w:lang w:eastAsia="en-GB"/>
              </w:rPr>
            </w:pPr>
            <w:r w:rsidRPr="005C232C">
              <w:rPr>
                <w:rFonts w:ascii="Calibri" w:hAnsi="Calibri" w:cs="Calibri"/>
                <w:color w:val="000000"/>
                <w:sz w:val="22"/>
                <w:szCs w:val="22"/>
                <w:lang w:eastAsia="en-GB"/>
              </w:rPr>
              <w:t> </w:t>
            </w:r>
          </w:p>
        </w:tc>
        <w:tc>
          <w:tcPr>
            <w:tcW w:w="992" w:type="dxa"/>
            <w:tcBorders>
              <w:top w:val="nil"/>
              <w:left w:val="nil"/>
              <w:bottom w:val="single" w:sz="4" w:space="0" w:color="auto"/>
              <w:right w:val="nil"/>
            </w:tcBorders>
            <w:shd w:val="clear" w:color="auto" w:fill="auto"/>
            <w:noWrap/>
            <w:vAlign w:val="center"/>
            <w:hideMark/>
          </w:tcPr>
          <w:p w14:paraId="4F12B29C" w14:textId="77777777" w:rsidR="005C232C" w:rsidRPr="005C232C" w:rsidRDefault="005C232C" w:rsidP="005C232C">
            <w:pPr>
              <w:rPr>
                <w:rFonts w:ascii="Calibri" w:hAnsi="Calibri" w:cs="Calibri"/>
                <w:color w:val="000000"/>
                <w:sz w:val="22"/>
                <w:szCs w:val="22"/>
                <w:lang w:eastAsia="en-GB"/>
              </w:rPr>
            </w:pPr>
            <w:r w:rsidRPr="005C232C">
              <w:rPr>
                <w:rFonts w:ascii="Calibri" w:hAnsi="Calibri" w:cs="Calibri"/>
                <w:color w:val="000000"/>
                <w:sz w:val="22"/>
                <w:szCs w:val="22"/>
                <w:lang w:eastAsia="en-GB"/>
              </w:rPr>
              <w:t> </w:t>
            </w:r>
          </w:p>
        </w:tc>
        <w:tc>
          <w:tcPr>
            <w:tcW w:w="1134" w:type="dxa"/>
            <w:tcBorders>
              <w:top w:val="nil"/>
              <w:left w:val="nil"/>
              <w:bottom w:val="single" w:sz="4" w:space="0" w:color="auto"/>
              <w:right w:val="nil"/>
            </w:tcBorders>
            <w:shd w:val="clear" w:color="auto" w:fill="auto"/>
            <w:noWrap/>
            <w:vAlign w:val="center"/>
            <w:hideMark/>
          </w:tcPr>
          <w:p w14:paraId="1B5AE005" w14:textId="77777777" w:rsidR="005C232C" w:rsidRPr="005C232C" w:rsidRDefault="005C232C" w:rsidP="005C232C">
            <w:pPr>
              <w:rPr>
                <w:rFonts w:ascii="Calibri" w:hAnsi="Calibri" w:cs="Calibri"/>
                <w:color w:val="000000"/>
                <w:sz w:val="22"/>
                <w:szCs w:val="22"/>
                <w:lang w:eastAsia="en-GB"/>
              </w:rPr>
            </w:pPr>
            <w:r w:rsidRPr="005C232C">
              <w:rPr>
                <w:rFonts w:ascii="Calibri" w:hAnsi="Calibri" w:cs="Calibri"/>
                <w:color w:val="000000"/>
                <w:sz w:val="22"/>
                <w:szCs w:val="22"/>
                <w:lang w:eastAsia="en-GB"/>
              </w:rPr>
              <w:t> </w:t>
            </w:r>
          </w:p>
        </w:tc>
        <w:tc>
          <w:tcPr>
            <w:tcW w:w="992" w:type="dxa"/>
            <w:tcBorders>
              <w:top w:val="nil"/>
              <w:left w:val="nil"/>
              <w:bottom w:val="single" w:sz="4" w:space="0" w:color="auto"/>
              <w:right w:val="nil"/>
            </w:tcBorders>
            <w:shd w:val="clear" w:color="auto" w:fill="auto"/>
            <w:noWrap/>
            <w:vAlign w:val="center"/>
            <w:hideMark/>
          </w:tcPr>
          <w:p w14:paraId="0850CF06" w14:textId="77777777" w:rsidR="005C232C" w:rsidRPr="005C232C" w:rsidRDefault="005C232C" w:rsidP="005C232C">
            <w:pPr>
              <w:rPr>
                <w:rFonts w:ascii="Calibri" w:hAnsi="Calibri" w:cs="Calibri"/>
                <w:color w:val="000000"/>
                <w:sz w:val="22"/>
                <w:szCs w:val="22"/>
                <w:lang w:eastAsia="en-GB"/>
              </w:rPr>
            </w:pPr>
            <w:r w:rsidRPr="005C232C">
              <w:rPr>
                <w:rFonts w:ascii="Calibri" w:hAnsi="Calibri" w:cs="Calibri"/>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22DD4B" w14:textId="77777777" w:rsidR="005C232C" w:rsidRPr="005C232C" w:rsidRDefault="005C232C" w:rsidP="005C232C">
            <w:pPr>
              <w:rPr>
                <w:rFonts w:ascii="Calibri" w:hAnsi="Calibri" w:cs="Calibri"/>
                <w:color w:val="000000"/>
                <w:sz w:val="22"/>
                <w:szCs w:val="22"/>
                <w:lang w:eastAsia="en-GB"/>
              </w:rPr>
            </w:pPr>
            <w:r w:rsidRPr="005C232C">
              <w:rPr>
                <w:rFonts w:ascii="Calibri" w:hAnsi="Calibri" w:cs="Calibri"/>
                <w:color w:val="000000"/>
                <w:sz w:val="22"/>
                <w:szCs w:val="22"/>
                <w:lang w:eastAsia="en-GB"/>
              </w:rPr>
              <w:t> </w:t>
            </w:r>
          </w:p>
        </w:tc>
      </w:tr>
    </w:tbl>
    <w:p w14:paraId="431D6CE8" w14:textId="77777777" w:rsidR="00CC6418" w:rsidRDefault="00CC6418" w:rsidP="00CC6418"/>
    <w:p w14:paraId="68AC4188" w14:textId="335AF2B2" w:rsidR="00CC6418" w:rsidRPr="005C232C" w:rsidRDefault="00CC6418" w:rsidP="00CC6418">
      <w:r w:rsidRPr="005C232C">
        <w:t>The comparative values for 2022/23 are shown below:</w:t>
      </w:r>
    </w:p>
    <w:p w14:paraId="485A467E" w14:textId="71888BE4" w:rsidR="009B57AB" w:rsidRDefault="009B57AB" w:rsidP="0070459C">
      <w:pPr>
        <w:jc w:val="center"/>
        <w:rPr>
          <w:highlight w:val="yellow"/>
        </w:rPr>
      </w:pPr>
    </w:p>
    <w:p w14:paraId="485A467F" w14:textId="77777777" w:rsidR="004D60E8" w:rsidRPr="004D5CA8" w:rsidRDefault="004D60E8" w:rsidP="0070459C">
      <w:pPr>
        <w:rPr>
          <w:sz w:val="22"/>
          <w:highlight w:val="yellow"/>
        </w:rPr>
      </w:pPr>
    </w:p>
    <w:tbl>
      <w:tblPr>
        <w:tblpPr w:leftFromText="180" w:rightFromText="180" w:vertAnchor="text" w:horzAnchor="margin" w:tblpY="-338"/>
        <w:tblW w:w="9433" w:type="dxa"/>
        <w:tblLook w:val="04A0" w:firstRow="1" w:lastRow="0" w:firstColumn="1" w:lastColumn="0" w:noHBand="0" w:noVBand="1"/>
      </w:tblPr>
      <w:tblGrid>
        <w:gridCol w:w="3420"/>
        <w:gridCol w:w="1106"/>
        <w:gridCol w:w="1067"/>
        <w:gridCol w:w="960"/>
        <w:gridCol w:w="960"/>
        <w:gridCol w:w="960"/>
        <w:gridCol w:w="960"/>
      </w:tblGrid>
      <w:tr w:rsidR="00094033" w:rsidRPr="0068303E" w14:paraId="425481F6" w14:textId="77777777" w:rsidTr="00094033">
        <w:trPr>
          <w:trHeight w:val="700"/>
        </w:trPr>
        <w:tc>
          <w:tcPr>
            <w:tcW w:w="3420" w:type="dxa"/>
            <w:tcBorders>
              <w:top w:val="single" w:sz="8" w:space="0" w:color="auto"/>
              <w:left w:val="single" w:sz="8" w:space="0" w:color="auto"/>
              <w:bottom w:val="nil"/>
              <w:right w:val="nil"/>
            </w:tcBorders>
            <w:shd w:val="clear" w:color="000000" w:fill="000000"/>
            <w:vAlign w:val="center"/>
            <w:hideMark/>
          </w:tcPr>
          <w:p w14:paraId="4B027A3B" w14:textId="77777777" w:rsidR="00094033" w:rsidRPr="0068303E" w:rsidRDefault="00094033" w:rsidP="00094033">
            <w:pPr>
              <w:jc w:val="center"/>
              <w:rPr>
                <w:rFonts w:cs="Arial"/>
                <w:b/>
                <w:bCs/>
                <w:color w:val="FFFFFF"/>
                <w:sz w:val="18"/>
                <w:szCs w:val="18"/>
                <w:lang w:eastAsia="en-GB"/>
              </w:rPr>
            </w:pPr>
            <w:r w:rsidRPr="0068303E">
              <w:rPr>
                <w:rFonts w:cs="Arial"/>
                <w:b/>
                <w:bCs/>
                <w:color w:val="FFFFFF"/>
                <w:sz w:val="18"/>
                <w:szCs w:val="18"/>
                <w:lang w:eastAsia="en-GB"/>
              </w:rPr>
              <w:t>Related Party</w:t>
            </w:r>
          </w:p>
        </w:tc>
        <w:tc>
          <w:tcPr>
            <w:tcW w:w="1106" w:type="dxa"/>
            <w:tcBorders>
              <w:top w:val="single" w:sz="8" w:space="0" w:color="auto"/>
              <w:left w:val="nil"/>
              <w:bottom w:val="nil"/>
              <w:right w:val="nil"/>
            </w:tcBorders>
            <w:shd w:val="clear" w:color="000000" w:fill="000000"/>
            <w:vAlign w:val="center"/>
            <w:hideMark/>
          </w:tcPr>
          <w:p w14:paraId="39180718" w14:textId="77777777" w:rsidR="00094033" w:rsidRPr="0068303E" w:rsidRDefault="00094033" w:rsidP="00094033">
            <w:pPr>
              <w:jc w:val="center"/>
              <w:rPr>
                <w:rFonts w:cs="Arial"/>
                <w:b/>
                <w:bCs/>
                <w:color w:val="FFFFFF"/>
                <w:sz w:val="18"/>
                <w:szCs w:val="18"/>
                <w:lang w:eastAsia="en-GB"/>
              </w:rPr>
            </w:pPr>
            <w:r w:rsidRPr="0068303E">
              <w:rPr>
                <w:rFonts w:cs="Arial"/>
                <w:b/>
                <w:bCs/>
                <w:color w:val="FFFFFF"/>
                <w:sz w:val="18"/>
                <w:szCs w:val="18"/>
                <w:lang w:eastAsia="en-GB"/>
              </w:rPr>
              <w:t>Business Rates</w:t>
            </w:r>
          </w:p>
        </w:tc>
        <w:tc>
          <w:tcPr>
            <w:tcW w:w="1067" w:type="dxa"/>
            <w:tcBorders>
              <w:top w:val="single" w:sz="8" w:space="0" w:color="auto"/>
              <w:left w:val="nil"/>
              <w:bottom w:val="nil"/>
              <w:right w:val="single" w:sz="4" w:space="0" w:color="auto"/>
            </w:tcBorders>
            <w:shd w:val="clear" w:color="000000" w:fill="000000"/>
            <w:vAlign w:val="center"/>
            <w:hideMark/>
          </w:tcPr>
          <w:p w14:paraId="69D4FF81" w14:textId="77777777" w:rsidR="00094033" w:rsidRPr="0068303E" w:rsidRDefault="00094033" w:rsidP="00094033">
            <w:pPr>
              <w:jc w:val="center"/>
              <w:rPr>
                <w:rFonts w:cs="Arial"/>
                <w:b/>
                <w:bCs/>
                <w:color w:val="FFFFFF"/>
                <w:sz w:val="18"/>
                <w:szCs w:val="18"/>
                <w:lang w:eastAsia="en-GB"/>
              </w:rPr>
            </w:pPr>
            <w:r w:rsidRPr="0068303E">
              <w:rPr>
                <w:rFonts w:cs="Arial"/>
                <w:b/>
                <w:bCs/>
                <w:color w:val="FFFFFF"/>
                <w:sz w:val="18"/>
                <w:szCs w:val="18"/>
                <w:lang w:eastAsia="en-GB"/>
              </w:rPr>
              <w:t>Other Payments</w:t>
            </w:r>
          </w:p>
        </w:tc>
        <w:tc>
          <w:tcPr>
            <w:tcW w:w="960" w:type="dxa"/>
            <w:tcBorders>
              <w:top w:val="single" w:sz="8" w:space="0" w:color="auto"/>
              <w:left w:val="nil"/>
              <w:bottom w:val="nil"/>
              <w:right w:val="single" w:sz="4" w:space="0" w:color="auto"/>
            </w:tcBorders>
            <w:shd w:val="clear" w:color="000000" w:fill="000000"/>
            <w:vAlign w:val="center"/>
            <w:hideMark/>
          </w:tcPr>
          <w:p w14:paraId="2B5AE543" w14:textId="77777777" w:rsidR="00094033" w:rsidRPr="0068303E" w:rsidRDefault="00094033" w:rsidP="00094033">
            <w:pPr>
              <w:jc w:val="center"/>
              <w:rPr>
                <w:rFonts w:cs="Arial"/>
                <w:b/>
                <w:bCs/>
                <w:color w:val="FFFFFF"/>
                <w:sz w:val="18"/>
                <w:szCs w:val="18"/>
                <w:lang w:eastAsia="en-GB"/>
              </w:rPr>
            </w:pPr>
            <w:r w:rsidRPr="0068303E">
              <w:rPr>
                <w:rFonts w:cs="Arial"/>
                <w:b/>
                <w:bCs/>
                <w:color w:val="FFFFFF"/>
                <w:sz w:val="18"/>
                <w:szCs w:val="18"/>
                <w:lang w:eastAsia="en-GB"/>
              </w:rPr>
              <w:t>Income</w:t>
            </w:r>
          </w:p>
        </w:tc>
        <w:tc>
          <w:tcPr>
            <w:tcW w:w="960" w:type="dxa"/>
            <w:tcBorders>
              <w:top w:val="single" w:sz="8" w:space="0" w:color="auto"/>
              <w:left w:val="nil"/>
              <w:bottom w:val="nil"/>
              <w:right w:val="single" w:sz="4" w:space="0" w:color="auto"/>
            </w:tcBorders>
            <w:shd w:val="clear" w:color="000000" w:fill="000000"/>
            <w:vAlign w:val="center"/>
            <w:hideMark/>
          </w:tcPr>
          <w:p w14:paraId="5919F64F" w14:textId="77777777" w:rsidR="00094033" w:rsidRPr="0068303E" w:rsidRDefault="00094033" w:rsidP="00094033">
            <w:pPr>
              <w:jc w:val="center"/>
              <w:rPr>
                <w:rFonts w:cs="Arial"/>
                <w:b/>
                <w:bCs/>
                <w:color w:val="FFFFFF"/>
                <w:sz w:val="18"/>
                <w:szCs w:val="18"/>
                <w:lang w:eastAsia="en-GB"/>
              </w:rPr>
            </w:pPr>
            <w:r w:rsidRPr="0068303E">
              <w:rPr>
                <w:rFonts w:cs="Arial"/>
                <w:b/>
                <w:bCs/>
                <w:color w:val="FFFFFF"/>
                <w:sz w:val="18"/>
                <w:szCs w:val="18"/>
                <w:lang w:eastAsia="en-GB"/>
              </w:rPr>
              <w:t>Support Grants</w:t>
            </w:r>
          </w:p>
        </w:tc>
        <w:tc>
          <w:tcPr>
            <w:tcW w:w="960" w:type="dxa"/>
            <w:tcBorders>
              <w:top w:val="single" w:sz="8" w:space="0" w:color="auto"/>
              <w:left w:val="nil"/>
              <w:bottom w:val="nil"/>
              <w:right w:val="single" w:sz="4" w:space="0" w:color="auto"/>
            </w:tcBorders>
            <w:shd w:val="clear" w:color="000000" w:fill="000000"/>
            <w:vAlign w:val="center"/>
            <w:hideMark/>
          </w:tcPr>
          <w:p w14:paraId="540B0CAA" w14:textId="77777777" w:rsidR="00094033" w:rsidRPr="0068303E" w:rsidRDefault="00094033" w:rsidP="00094033">
            <w:pPr>
              <w:jc w:val="center"/>
              <w:rPr>
                <w:rFonts w:cs="Arial"/>
                <w:b/>
                <w:bCs/>
                <w:color w:val="FFFFFF"/>
                <w:sz w:val="18"/>
                <w:szCs w:val="18"/>
                <w:lang w:eastAsia="en-GB"/>
              </w:rPr>
            </w:pPr>
            <w:r w:rsidRPr="0068303E">
              <w:rPr>
                <w:rFonts w:cs="Arial"/>
                <w:b/>
                <w:bCs/>
                <w:color w:val="FFFFFF"/>
                <w:sz w:val="18"/>
                <w:szCs w:val="18"/>
                <w:lang w:eastAsia="en-GB"/>
              </w:rPr>
              <w:t>Owed To</w:t>
            </w:r>
          </w:p>
        </w:tc>
        <w:tc>
          <w:tcPr>
            <w:tcW w:w="960" w:type="dxa"/>
            <w:tcBorders>
              <w:top w:val="single" w:sz="8" w:space="0" w:color="auto"/>
              <w:left w:val="nil"/>
              <w:bottom w:val="nil"/>
              <w:right w:val="single" w:sz="8" w:space="0" w:color="auto"/>
            </w:tcBorders>
            <w:shd w:val="clear" w:color="000000" w:fill="000000"/>
            <w:vAlign w:val="center"/>
            <w:hideMark/>
          </w:tcPr>
          <w:p w14:paraId="46F1B90A" w14:textId="77777777" w:rsidR="00094033" w:rsidRPr="0068303E" w:rsidRDefault="00094033" w:rsidP="00094033">
            <w:pPr>
              <w:jc w:val="center"/>
              <w:rPr>
                <w:rFonts w:cs="Arial"/>
                <w:b/>
                <w:bCs/>
                <w:color w:val="FFFFFF"/>
                <w:sz w:val="18"/>
                <w:szCs w:val="18"/>
                <w:lang w:eastAsia="en-GB"/>
              </w:rPr>
            </w:pPr>
            <w:r w:rsidRPr="0068303E">
              <w:rPr>
                <w:rFonts w:cs="Arial"/>
                <w:b/>
                <w:bCs/>
                <w:color w:val="FFFFFF"/>
                <w:sz w:val="18"/>
                <w:szCs w:val="18"/>
                <w:lang w:eastAsia="en-GB"/>
              </w:rPr>
              <w:t>Owed From</w:t>
            </w:r>
          </w:p>
        </w:tc>
      </w:tr>
      <w:tr w:rsidR="00094033" w:rsidRPr="0068303E" w14:paraId="47E58E49" w14:textId="77777777" w:rsidTr="00094033">
        <w:trPr>
          <w:trHeight w:val="290"/>
        </w:trPr>
        <w:tc>
          <w:tcPr>
            <w:tcW w:w="3420" w:type="dxa"/>
            <w:tcBorders>
              <w:top w:val="nil"/>
              <w:left w:val="single" w:sz="8" w:space="0" w:color="auto"/>
              <w:bottom w:val="single" w:sz="4" w:space="0" w:color="auto"/>
              <w:right w:val="nil"/>
            </w:tcBorders>
            <w:shd w:val="clear" w:color="000000" w:fill="000000"/>
            <w:noWrap/>
            <w:vAlign w:val="bottom"/>
            <w:hideMark/>
          </w:tcPr>
          <w:p w14:paraId="3F0A7F3A" w14:textId="77777777" w:rsidR="00094033" w:rsidRPr="0068303E" w:rsidRDefault="00094033" w:rsidP="00094033">
            <w:pPr>
              <w:rPr>
                <w:rFonts w:ascii="Calibri" w:hAnsi="Calibri" w:cs="Calibri"/>
                <w:color w:val="000000"/>
                <w:sz w:val="22"/>
                <w:szCs w:val="22"/>
                <w:lang w:eastAsia="en-GB"/>
              </w:rPr>
            </w:pPr>
            <w:r w:rsidRPr="0068303E">
              <w:rPr>
                <w:rFonts w:ascii="Calibri" w:hAnsi="Calibri" w:cs="Calibri"/>
                <w:color w:val="000000"/>
                <w:sz w:val="22"/>
                <w:szCs w:val="22"/>
                <w:lang w:eastAsia="en-GB"/>
              </w:rPr>
              <w:t> </w:t>
            </w:r>
          </w:p>
        </w:tc>
        <w:tc>
          <w:tcPr>
            <w:tcW w:w="1106" w:type="dxa"/>
            <w:tcBorders>
              <w:top w:val="nil"/>
              <w:left w:val="nil"/>
              <w:bottom w:val="single" w:sz="4" w:space="0" w:color="auto"/>
              <w:right w:val="nil"/>
            </w:tcBorders>
            <w:shd w:val="clear" w:color="000000" w:fill="000000"/>
            <w:noWrap/>
            <w:hideMark/>
          </w:tcPr>
          <w:p w14:paraId="10BFAB24" w14:textId="77777777" w:rsidR="00094033" w:rsidRPr="0068303E" w:rsidRDefault="00094033" w:rsidP="00094033">
            <w:pPr>
              <w:jc w:val="center"/>
              <w:rPr>
                <w:rFonts w:cs="Arial"/>
                <w:b/>
                <w:bCs/>
                <w:color w:val="FFFFFF"/>
                <w:sz w:val="18"/>
                <w:szCs w:val="18"/>
                <w:lang w:eastAsia="en-GB"/>
              </w:rPr>
            </w:pPr>
            <w:r w:rsidRPr="0068303E">
              <w:rPr>
                <w:rFonts w:cs="Arial"/>
                <w:b/>
                <w:bCs/>
                <w:color w:val="FFFFFF"/>
                <w:sz w:val="18"/>
                <w:szCs w:val="18"/>
                <w:lang w:eastAsia="en-GB"/>
              </w:rPr>
              <w:t>£000</w:t>
            </w:r>
          </w:p>
        </w:tc>
        <w:tc>
          <w:tcPr>
            <w:tcW w:w="1067" w:type="dxa"/>
            <w:tcBorders>
              <w:top w:val="nil"/>
              <w:left w:val="nil"/>
              <w:bottom w:val="single" w:sz="4" w:space="0" w:color="auto"/>
              <w:right w:val="single" w:sz="4" w:space="0" w:color="auto"/>
            </w:tcBorders>
            <w:shd w:val="clear" w:color="000000" w:fill="000000"/>
            <w:noWrap/>
            <w:hideMark/>
          </w:tcPr>
          <w:p w14:paraId="24153A1A" w14:textId="77777777" w:rsidR="00094033" w:rsidRPr="0068303E" w:rsidRDefault="00094033" w:rsidP="00094033">
            <w:pPr>
              <w:jc w:val="center"/>
              <w:rPr>
                <w:rFonts w:cs="Arial"/>
                <w:b/>
                <w:bCs/>
                <w:color w:val="FFFFFF"/>
                <w:sz w:val="18"/>
                <w:szCs w:val="18"/>
                <w:lang w:eastAsia="en-GB"/>
              </w:rPr>
            </w:pPr>
            <w:r w:rsidRPr="0068303E">
              <w:rPr>
                <w:rFonts w:cs="Arial"/>
                <w:b/>
                <w:bCs/>
                <w:color w:val="FFFFFF"/>
                <w:sz w:val="18"/>
                <w:szCs w:val="18"/>
                <w:lang w:eastAsia="en-GB"/>
              </w:rPr>
              <w:t>£000</w:t>
            </w:r>
          </w:p>
        </w:tc>
        <w:tc>
          <w:tcPr>
            <w:tcW w:w="960" w:type="dxa"/>
            <w:tcBorders>
              <w:top w:val="nil"/>
              <w:left w:val="nil"/>
              <w:bottom w:val="single" w:sz="4" w:space="0" w:color="auto"/>
              <w:right w:val="single" w:sz="4" w:space="0" w:color="auto"/>
            </w:tcBorders>
            <w:shd w:val="clear" w:color="000000" w:fill="000000"/>
            <w:noWrap/>
            <w:hideMark/>
          </w:tcPr>
          <w:p w14:paraId="5D62CFDC" w14:textId="77777777" w:rsidR="00094033" w:rsidRPr="0068303E" w:rsidRDefault="00094033" w:rsidP="00094033">
            <w:pPr>
              <w:jc w:val="center"/>
              <w:rPr>
                <w:rFonts w:cs="Arial"/>
                <w:b/>
                <w:bCs/>
                <w:color w:val="FFFFFF"/>
                <w:sz w:val="18"/>
                <w:szCs w:val="18"/>
                <w:lang w:eastAsia="en-GB"/>
              </w:rPr>
            </w:pPr>
            <w:r w:rsidRPr="0068303E">
              <w:rPr>
                <w:rFonts w:cs="Arial"/>
                <w:b/>
                <w:bCs/>
                <w:color w:val="FFFFFF"/>
                <w:sz w:val="18"/>
                <w:szCs w:val="18"/>
                <w:lang w:eastAsia="en-GB"/>
              </w:rPr>
              <w:t>£000</w:t>
            </w:r>
          </w:p>
        </w:tc>
        <w:tc>
          <w:tcPr>
            <w:tcW w:w="960" w:type="dxa"/>
            <w:tcBorders>
              <w:top w:val="nil"/>
              <w:left w:val="nil"/>
              <w:bottom w:val="single" w:sz="4" w:space="0" w:color="auto"/>
              <w:right w:val="single" w:sz="4" w:space="0" w:color="auto"/>
            </w:tcBorders>
            <w:shd w:val="clear" w:color="000000" w:fill="000000"/>
            <w:noWrap/>
            <w:hideMark/>
          </w:tcPr>
          <w:p w14:paraId="32CD11A6" w14:textId="77777777" w:rsidR="00094033" w:rsidRPr="0068303E" w:rsidRDefault="00094033" w:rsidP="00094033">
            <w:pPr>
              <w:jc w:val="center"/>
              <w:rPr>
                <w:rFonts w:cs="Arial"/>
                <w:b/>
                <w:bCs/>
                <w:color w:val="FFFFFF"/>
                <w:sz w:val="18"/>
                <w:szCs w:val="18"/>
                <w:lang w:eastAsia="en-GB"/>
              </w:rPr>
            </w:pPr>
            <w:r w:rsidRPr="0068303E">
              <w:rPr>
                <w:rFonts w:cs="Arial"/>
                <w:b/>
                <w:bCs/>
                <w:color w:val="FFFFFF"/>
                <w:sz w:val="18"/>
                <w:szCs w:val="18"/>
                <w:lang w:eastAsia="en-GB"/>
              </w:rPr>
              <w:t>£000</w:t>
            </w:r>
          </w:p>
        </w:tc>
        <w:tc>
          <w:tcPr>
            <w:tcW w:w="960" w:type="dxa"/>
            <w:tcBorders>
              <w:top w:val="nil"/>
              <w:left w:val="nil"/>
              <w:bottom w:val="single" w:sz="4" w:space="0" w:color="auto"/>
              <w:right w:val="single" w:sz="4" w:space="0" w:color="auto"/>
            </w:tcBorders>
            <w:shd w:val="clear" w:color="000000" w:fill="000000"/>
            <w:noWrap/>
            <w:hideMark/>
          </w:tcPr>
          <w:p w14:paraId="002AE846" w14:textId="77777777" w:rsidR="00094033" w:rsidRPr="0068303E" w:rsidRDefault="00094033" w:rsidP="00094033">
            <w:pPr>
              <w:jc w:val="center"/>
              <w:rPr>
                <w:rFonts w:cs="Arial"/>
                <w:b/>
                <w:bCs/>
                <w:color w:val="FFFFFF"/>
                <w:sz w:val="18"/>
                <w:szCs w:val="18"/>
                <w:lang w:eastAsia="en-GB"/>
              </w:rPr>
            </w:pPr>
            <w:r w:rsidRPr="0068303E">
              <w:rPr>
                <w:rFonts w:cs="Arial"/>
                <w:b/>
                <w:bCs/>
                <w:color w:val="FFFFFF"/>
                <w:sz w:val="18"/>
                <w:szCs w:val="18"/>
                <w:lang w:eastAsia="en-GB"/>
              </w:rPr>
              <w:t>£000</w:t>
            </w:r>
          </w:p>
        </w:tc>
        <w:tc>
          <w:tcPr>
            <w:tcW w:w="960" w:type="dxa"/>
            <w:tcBorders>
              <w:top w:val="nil"/>
              <w:left w:val="nil"/>
              <w:bottom w:val="single" w:sz="4" w:space="0" w:color="auto"/>
              <w:right w:val="single" w:sz="8" w:space="0" w:color="auto"/>
            </w:tcBorders>
            <w:shd w:val="clear" w:color="000000" w:fill="000000"/>
            <w:noWrap/>
            <w:hideMark/>
          </w:tcPr>
          <w:p w14:paraId="091D662D" w14:textId="77777777" w:rsidR="00094033" w:rsidRPr="0068303E" w:rsidRDefault="00094033" w:rsidP="00094033">
            <w:pPr>
              <w:jc w:val="center"/>
              <w:rPr>
                <w:rFonts w:cs="Arial"/>
                <w:b/>
                <w:bCs/>
                <w:color w:val="FFFFFF"/>
                <w:sz w:val="18"/>
                <w:szCs w:val="18"/>
                <w:lang w:eastAsia="en-GB"/>
              </w:rPr>
            </w:pPr>
            <w:r w:rsidRPr="0068303E">
              <w:rPr>
                <w:rFonts w:cs="Arial"/>
                <w:b/>
                <w:bCs/>
                <w:color w:val="FFFFFF"/>
                <w:sz w:val="18"/>
                <w:szCs w:val="18"/>
                <w:lang w:eastAsia="en-GB"/>
              </w:rPr>
              <w:t>£000</w:t>
            </w:r>
          </w:p>
        </w:tc>
      </w:tr>
      <w:tr w:rsidR="00094033" w:rsidRPr="0068303E" w14:paraId="08D662AC" w14:textId="77777777" w:rsidTr="00094033">
        <w:trPr>
          <w:trHeight w:val="290"/>
        </w:trPr>
        <w:tc>
          <w:tcPr>
            <w:tcW w:w="3420" w:type="dxa"/>
            <w:tcBorders>
              <w:top w:val="nil"/>
              <w:left w:val="single" w:sz="8" w:space="0" w:color="auto"/>
              <w:bottom w:val="nil"/>
              <w:right w:val="nil"/>
            </w:tcBorders>
            <w:shd w:val="clear" w:color="000000" w:fill="FFFFFF"/>
            <w:noWrap/>
            <w:vAlign w:val="bottom"/>
            <w:hideMark/>
          </w:tcPr>
          <w:p w14:paraId="4C9068BE" w14:textId="77777777" w:rsidR="00094033" w:rsidRPr="0068303E" w:rsidRDefault="00094033" w:rsidP="00094033">
            <w:pPr>
              <w:rPr>
                <w:rFonts w:ascii="Calibri" w:hAnsi="Calibri" w:cs="Calibri"/>
                <w:color w:val="000000"/>
                <w:sz w:val="22"/>
                <w:szCs w:val="22"/>
                <w:lang w:eastAsia="en-GB"/>
              </w:rPr>
            </w:pPr>
            <w:r w:rsidRPr="0068303E">
              <w:rPr>
                <w:rFonts w:ascii="Calibri" w:hAnsi="Calibri" w:cs="Calibri"/>
                <w:color w:val="000000"/>
                <w:sz w:val="22"/>
                <w:szCs w:val="22"/>
                <w:lang w:eastAsia="en-GB"/>
              </w:rPr>
              <w:t> </w:t>
            </w:r>
          </w:p>
        </w:tc>
        <w:tc>
          <w:tcPr>
            <w:tcW w:w="1106" w:type="dxa"/>
            <w:tcBorders>
              <w:top w:val="nil"/>
              <w:left w:val="nil"/>
              <w:bottom w:val="nil"/>
              <w:right w:val="nil"/>
            </w:tcBorders>
            <w:shd w:val="clear" w:color="000000" w:fill="FFFFFF"/>
            <w:noWrap/>
            <w:vAlign w:val="bottom"/>
            <w:hideMark/>
          </w:tcPr>
          <w:p w14:paraId="5B0F1099" w14:textId="77777777" w:rsidR="00094033" w:rsidRPr="0068303E" w:rsidRDefault="00094033" w:rsidP="00094033">
            <w:pPr>
              <w:rPr>
                <w:rFonts w:ascii="Calibri" w:hAnsi="Calibri" w:cs="Calibri"/>
                <w:color w:val="000000"/>
                <w:sz w:val="22"/>
                <w:szCs w:val="22"/>
                <w:lang w:eastAsia="en-GB"/>
              </w:rPr>
            </w:pPr>
            <w:r w:rsidRPr="0068303E">
              <w:rPr>
                <w:rFonts w:ascii="Calibri" w:hAnsi="Calibri" w:cs="Calibri"/>
                <w:color w:val="000000"/>
                <w:sz w:val="22"/>
                <w:szCs w:val="22"/>
                <w:lang w:eastAsia="en-GB"/>
              </w:rPr>
              <w:t> </w:t>
            </w:r>
          </w:p>
        </w:tc>
        <w:tc>
          <w:tcPr>
            <w:tcW w:w="1067" w:type="dxa"/>
            <w:tcBorders>
              <w:top w:val="nil"/>
              <w:left w:val="nil"/>
              <w:bottom w:val="nil"/>
              <w:right w:val="nil"/>
            </w:tcBorders>
            <w:shd w:val="clear" w:color="000000" w:fill="FFFFFF"/>
            <w:noWrap/>
            <w:vAlign w:val="bottom"/>
            <w:hideMark/>
          </w:tcPr>
          <w:p w14:paraId="6BFC93AC" w14:textId="77777777" w:rsidR="00094033" w:rsidRPr="0068303E" w:rsidRDefault="00094033" w:rsidP="00094033">
            <w:pPr>
              <w:rPr>
                <w:rFonts w:ascii="Calibri" w:hAnsi="Calibri" w:cs="Calibri"/>
                <w:color w:val="000000"/>
                <w:sz w:val="22"/>
                <w:szCs w:val="22"/>
                <w:lang w:eastAsia="en-GB"/>
              </w:rPr>
            </w:pPr>
            <w:r w:rsidRPr="0068303E">
              <w:rPr>
                <w:rFonts w:ascii="Calibri" w:hAnsi="Calibri" w:cs="Calibri"/>
                <w:color w:val="000000"/>
                <w:sz w:val="22"/>
                <w:szCs w:val="22"/>
                <w:lang w:eastAsia="en-GB"/>
              </w:rPr>
              <w:t> </w:t>
            </w:r>
          </w:p>
        </w:tc>
        <w:tc>
          <w:tcPr>
            <w:tcW w:w="960" w:type="dxa"/>
            <w:tcBorders>
              <w:top w:val="nil"/>
              <w:left w:val="nil"/>
              <w:bottom w:val="nil"/>
              <w:right w:val="nil"/>
            </w:tcBorders>
            <w:shd w:val="clear" w:color="000000" w:fill="FFFFFF"/>
            <w:noWrap/>
            <w:vAlign w:val="bottom"/>
            <w:hideMark/>
          </w:tcPr>
          <w:p w14:paraId="53BA225F" w14:textId="77777777" w:rsidR="00094033" w:rsidRPr="0068303E" w:rsidRDefault="00094033" w:rsidP="00094033">
            <w:pPr>
              <w:rPr>
                <w:rFonts w:ascii="Calibri" w:hAnsi="Calibri" w:cs="Calibri"/>
                <w:color w:val="000000"/>
                <w:sz w:val="22"/>
                <w:szCs w:val="22"/>
                <w:lang w:eastAsia="en-GB"/>
              </w:rPr>
            </w:pPr>
            <w:r w:rsidRPr="0068303E">
              <w:rPr>
                <w:rFonts w:ascii="Calibri" w:hAnsi="Calibri" w:cs="Calibri"/>
                <w:color w:val="000000"/>
                <w:sz w:val="22"/>
                <w:szCs w:val="22"/>
                <w:lang w:eastAsia="en-GB"/>
              </w:rPr>
              <w:t> </w:t>
            </w:r>
          </w:p>
        </w:tc>
        <w:tc>
          <w:tcPr>
            <w:tcW w:w="960" w:type="dxa"/>
            <w:tcBorders>
              <w:top w:val="nil"/>
              <w:left w:val="nil"/>
              <w:bottom w:val="nil"/>
              <w:right w:val="nil"/>
            </w:tcBorders>
            <w:shd w:val="clear" w:color="000000" w:fill="FFFFFF"/>
            <w:noWrap/>
            <w:vAlign w:val="bottom"/>
            <w:hideMark/>
          </w:tcPr>
          <w:p w14:paraId="26C57E24" w14:textId="77777777" w:rsidR="00094033" w:rsidRPr="0068303E" w:rsidRDefault="00094033" w:rsidP="00094033">
            <w:pPr>
              <w:rPr>
                <w:rFonts w:ascii="Calibri" w:hAnsi="Calibri" w:cs="Calibri"/>
                <w:color w:val="000000"/>
                <w:sz w:val="22"/>
                <w:szCs w:val="22"/>
                <w:lang w:eastAsia="en-GB"/>
              </w:rPr>
            </w:pPr>
            <w:r w:rsidRPr="0068303E">
              <w:rPr>
                <w:rFonts w:ascii="Calibri" w:hAnsi="Calibri" w:cs="Calibri"/>
                <w:color w:val="000000"/>
                <w:sz w:val="22"/>
                <w:szCs w:val="22"/>
                <w:lang w:eastAsia="en-GB"/>
              </w:rPr>
              <w:t> </w:t>
            </w:r>
          </w:p>
        </w:tc>
        <w:tc>
          <w:tcPr>
            <w:tcW w:w="960" w:type="dxa"/>
            <w:tcBorders>
              <w:top w:val="nil"/>
              <w:left w:val="nil"/>
              <w:bottom w:val="nil"/>
              <w:right w:val="nil"/>
            </w:tcBorders>
            <w:shd w:val="clear" w:color="000000" w:fill="FFFFFF"/>
            <w:noWrap/>
            <w:vAlign w:val="bottom"/>
            <w:hideMark/>
          </w:tcPr>
          <w:p w14:paraId="0184E693" w14:textId="77777777" w:rsidR="00094033" w:rsidRPr="0068303E" w:rsidRDefault="00094033" w:rsidP="00094033">
            <w:pPr>
              <w:rPr>
                <w:rFonts w:ascii="Calibri" w:hAnsi="Calibri" w:cs="Calibri"/>
                <w:color w:val="000000"/>
                <w:sz w:val="22"/>
                <w:szCs w:val="22"/>
                <w:lang w:eastAsia="en-GB"/>
              </w:rPr>
            </w:pPr>
            <w:r w:rsidRPr="0068303E">
              <w:rPr>
                <w:rFonts w:ascii="Calibri" w:hAnsi="Calibri" w:cs="Calibri"/>
                <w:color w:val="000000"/>
                <w:sz w:val="22"/>
                <w:szCs w:val="22"/>
                <w:lang w:eastAsia="en-GB"/>
              </w:rPr>
              <w:t> </w:t>
            </w:r>
          </w:p>
        </w:tc>
        <w:tc>
          <w:tcPr>
            <w:tcW w:w="960" w:type="dxa"/>
            <w:tcBorders>
              <w:top w:val="nil"/>
              <w:left w:val="nil"/>
              <w:bottom w:val="nil"/>
              <w:right w:val="single" w:sz="8" w:space="0" w:color="auto"/>
            </w:tcBorders>
            <w:shd w:val="clear" w:color="000000" w:fill="FFFFFF"/>
            <w:noWrap/>
            <w:vAlign w:val="bottom"/>
            <w:hideMark/>
          </w:tcPr>
          <w:p w14:paraId="628E516B" w14:textId="77777777" w:rsidR="00094033" w:rsidRPr="0068303E" w:rsidRDefault="00094033" w:rsidP="00094033">
            <w:pPr>
              <w:rPr>
                <w:rFonts w:ascii="Calibri" w:hAnsi="Calibri" w:cs="Calibri"/>
                <w:color w:val="000000"/>
                <w:sz w:val="22"/>
                <w:szCs w:val="22"/>
                <w:lang w:eastAsia="en-GB"/>
              </w:rPr>
            </w:pPr>
            <w:r w:rsidRPr="0068303E">
              <w:rPr>
                <w:rFonts w:ascii="Calibri" w:hAnsi="Calibri" w:cs="Calibri"/>
                <w:color w:val="000000"/>
                <w:sz w:val="22"/>
                <w:szCs w:val="22"/>
                <w:lang w:eastAsia="en-GB"/>
              </w:rPr>
              <w:t> </w:t>
            </w:r>
          </w:p>
        </w:tc>
      </w:tr>
      <w:tr w:rsidR="00094033" w:rsidRPr="0068303E" w14:paraId="6352821C" w14:textId="77777777" w:rsidTr="00094033">
        <w:trPr>
          <w:trHeight w:val="290"/>
        </w:trPr>
        <w:tc>
          <w:tcPr>
            <w:tcW w:w="3420" w:type="dxa"/>
            <w:tcBorders>
              <w:top w:val="nil"/>
              <w:left w:val="single" w:sz="8" w:space="0" w:color="auto"/>
              <w:bottom w:val="nil"/>
              <w:right w:val="nil"/>
            </w:tcBorders>
            <w:shd w:val="clear" w:color="000000" w:fill="FFFFFF"/>
            <w:noWrap/>
            <w:vAlign w:val="bottom"/>
            <w:hideMark/>
          </w:tcPr>
          <w:p w14:paraId="23941589" w14:textId="77777777" w:rsidR="00094033" w:rsidRPr="0068303E" w:rsidRDefault="00094033" w:rsidP="00094033">
            <w:pPr>
              <w:rPr>
                <w:rFonts w:cs="Arial"/>
                <w:sz w:val="20"/>
                <w:szCs w:val="20"/>
                <w:lang w:eastAsia="en-GB"/>
              </w:rPr>
            </w:pPr>
            <w:r w:rsidRPr="0068303E">
              <w:rPr>
                <w:rFonts w:cs="Arial"/>
                <w:sz w:val="20"/>
                <w:szCs w:val="20"/>
                <w:lang w:eastAsia="en-GB"/>
              </w:rPr>
              <w:t>Allerdale Borough Council</w:t>
            </w:r>
          </w:p>
        </w:tc>
        <w:tc>
          <w:tcPr>
            <w:tcW w:w="1106" w:type="dxa"/>
            <w:tcBorders>
              <w:top w:val="nil"/>
              <w:left w:val="nil"/>
              <w:bottom w:val="nil"/>
              <w:right w:val="nil"/>
            </w:tcBorders>
            <w:shd w:val="clear" w:color="000000" w:fill="FFFFFF"/>
            <w:noWrap/>
            <w:vAlign w:val="center"/>
            <w:hideMark/>
          </w:tcPr>
          <w:p w14:paraId="030AF354"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20 </w:t>
            </w:r>
          </w:p>
        </w:tc>
        <w:tc>
          <w:tcPr>
            <w:tcW w:w="1067" w:type="dxa"/>
            <w:tcBorders>
              <w:top w:val="nil"/>
              <w:left w:val="nil"/>
              <w:bottom w:val="nil"/>
              <w:right w:val="nil"/>
            </w:tcBorders>
            <w:shd w:val="clear" w:color="000000" w:fill="FFFFFF"/>
            <w:noWrap/>
            <w:vAlign w:val="center"/>
            <w:hideMark/>
          </w:tcPr>
          <w:p w14:paraId="562586BA"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2 </w:t>
            </w:r>
          </w:p>
        </w:tc>
        <w:tc>
          <w:tcPr>
            <w:tcW w:w="960" w:type="dxa"/>
            <w:tcBorders>
              <w:top w:val="nil"/>
              <w:left w:val="nil"/>
              <w:bottom w:val="nil"/>
              <w:right w:val="nil"/>
            </w:tcBorders>
            <w:shd w:val="clear" w:color="000000" w:fill="FFFFFF"/>
            <w:noWrap/>
            <w:vAlign w:val="center"/>
            <w:hideMark/>
          </w:tcPr>
          <w:p w14:paraId="78AE63AA"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13 </w:t>
            </w:r>
          </w:p>
        </w:tc>
        <w:tc>
          <w:tcPr>
            <w:tcW w:w="960" w:type="dxa"/>
            <w:tcBorders>
              <w:top w:val="nil"/>
              <w:left w:val="nil"/>
              <w:bottom w:val="nil"/>
              <w:right w:val="nil"/>
            </w:tcBorders>
            <w:shd w:val="clear" w:color="000000" w:fill="FFFFFF"/>
            <w:noWrap/>
            <w:vAlign w:val="center"/>
            <w:hideMark/>
          </w:tcPr>
          <w:p w14:paraId="55325649"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0 </w:t>
            </w:r>
          </w:p>
        </w:tc>
        <w:tc>
          <w:tcPr>
            <w:tcW w:w="960" w:type="dxa"/>
            <w:tcBorders>
              <w:top w:val="nil"/>
              <w:left w:val="nil"/>
              <w:bottom w:val="nil"/>
              <w:right w:val="nil"/>
            </w:tcBorders>
            <w:shd w:val="clear" w:color="000000" w:fill="FFFFFF"/>
            <w:noWrap/>
            <w:vAlign w:val="center"/>
            <w:hideMark/>
          </w:tcPr>
          <w:p w14:paraId="07250D28"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7 </w:t>
            </w:r>
          </w:p>
        </w:tc>
        <w:tc>
          <w:tcPr>
            <w:tcW w:w="960" w:type="dxa"/>
            <w:tcBorders>
              <w:top w:val="nil"/>
              <w:left w:val="nil"/>
              <w:bottom w:val="nil"/>
              <w:right w:val="single" w:sz="8" w:space="0" w:color="auto"/>
            </w:tcBorders>
            <w:shd w:val="clear" w:color="000000" w:fill="FFFFFF"/>
            <w:noWrap/>
            <w:vAlign w:val="center"/>
            <w:hideMark/>
          </w:tcPr>
          <w:p w14:paraId="33767AD1"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1 </w:t>
            </w:r>
          </w:p>
        </w:tc>
      </w:tr>
      <w:tr w:rsidR="00094033" w:rsidRPr="0068303E" w14:paraId="419F8FDF" w14:textId="77777777" w:rsidTr="00094033">
        <w:trPr>
          <w:trHeight w:val="290"/>
        </w:trPr>
        <w:tc>
          <w:tcPr>
            <w:tcW w:w="3420" w:type="dxa"/>
            <w:tcBorders>
              <w:top w:val="nil"/>
              <w:left w:val="single" w:sz="8" w:space="0" w:color="auto"/>
              <w:bottom w:val="nil"/>
              <w:right w:val="nil"/>
            </w:tcBorders>
            <w:shd w:val="clear" w:color="000000" w:fill="FFFFFF"/>
            <w:noWrap/>
            <w:vAlign w:val="bottom"/>
            <w:hideMark/>
          </w:tcPr>
          <w:p w14:paraId="6F56525F" w14:textId="77777777" w:rsidR="00094033" w:rsidRPr="0068303E" w:rsidRDefault="00094033" w:rsidP="00094033">
            <w:pPr>
              <w:rPr>
                <w:rFonts w:cs="Arial"/>
                <w:sz w:val="20"/>
                <w:szCs w:val="20"/>
                <w:lang w:eastAsia="en-GB"/>
              </w:rPr>
            </w:pPr>
            <w:r w:rsidRPr="0068303E">
              <w:rPr>
                <w:rFonts w:cs="Arial"/>
                <w:sz w:val="20"/>
                <w:szCs w:val="20"/>
                <w:lang w:eastAsia="en-GB"/>
              </w:rPr>
              <w:t>Copeland Borough Council</w:t>
            </w:r>
          </w:p>
        </w:tc>
        <w:tc>
          <w:tcPr>
            <w:tcW w:w="1106" w:type="dxa"/>
            <w:tcBorders>
              <w:top w:val="nil"/>
              <w:left w:val="nil"/>
              <w:bottom w:val="nil"/>
              <w:right w:val="nil"/>
            </w:tcBorders>
            <w:shd w:val="clear" w:color="000000" w:fill="FFFFFF"/>
            <w:noWrap/>
            <w:vAlign w:val="center"/>
            <w:hideMark/>
          </w:tcPr>
          <w:p w14:paraId="5DA2FD6C"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8 </w:t>
            </w:r>
          </w:p>
        </w:tc>
        <w:tc>
          <w:tcPr>
            <w:tcW w:w="1067" w:type="dxa"/>
            <w:tcBorders>
              <w:top w:val="nil"/>
              <w:left w:val="nil"/>
              <w:bottom w:val="nil"/>
              <w:right w:val="nil"/>
            </w:tcBorders>
            <w:shd w:val="clear" w:color="000000" w:fill="FFFFFF"/>
            <w:noWrap/>
            <w:vAlign w:val="center"/>
            <w:hideMark/>
          </w:tcPr>
          <w:p w14:paraId="50E0FC43"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0 </w:t>
            </w:r>
          </w:p>
        </w:tc>
        <w:tc>
          <w:tcPr>
            <w:tcW w:w="960" w:type="dxa"/>
            <w:tcBorders>
              <w:top w:val="nil"/>
              <w:left w:val="nil"/>
              <w:bottom w:val="nil"/>
              <w:right w:val="nil"/>
            </w:tcBorders>
            <w:shd w:val="clear" w:color="000000" w:fill="FFFFFF"/>
            <w:noWrap/>
            <w:vAlign w:val="center"/>
            <w:hideMark/>
          </w:tcPr>
          <w:p w14:paraId="623A82FC"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1 </w:t>
            </w:r>
          </w:p>
        </w:tc>
        <w:tc>
          <w:tcPr>
            <w:tcW w:w="960" w:type="dxa"/>
            <w:tcBorders>
              <w:top w:val="nil"/>
              <w:left w:val="nil"/>
              <w:bottom w:val="nil"/>
              <w:right w:val="nil"/>
            </w:tcBorders>
            <w:shd w:val="clear" w:color="000000" w:fill="FFFFFF"/>
            <w:noWrap/>
            <w:vAlign w:val="center"/>
            <w:hideMark/>
          </w:tcPr>
          <w:p w14:paraId="79BFE5EB"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0 </w:t>
            </w:r>
          </w:p>
        </w:tc>
        <w:tc>
          <w:tcPr>
            <w:tcW w:w="960" w:type="dxa"/>
            <w:tcBorders>
              <w:top w:val="nil"/>
              <w:left w:val="nil"/>
              <w:bottom w:val="nil"/>
              <w:right w:val="nil"/>
            </w:tcBorders>
            <w:shd w:val="clear" w:color="000000" w:fill="FFFFFF"/>
            <w:noWrap/>
            <w:vAlign w:val="center"/>
            <w:hideMark/>
          </w:tcPr>
          <w:p w14:paraId="51E4698C"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75 </w:t>
            </w:r>
          </w:p>
        </w:tc>
        <w:tc>
          <w:tcPr>
            <w:tcW w:w="960" w:type="dxa"/>
            <w:tcBorders>
              <w:top w:val="nil"/>
              <w:left w:val="nil"/>
              <w:bottom w:val="nil"/>
              <w:right w:val="single" w:sz="8" w:space="0" w:color="auto"/>
            </w:tcBorders>
            <w:shd w:val="clear" w:color="000000" w:fill="FFFFFF"/>
            <w:noWrap/>
            <w:vAlign w:val="center"/>
            <w:hideMark/>
          </w:tcPr>
          <w:p w14:paraId="42B1FF65"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0 </w:t>
            </w:r>
          </w:p>
        </w:tc>
      </w:tr>
      <w:tr w:rsidR="00094033" w:rsidRPr="0068303E" w14:paraId="61584781" w14:textId="77777777" w:rsidTr="00094033">
        <w:trPr>
          <w:trHeight w:val="290"/>
        </w:trPr>
        <w:tc>
          <w:tcPr>
            <w:tcW w:w="3420" w:type="dxa"/>
            <w:tcBorders>
              <w:top w:val="nil"/>
              <w:left w:val="single" w:sz="8" w:space="0" w:color="auto"/>
              <w:bottom w:val="nil"/>
              <w:right w:val="nil"/>
            </w:tcBorders>
            <w:shd w:val="clear" w:color="000000" w:fill="FFFFFF"/>
            <w:noWrap/>
            <w:vAlign w:val="bottom"/>
            <w:hideMark/>
          </w:tcPr>
          <w:p w14:paraId="215F311C" w14:textId="77777777" w:rsidR="00094033" w:rsidRPr="0068303E" w:rsidRDefault="00094033" w:rsidP="00094033">
            <w:pPr>
              <w:rPr>
                <w:rFonts w:cs="Arial"/>
                <w:sz w:val="20"/>
                <w:szCs w:val="20"/>
                <w:lang w:eastAsia="en-GB"/>
              </w:rPr>
            </w:pPr>
            <w:r w:rsidRPr="0068303E">
              <w:rPr>
                <w:rFonts w:cs="Arial"/>
                <w:sz w:val="20"/>
                <w:szCs w:val="20"/>
                <w:lang w:eastAsia="en-GB"/>
              </w:rPr>
              <w:t>Cumbria County Council</w:t>
            </w:r>
          </w:p>
        </w:tc>
        <w:tc>
          <w:tcPr>
            <w:tcW w:w="1106" w:type="dxa"/>
            <w:tcBorders>
              <w:top w:val="nil"/>
              <w:left w:val="nil"/>
              <w:bottom w:val="nil"/>
              <w:right w:val="nil"/>
            </w:tcBorders>
            <w:shd w:val="clear" w:color="000000" w:fill="FFFFFF"/>
            <w:noWrap/>
            <w:vAlign w:val="center"/>
            <w:hideMark/>
          </w:tcPr>
          <w:p w14:paraId="5BEBC381"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0 </w:t>
            </w:r>
          </w:p>
        </w:tc>
        <w:tc>
          <w:tcPr>
            <w:tcW w:w="1067" w:type="dxa"/>
            <w:tcBorders>
              <w:top w:val="nil"/>
              <w:left w:val="nil"/>
              <w:bottom w:val="nil"/>
              <w:right w:val="nil"/>
            </w:tcBorders>
            <w:shd w:val="clear" w:color="000000" w:fill="FFFFFF"/>
            <w:noWrap/>
            <w:vAlign w:val="center"/>
            <w:hideMark/>
          </w:tcPr>
          <w:p w14:paraId="7EB81EE0"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74 </w:t>
            </w:r>
          </w:p>
        </w:tc>
        <w:tc>
          <w:tcPr>
            <w:tcW w:w="960" w:type="dxa"/>
            <w:tcBorders>
              <w:top w:val="nil"/>
              <w:left w:val="nil"/>
              <w:bottom w:val="nil"/>
              <w:right w:val="nil"/>
            </w:tcBorders>
            <w:shd w:val="clear" w:color="000000" w:fill="FFFFFF"/>
            <w:noWrap/>
            <w:vAlign w:val="center"/>
            <w:hideMark/>
          </w:tcPr>
          <w:p w14:paraId="7885709B"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50 </w:t>
            </w:r>
          </w:p>
        </w:tc>
        <w:tc>
          <w:tcPr>
            <w:tcW w:w="960" w:type="dxa"/>
            <w:tcBorders>
              <w:top w:val="nil"/>
              <w:left w:val="nil"/>
              <w:bottom w:val="nil"/>
              <w:right w:val="nil"/>
            </w:tcBorders>
            <w:shd w:val="clear" w:color="000000" w:fill="FFFFFF"/>
            <w:noWrap/>
            <w:vAlign w:val="center"/>
            <w:hideMark/>
          </w:tcPr>
          <w:p w14:paraId="323DE69E"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0 </w:t>
            </w:r>
          </w:p>
        </w:tc>
        <w:tc>
          <w:tcPr>
            <w:tcW w:w="960" w:type="dxa"/>
            <w:tcBorders>
              <w:top w:val="nil"/>
              <w:left w:val="nil"/>
              <w:bottom w:val="nil"/>
              <w:right w:val="nil"/>
            </w:tcBorders>
            <w:shd w:val="clear" w:color="000000" w:fill="FFFFFF"/>
            <w:noWrap/>
            <w:vAlign w:val="center"/>
            <w:hideMark/>
          </w:tcPr>
          <w:p w14:paraId="0BC4FC11"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184 </w:t>
            </w:r>
          </w:p>
        </w:tc>
        <w:tc>
          <w:tcPr>
            <w:tcW w:w="960" w:type="dxa"/>
            <w:tcBorders>
              <w:top w:val="nil"/>
              <w:left w:val="nil"/>
              <w:bottom w:val="nil"/>
              <w:right w:val="single" w:sz="8" w:space="0" w:color="auto"/>
            </w:tcBorders>
            <w:shd w:val="clear" w:color="000000" w:fill="FFFFFF"/>
            <w:noWrap/>
            <w:vAlign w:val="center"/>
            <w:hideMark/>
          </w:tcPr>
          <w:p w14:paraId="1F06C24A"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7 </w:t>
            </w:r>
          </w:p>
        </w:tc>
      </w:tr>
      <w:tr w:rsidR="00094033" w:rsidRPr="0068303E" w14:paraId="07752143" w14:textId="77777777" w:rsidTr="00094033">
        <w:trPr>
          <w:trHeight w:val="290"/>
        </w:trPr>
        <w:tc>
          <w:tcPr>
            <w:tcW w:w="3420" w:type="dxa"/>
            <w:tcBorders>
              <w:top w:val="nil"/>
              <w:left w:val="single" w:sz="8" w:space="0" w:color="auto"/>
              <w:bottom w:val="nil"/>
              <w:right w:val="nil"/>
            </w:tcBorders>
            <w:shd w:val="clear" w:color="000000" w:fill="FFFFFF"/>
            <w:noWrap/>
            <w:vAlign w:val="bottom"/>
            <w:hideMark/>
          </w:tcPr>
          <w:p w14:paraId="12BC09AA" w14:textId="77777777" w:rsidR="00094033" w:rsidRPr="0068303E" w:rsidRDefault="00094033" w:rsidP="00094033">
            <w:pPr>
              <w:rPr>
                <w:rFonts w:cs="Arial"/>
                <w:sz w:val="20"/>
                <w:szCs w:val="20"/>
                <w:lang w:eastAsia="en-GB"/>
              </w:rPr>
            </w:pPr>
            <w:r w:rsidRPr="0068303E">
              <w:rPr>
                <w:rFonts w:cs="Arial"/>
                <w:sz w:val="20"/>
                <w:szCs w:val="20"/>
                <w:lang w:eastAsia="en-GB"/>
              </w:rPr>
              <w:t>Eden District Council</w:t>
            </w:r>
          </w:p>
        </w:tc>
        <w:tc>
          <w:tcPr>
            <w:tcW w:w="1106" w:type="dxa"/>
            <w:tcBorders>
              <w:top w:val="nil"/>
              <w:left w:val="nil"/>
              <w:bottom w:val="nil"/>
              <w:right w:val="nil"/>
            </w:tcBorders>
            <w:shd w:val="clear" w:color="000000" w:fill="FFFFFF"/>
            <w:noWrap/>
            <w:vAlign w:val="center"/>
            <w:hideMark/>
          </w:tcPr>
          <w:p w14:paraId="52CB8484"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30 </w:t>
            </w:r>
          </w:p>
        </w:tc>
        <w:tc>
          <w:tcPr>
            <w:tcW w:w="1067" w:type="dxa"/>
            <w:tcBorders>
              <w:top w:val="nil"/>
              <w:left w:val="nil"/>
              <w:bottom w:val="nil"/>
              <w:right w:val="nil"/>
            </w:tcBorders>
            <w:shd w:val="clear" w:color="000000" w:fill="FFFFFF"/>
            <w:noWrap/>
            <w:vAlign w:val="center"/>
            <w:hideMark/>
          </w:tcPr>
          <w:p w14:paraId="64A799E9"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1 </w:t>
            </w:r>
          </w:p>
        </w:tc>
        <w:tc>
          <w:tcPr>
            <w:tcW w:w="960" w:type="dxa"/>
            <w:tcBorders>
              <w:top w:val="nil"/>
              <w:left w:val="nil"/>
              <w:bottom w:val="nil"/>
              <w:right w:val="nil"/>
            </w:tcBorders>
            <w:shd w:val="clear" w:color="000000" w:fill="FFFFFF"/>
            <w:noWrap/>
            <w:vAlign w:val="center"/>
            <w:hideMark/>
          </w:tcPr>
          <w:p w14:paraId="0CC8774F"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0 </w:t>
            </w:r>
          </w:p>
        </w:tc>
        <w:tc>
          <w:tcPr>
            <w:tcW w:w="960" w:type="dxa"/>
            <w:tcBorders>
              <w:top w:val="nil"/>
              <w:left w:val="nil"/>
              <w:bottom w:val="nil"/>
              <w:right w:val="nil"/>
            </w:tcBorders>
            <w:shd w:val="clear" w:color="000000" w:fill="FFFFFF"/>
            <w:noWrap/>
            <w:vAlign w:val="center"/>
            <w:hideMark/>
          </w:tcPr>
          <w:p w14:paraId="0195C840"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0 </w:t>
            </w:r>
          </w:p>
        </w:tc>
        <w:tc>
          <w:tcPr>
            <w:tcW w:w="960" w:type="dxa"/>
            <w:tcBorders>
              <w:top w:val="nil"/>
              <w:left w:val="nil"/>
              <w:bottom w:val="nil"/>
              <w:right w:val="nil"/>
            </w:tcBorders>
            <w:shd w:val="clear" w:color="000000" w:fill="FFFFFF"/>
            <w:noWrap/>
            <w:vAlign w:val="center"/>
            <w:hideMark/>
          </w:tcPr>
          <w:p w14:paraId="6A2FFBB7"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0 </w:t>
            </w:r>
          </w:p>
        </w:tc>
        <w:tc>
          <w:tcPr>
            <w:tcW w:w="960" w:type="dxa"/>
            <w:tcBorders>
              <w:top w:val="nil"/>
              <w:left w:val="nil"/>
              <w:bottom w:val="nil"/>
              <w:right w:val="single" w:sz="8" w:space="0" w:color="auto"/>
            </w:tcBorders>
            <w:shd w:val="clear" w:color="000000" w:fill="FFFFFF"/>
            <w:noWrap/>
            <w:vAlign w:val="center"/>
            <w:hideMark/>
          </w:tcPr>
          <w:p w14:paraId="4DD88BB9"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0 </w:t>
            </w:r>
          </w:p>
        </w:tc>
      </w:tr>
      <w:tr w:rsidR="00094033" w:rsidRPr="0068303E" w14:paraId="669D6118" w14:textId="77777777" w:rsidTr="00094033">
        <w:trPr>
          <w:trHeight w:val="300"/>
        </w:trPr>
        <w:tc>
          <w:tcPr>
            <w:tcW w:w="3420" w:type="dxa"/>
            <w:tcBorders>
              <w:top w:val="nil"/>
              <w:left w:val="single" w:sz="8" w:space="0" w:color="auto"/>
              <w:bottom w:val="nil"/>
              <w:right w:val="nil"/>
            </w:tcBorders>
            <w:shd w:val="clear" w:color="000000" w:fill="FFFFFF"/>
            <w:noWrap/>
            <w:vAlign w:val="bottom"/>
            <w:hideMark/>
          </w:tcPr>
          <w:p w14:paraId="3389ADC7" w14:textId="77777777" w:rsidR="00094033" w:rsidRPr="0068303E" w:rsidRDefault="00094033" w:rsidP="00094033">
            <w:pPr>
              <w:rPr>
                <w:rFonts w:cs="Arial"/>
                <w:sz w:val="20"/>
                <w:szCs w:val="20"/>
                <w:lang w:eastAsia="en-GB"/>
              </w:rPr>
            </w:pPr>
            <w:r w:rsidRPr="0068303E">
              <w:rPr>
                <w:rFonts w:cs="Arial"/>
                <w:sz w:val="20"/>
                <w:szCs w:val="20"/>
                <w:lang w:eastAsia="en-GB"/>
              </w:rPr>
              <w:t>South Lakeland District Council</w:t>
            </w:r>
          </w:p>
        </w:tc>
        <w:tc>
          <w:tcPr>
            <w:tcW w:w="1106" w:type="dxa"/>
            <w:tcBorders>
              <w:top w:val="nil"/>
              <w:left w:val="nil"/>
              <w:bottom w:val="nil"/>
              <w:right w:val="nil"/>
            </w:tcBorders>
            <w:shd w:val="clear" w:color="000000" w:fill="FFFFFF"/>
            <w:noWrap/>
            <w:vAlign w:val="center"/>
            <w:hideMark/>
          </w:tcPr>
          <w:p w14:paraId="43DC8C1A"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364 </w:t>
            </w:r>
          </w:p>
        </w:tc>
        <w:tc>
          <w:tcPr>
            <w:tcW w:w="1067" w:type="dxa"/>
            <w:tcBorders>
              <w:top w:val="nil"/>
              <w:left w:val="nil"/>
              <w:bottom w:val="nil"/>
              <w:right w:val="nil"/>
            </w:tcBorders>
            <w:shd w:val="clear" w:color="000000" w:fill="FFFFFF"/>
            <w:noWrap/>
            <w:vAlign w:val="center"/>
            <w:hideMark/>
          </w:tcPr>
          <w:p w14:paraId="7EF78EFE"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52 </w:t>
            </w:r>
          </w:p>
        </w:tc>
        <w:tc>
          <w:tcPr>
            <w:tcW w:w="960" w:type="dxa"/>
            <w:tcBorders>
              <w:top w:val="nil"/>
              <w:left w:val="nil"/>
              <w:bottom w:val="nil"/>
              <w:right w:val="nil"/>
            </w:tcBorders>
            <w:shd w:val="clear" w:color="000000" w:fill="FFFFFF"/>
            <w:noWrap/>
            <w:vAlign w:val="center"/>
            <w:hideMark/>
          </w:tcPr>
          <w:p w14:paraId="7A35A666"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71 </w:t>
            </w:r>
          </w:p>
        </w:tc>
        <w:tc>
          <w:tcPr>
            <w:tcW w:w="960" w:type="dxa"/>
            <w:tcBorders>
              <w:top w:val="nil"/>
              <w:left w:val="nil"/>
              <w:bottom w:val="nil"/>
              <w:right w:val="nil"/>
            </w:tcBorders>
            <w:shd w:val="clear" w:color="000000" w:fill="FFFFFF"/>
            <w:noWrap/>
            <w:vAlign w:val="center"/>
            <w:hideMark/>
          </w:tcPr>
          <w:p w14:paraId="773D8845"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0 </w:t>
            </w:r>
          </w:p>
        </w:tc>
        <w:tc>
          <w:tcPr>
            <w:tcW w:w="960" w:type="dxa"/>
            <w:tcBorders>
              <w:top w:val="nil"/>
              <w:left w:val="nil"/>
              <w:bottom w:val="nil"/>
              <w:right w:val="nil"/>
            </w:tcBorders>
            <w:shd w:val="clear" w:color="000000" w:fill="FFFFFF"/>
            <w:noWrap/>
            <w:vAlign w:val="center"/>
            <w:hideMark/>
          </w:tcPr>
          <w:p w14:paraId="0EA1AA98"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0 </w:t>
            </w:r>
          </w:p>
        </w:tc>
        <w:tc>
          <w:tcPr>
            <w:tcW w:w="960" w:type="dxa"/>
            <w:tcBorders>
              <w:top w:val="nil"/>
              <w:left w:val="nil"/>
              <w:bottom w:val="nil"/>
              <w:right w:val="single" w:sz="8" w:space="0" w:color="auto"/>
            </w:tcBorders>
            <w:shd w:val="clear" w:color="000000" w:fill="FFFFFF"/>
            <w:noWrap/>
            <w:vAlign w:val="center"/>
            <w:hideMark/>
          </w:tcPr>
          <w:p w14:paraId="6B1A2F81" w14:textId="77777777" w:rsidR="00094033" w:rsidRPr="0068303E" w:rsidRDefault="00094033" w:rsidP="00094033">
            <w:pPr>
              <w:jc w:val="right"/>
              <w:rPr>
                <w:rFonts w:cs="Arial"/>
                <w:color w:val="000000"/>
                <w:lang w:eastAsia="en-GB"/>
              </w:rPr>
            </w:pPr>
            <w:r w:rsidRPr="0068303E">
              <w:rPr>
                <w:rFonts w:cs="Arial"/>
                <w:color w:val="000000"/>
                <w:lang w:eastAsia="en-GB"/>
              </w:rPr>
              <w:t xml:space="preserve">14 </w:t>
            </w:r>
          </w:p>
        </w:tc>
      </w:tr>
      <w:tr w:rsidR="00094033" w:rsidRPr="0068303E" w14:paraId="2E66D7A8" w14:textId="77777777" w:rsidTr="00094033">
        <w:trPr>
          <w:trHeight w:val="735"/>
        </w:trPr>
        <w:tc>
          <w:tcPr>
            <w:tcW w:w="3420" w:type="dxa"/>
            <w:tcBorders>
              <w:top w:val="nil"/>
              <w:left w:val="single" w:sz="8" w:space="0" w:color="auto"/>
              <w:bottom w:val="nil"/>
              <w:right w:val="nil"/>
            </w:tcBorders>
            <w:shd w:val="clear" w:color="000000" w:fill="FFFFFF"/>
            <w:noWrap/>
            <w:vAlign w:val="bottom"/>
            <w:hideMark/>
          </w:tcPr>
          <w:p w14:paraId="3EA2D206" w14:textId="77777777" w:rsidR="00094033" w:rsidRPr="0068303E" w:rsidRDefault="00094033" w:rsidP="00094033">
            <w:pPr>
              <w:rPr>
                <w:rFonts w:cs="Arial"/>
                <w:sz w:val="20"/>
                <w:szCs w:val="20"/>
                <w:lang w:eastAsia="en-GB"/>
              </w:rPr>
            </w:pPr>
            <w:r w:rsidRPr="0068303E">
              <w:rPr>
                <w:rFonts w:cs="Arial"/>
                <w:sz w:val="20"/>
                <w:szCs w:val="20"/>
                <w:lang w:eastAsia="en-GB"/>
              </w:rPr>
              <w:t>Total</w:t>
            </w:r>
          </w:p>
        </w:tc>
        <w:tc>
          <w:tcPr>
            <w:tcW w:w="1106" w:type="dxa"/>
            <w:tcBorders>
              <w:top w:val="single" w:sz="4" w:space="0" w:color="auto"/>
              <w:left w:val="nil"/>
              <w:bottom w:val="double" w:sz="6" w:space="0" w:color="auto"/>
              <w:right w:val="nil"/>
            </w:tcBorders>
            <w:shd w:val="clear" w:color="000000" w:fill="FFFFFF"/>
            <w:noWrap/>
            <w:vAlign w:val="bottom"/>
            <w:hideMark/>
          </w:tcPr>
          <w:p w14:paraId="07601723" w14:textId="77777777" w:rsidR="00094033" w:rsidRPr="0068303E" w:rsidRDefault="00094033" w:rsidP="00094033">
            <w:pPr>
              <w:jc w:val="right"/>
              <w:rPr>
                <w:rFonts w:cs="Arial"/>
                <w:b/>
                <w:bCs/>
                <w:sz w:val="20"/>
                <w:szCs w:val="20"/>
                <w:lang w:eastAsia="en-GB"/>
              </w:rPr>
            </w:pPr>
            <w:r w:rsidRPr="0068303E">
              <w:rPr>
                <w:rFonts w:cs="Arial"/>
                <w:b/>
                <w:bCs/>
                <w:sz w:val="20"/>
                <w:szCs w:val="20"/>
                <w:lang w:eastAsia="en-GB"/>
              </w:rPr>
              <w:t xml:space="preserve">                                          422 </w:t>
            </w:r>
          </w:p>
        </w:tc>
        <w:tc>
          <w:tcPr>
            <w:tcW w:w="1067" w:type="dxa"/>
            <w:tcBorders>
              <w:top w:val="single" w:sz="4" w:space="0" w:color="auto"/>
              <w:left w:val="nil"/>
              <w:bottom w:val="double" w:sz="6" w:space="0" w:color="auto"/>
              <w:right w:val="nil"/>
            </w:tcBorders>
            <w:shd w:val="clear" w:color="000000" w:fill="FFFFFF"/>
            <w:noWrap/>
            <w:vAlign w:val="bottom"/>
            <w:hideMark/>
          </w:tcPr>
          <w:p w14:paraId="0C643CDC" w14:textId="77777777" w:rsidR="00094033" w:rsidRPr="0068303E" w:rsidRDefault="00094033" w:rsidP="00094033">
            <w:pPr>
              <w:jc w:val="right"/>
              <w:rPr>
                <w:rFonts w:cs="Arial"/>
                <w:b/>
                <w:bCs/>
                <w:sz w:val="20"/>
                <w:szCs w:val="20"/>
                <w:lang w:eastAsia="en-GB"/>
              </w:rPr>
            </w:pPr>
            <w:r w:rsidRPr="0068303E">
              <w:rPr>
                <w:rFonts w:cs="Arial"/>
                <w:b/>
                <w:bCs/>
                <w:sz w:val="20"/>
                <w:szCs w:val="20"/>
                <w:lang w:eastAsia="en-GB"/>
              </w:rPr>
              <w:t xml:space="preserve">        1</w:t>
            </w:r>
            <w:r>
              <w:rPr>
                <w:rFonts w:cs="Arial"/>
                <w:b/>
                <w:bCs/>
                <w:sz w:val="20"/>
                <w:szCs w:val="20"/>
                <w:lang w:eastAsia="en-GB"/>
              </w:rPr>
              <w:t>29</w:t>
            </w:r>
            <w:r w:rsidRPr="0068303E">
              <w:rPr>
                <w:rFonts w:cs="Arial"/>
                <w:b/>
                <w:bCs/>
                <w:sz w:val="20"/>
                <w:szCs w:val="20"/>
                <w:lang w:eastAsia="en-GB"/>
              </w:rPr>
              <w:t xml:space="preserve"> </w:t>
            </w:r>
          </w:p>
        </w:tc>
        <w:tc>
          <w:tcPr>
            <w:tcW w:w="960" w:type="dxa"/>
            <w:tcBorders>
              <w:top w:val="single" w:sz="4" w:space="0" w:color="auto"/>
              <w:left w:val="nil"/>
              <w:bottom w:val="double" w:sz="6" w:space="0" w:color="auto"/>
              <w:right w:val="nil"/>
            </w:tcBorders>
            <w:shd w:val="clear" w:color="000000" w:fill="FFFFFF"/>
            <w:noWrap/>
            <w:vAlign w:val="bottom"/>
            <w:hideMark/>
          </w:tcPr>
          <w:p w14:paraId="7C7F7EAA" w14:textId="77777777" w:rsidR="00094033" w:rsidRPr="0068303E" w:rsidRDefault="00094033" w:rsidP="00094033">
            <w:pPr>
              <w:jc w:val="right"/>
              <w:rPr>
                <w:rFonts w:cs="Arial"/>
                <w:b/>
                <w:bCs/>
                <w:sz w:val="20"/>
                <w:szCs w:val="20"/>
                <w:lang w:eastAsia="en-GB"/>
              </w:rPr>
            </w:pPr>
            <w:r w:rsidRPr="0068303E">
              <w:rPr>
                <w:rFonts w:cs="Arial"/>
                <w:b/>
                <w:bCs/>
                <w:sz w:val="20"/>
                <w:szCs w:val="20"/>
                <w:lang w:eastAsia="en-GB"/>
              </w:rPr>
              <w:t xml:space="preserve">        135 </w:t>
            </w:r>
          </w:p>
        </w:tc>
        <w:tc>
          <w:tcPr>
            <w:tcW w:w="960" w:type="dxa"/>
            <w:tcBorders>
              <w:top w:val="single" w:sz="4" w:space="0" w:color="auto"/>
              <w:left w:val="nil"/>
              <w:bottom w:val="double" w:sz="6" w:space="0" w:color="auto"/>
              <w:right w:val="nil"/>
            </w:tcBorders>
            <w:shd w:val="clear" w:color="000000" w:fill="FFFFFF"/>
            <w:noWrap/>
            <w:vAlign w:val="bottom"/>
            <w:hideMark/>
          </w:tcPr>
          <w:p w14:paraId="422B292F" w14:textId="77777777" w:rsidR="00094033" w:rsidRPr="0068303E" w:rsidRDefault="00094033" w:rsidP="00094033">
            <w:pPr>
              <w:jc w:val="right"/>
              <w:rPr>
                <w:rFonts w:cs="Arial"/>
                <w:b/>
                <w:bCs/>
                <w:sz w:val="20"/>
                <w:szCs w:val="20"/>
                <w:lang w:eastAsia="en-GB"/>
              </w:rPr>
            </w:pPr>
            <w:r w:rsidRPr="0068303E">
              <w:rPr>
                <w:rFonts w:cs="Arial"/>
                <w:b/>
                <w:bCs/>
                <w:sz w:val="20"/>
                <w:szCs w:val="20"/>
                <w:lang w:eastAsia="en-GB"/>
              </w:rPr>
              <w:t xml:space="preserve">          -   </w:t>
            </w:r>
          </w:p>
        </w:tc>
        <w:tc>
          <w:tcPr>
            <w:tcW w:w="960" w:type="dxa"/>
            <w:tcBorders>
              <w:top w:val="single" w:sz="4" w:space="0" w:color="auto"/>
              <w:left w:val="nil"/>
              <w:bottom w:val="double" w:sz="6" w:space="0" w:color="auto"/>
              <w:right w:val="nil"/>
            </w:tcBorders>
            <w:shd w:val="clear" w:color="000000" w:fill="FFFFFF"/>
            <w:noWrap/>
            <w:vAlign w:val="bottom"/>
            <w:hideMark/>
          </w:tcPr>
          <w:p w14:paraId="0CD7B96F" w14:textId="77777777" w:rsidR="00094033" w:rsidRPr="0068303E" w:rsidRDefault="00094033" w:rsidP="00094033">
            <w:pPr>
              <w:jc w:val="right"/>
              <w:rPr>
                <w:rFonts w:cs="Arial"/>
                <w:b/>
                <w:bCs/>
                <w:sz w:val="20"/>
                <w:szCs w:val="20"/>
                <w:lang w:eastAsia="en-GB"/>
              </w:rPr>
            </w:pPr>
            <w:r w:rsidRPr="0068303E">
              <w:rPr>
                <w:rFonts w:cs="Arial"/>
                <w:b/>
                <w:bCs/>
                <w:sz w:val="20"/>
                <w:szCs w:val="20"/>
                <w:lang w:eastAsia="en-GB"/>
              </w:rPr>
              <w:t xml:space="preserve">        2</w:t>
            </w:r>
            <w:r>
              <w:rPr>
                <w:rFonts w:cs="Arial"/>
                <w:b/>
                <w:bCs/>
                <w:sz w:val="20"/>
                <w:szCs w:val="20"/>
                <w:lang w:eastAsia="en-GB"/>
              </w:rPr>
              <w:t>66</w:t>
            </w:r>
            <w:r w:rsidRPr="0068303E">
              <w:rPr>
                <w:rFonts w:cs="Arial"/>
                <w:b/>
                <w:bCs/>
                <w:sz w:val="20"/>
                <w:szCs w:val="20"/>
                <w:lang w:eastAsia="en-GB"/>
              </w:rPr>
              <w:t xml:space="preserve"> </w:t>
            </w:r>
          </w:p>
        </w:tc>
        <w:tc>
          <w:tcPr>
            <w:tcW w:w="960" w:type="dxa"/>
            <w:tcBorders>
              <w:top w:val="single" w:sz="4" w:space="0" w:color="auto"/>
              <w:left w:val="nil"/>
              <w:bottom w:val="double" w:sz="6" w:space="0" w:color="auto"/>
              <w:right w:val="single" w:sz="8" w:space="0" w:color="auto"/>
            </w:tcBorders>
            <w:shd w:val="clear" w:color="000000" w:fill="FFFFFF"/>
            <w:noWrap/>
            <w:vAlign w:val="bottom"/>
            <w:hideMark/>
          </w:tcPr>
          <w:p w14:paraId="4AF18422" w14:textId="77777777" w:rsidR="00094033" w:rsidRPr="0068303E" w:rsidRDefault="00094033" w:rsidP="00094033">
            <w:pPr>
              <w:jc w:val="right"/>
              <w:rPr>
                <w:rFonts w:cs="Arial"/>
                <w:b/>
                <w:bCs/>
                <w:sz w:val="20"/>
                <w:szCs w:val="20"/>
                <w:lang w:eastAsia="en-GB"/>
              </w:rPr>
            </w:pPr>
            <w:r w:rsidRPr="0068303E">
              <w:rPr>
                <w:rFonts w:cs="Arial"/>
                <w:b/>
                <w:bCs/>
                <w:sz w:val="20"/>
                <w:szCs w:val="20"/>
                <w:lang w:eastAsia="en-GB"/>
              </w:rPr>
              <w:t xml:space="preserve">          22 </w:t>
            </w:r>
          </w:p>
        </w:tc>
      </w:tr>
      <w:tr w:rsidR="00094033" w:rsidRPr="0068303E" w14:paraId="6EA09C55" w14:textId="77777777" w:rsidTr="00094033">
        <w:trPr>
          <w:trHeight w:val="300"/>
        </w:trPr>
        <w:tc>
          <w:tcPr>
            <w:tcW w:w="3420" w:type="dxa"/>
            <w:tcBorders>
              <w:top w:val="nil"/>
              <w:left w:val="single" w:sz="8" w:space="0" w:color="auto"/>
              <w:bottom w:val="single" w:sz="8" w:space="0" w:color="auto"/>
              <w:right w:val="nil"/>
            </w:tcBorders>
            <w:shd w:val="clear" w:color="000000" w:fill="FFFFFF"/>
            <w:noWrap/>
            <w:vAlign w:val="bottom"/>
            <w:hideMark/>
          </w:tcPr>
          <w:p w14:paraId="3A6C1090" w14:textId="77777777" w:rsidR="00094033" w:rsidRPr="0068303E" w:rsidRDefault="00094033" w:rsidP="00094033">
            <w:pPr>
              <w:rPr>
                <w:rFonts w:ascii="Calibri" w:hAnsi="Calibri" w:cs="Calibri"/>
                <w:color w:val="000000"/>
                <w:sz w:val="22"/>
                <w:szCs w:val="22"/>
                <w:lang w:eastAsia="en-GB"/>
              </w:rPr>
            </w:pPr>
            <w:r w:rsidRPr="0068303E">
              <w:rPr>
                <w:rFonts w:ascii="Calibri" w:hAnsi="Calibri" w:cs="Calibri"/>
                <w:color w:val="000000"/>
                <w:sz w:val="22"/>
                <w:szCs w:val="22"/>
                <w:lang w:eastAsia="en-GB"/>
              </w:rPr>
              <w:t> </w:t>
            </w:r>
          </w:p>
        </w:tc>
        <w:tc>
          <w:tcPr>
            <w:tcW w:w="1106" w:type="dxa"/>
            <w:tcBorders>
              <w:top w:val="nil"/>
              <w:left w:val="nil"/>
              <w:bottom w:val="single" w:sz="8" w:space="0" w:color="auto"/>
              <w:right w:val="nil"/>
            </w:tcBorders>
            <w:shd w:val="clear" w:color="000000" w:fill="FFFFFF"/>
            <w:noWrap/>
            <w:vAlign w:val="bottom"/>
            <w:hideMark/>
          </w:tcPr>
          <w:p w14:paraId="5EC4378E" w14:textId="77777777" w:rsidR="00094033" w:rsidRPr="0068303E" w:rsidRDefault="00094033" w:rsidP="00094033">
            <w:pPr>
              <w:rPr>
                <w:rFonts w:ascii="Calibri" w:hAnsi="Calibri" w:cs="Calibri"/>
                <w:color w:val="000000"/>
                <w:sz w:val="22"/>
                <w:szCs w:val="22"/>
                <w:lang w:eastAsia="en-GB"/>
              </w:rPr>
            </w:pPr>
            <w:r w:rsidRPr="0068303E">
              <w:rPr>
                <w:rFonts w:ascii="Calibri" w:hAnsi="Calibri" w:cs="Calibri"/>
                <w:color w:val="000000"/>
                <w:sz w:val="22"/>
                <w:szCs w:val="22"/>
                <w:lang w:eastAsia="en-GB"/>
              </w:rPr>
              <w:t> </w:t>
            </w:r>
          </w:p>
        </w:tc>
        <w:tc>
          <w:tcPr>
            <w:tcW w:w="1067" w:type="dxa"/>
            <w:tcBorders>
              <w:top w:val="nil"/>
              <w:left w:val="nil"/>
              <w:bottom w:val="single" w:sz="8" w:space="0" w:color="auto"/>
              <w:right w:val="nil"/>
            </w:tcBorders>
            <w:shd w:val="clear" w:color="000000" w:fill="FFFFFF"/>
            <w:noWrap/>
            <w:vAlign w:val="bottom"/>
            <w:hideMark/>
          </w:tcPr>
          <w:p w14:paraId="28943B39" w14:textId="77777777" w:rsidR="00094033" w:rsidRPr="0068303E" w:rsidRDefault="00094033" w:rsidP="00094033">
            <w:pPr>
              <w:rPr>
                <w:rFonts w:ascii="Calibri" w:hAnsi="Calibri" w:cs="Calibri"/>
                <w:color w:val="000000"/>
                <w:sz w:val="22"/>
                <w:szCs w:val="22"/>
                <w:lang w:eastAsia="en-GB"/>
              </w:rPr>
            </w:pPr>
            <w:r w:rsidRPr="0068303E">
              <w:rPr>
                <w:rFonts w:ascii="Calibri" w:hAnsi="Calibri" w:cs="Calibri"/>
                <w:color w:val="000000"/>
                <w:sz w:val="22"/>
                <w:szCs w:val="22"/>
                <w:lang w:eastAsia="en-GB"/>
              </w:rPr>
              <w:t> </w:t>
            </w:r>
          </w:p>
        </w:tc>
        <w:tc>
          <w:tcPr>
            <w:tcW w:w="960" w:type="dxa"/>
            <w:tcBorders>
              <w:top w:val="nil"/>
              <w:left w:val="nil"/>
              <w:bottom w:val="single" w:sz="8" w:space="0" w:color="auto"/>
              <w:right w:val="nil"/>
            </w:tcBorders>
            <w:shd w:val="clear" w:color="000000" w:fill="FFFFFF"/>
            <w:noWrap/>
            <w:vAlign w:val="bottom"/>
            <w:hideMark/>
          </w:tcPr>
          <w:p w14:paraId="59B0BE1E" w14:textId="77777777" w:rsidR="00094033" w:rsidRPr="0068303E" w:rsidRDefault="00094033" w:rsidP="00094033">
            <w:pPr>
              <w:rPr>
                <w:rFonts w:ascii="Calibri" w:hAnsi="Calibri" w:cs="Calibri"/>
                <w:color w:val="000000"/>
                <w:sz w:val="22"/>
                <w:szCs w:val="22"/>
                <w:lang w:eastAsia="en-GB"/>
              </w:rPr>
            </w:pPr>
            <w:r w:rsidRPr="0068303E">
              <w:rPr>
                <w:rFonts w:ascii="Calibri" w:hAnsi="Calibri" w:cs="Calibri"/>
                <w:color w:val="000000"/>
                <w:sz w:val="22"/>
                <w:szCs w:val="22"/>
                <w:lang w:eastAsia="en-GB"/>
              </w:rPr>
              <w:t> </w:t>
            </w:r>
          </w:p>
        </w:tc>
        <w:tc>
          <w:tcPr>
            <w:tcW w:w="960" w:type="dxa"/>
            <w:tcBorders>
              <w:top w:val="nil"/>
              <w:left w:val="nil"/>
              <w:bottom w:val="single" w:sz="8" w:space="0" w:color="auto"/>
              <w:right w:val="nil"/>
            </w:tcBorders>
            <w:shd w:val="clear" w:color="000000" w:fill="FFFFFF"/>
            <w:noWrap/>
            <w:vAlign w:val="bottom"/>
            <w:hideMark/>
          </w:tcPr>
          <w:p w14:paraId="6C7A5884" w14:textId="77777777" w:rsidR="00094033" w:rsidRPr="0068303E" w:rsidRDefault="00094033" w:rsidP="00094033">
            <w:pPr>
              <w:rPr>
                <w:rFonts w:ascii="Calibri" w:hAnsi="Calibri" w:cs="Calibri"/>
                <w:color w:val="000000"/>
                <w:sz w:val="22"/>
                <w:szCs w:val="22"/>
                <w:lang w:eastAsia="en-GB"/>
              </w:rPr>
            </w:pPr>
            <w:r w:rsidRPr="0068303E">
              <w:rPr>
                <w:rFonts w:ascii="Calibri" w:hAnsi="Calibri" w:cs="Calibri"/>
                <w:color w:val="000000"/>
                <w:sz w:val="22"/>
                <w:szCs w:val="22"/>
                <w:lang w:eastAsia="en-GB"/>
              </w:rPr>
              <w:t> </w:t>
            </w:r>
          </w:p>
        </w:tc>
        <w:tc>
          <w:tcPr>
            <w:tcW w:w="960" w:type="dxa"/>
            <w:tcBorders>
              <w:top w:val="nil"/>
              <w:left w:val="nil"/>
              <w:bottom w:val="single" w:sz="8" w:space="0" w:color="auto"/>
              <w:right w:val="nil"/>
            </w:tcBorders>
            <w:shd w:val="clear" w:color="000000" w:fill="FFFFFF"/>
            <w:noWrap/>
            <w:vAlign w:val="bottom"/>
            <w:hideMark/>
          </w:tcPr>
          <w:p w14:paraId="2CA2B511" w14:textId="77777777" w:rsidR="00094033" w:rsidRPr="0068303E" w:rsidRDefault="00094033" w:rsidP="00094033">
            <w:pPr>
              <w:rPr>
                <w:rFonts w:ascii="Calibri" w:hAnsi="Calibri" w:cs="Calibri"/>
                <w:color w:val="000000"/>
                <w:sz w:val="22"/>
                <w:szCs w:val="22"/>
                <w:lang w:eastAsia="en-GB"/>
              </w:rPr>
            </w:pPr>
            <w:r w:rsidRPr="0068303E">
              <w:rPr>
                <w:rFonts w:ascii="Calibri" w:hAnsi="Calibri" w:cs="Calibri"/>
                <w:color w:val="000000"/>
                <w:sz w:val="22"/>
                <w:szCs w:val="22"/>
                <w:lang w:eastAsia="en-GB"/>
              </w:rPr>
              <w:t> </w:t>
            </w:r>
          </w:p>
        </w:tc>
        <w:tc>
          <w:tcPr>
            <w:tcW w:w="960" w:type="dxa"/>
            <w:tcBorders>
              <w:top w:val="nil"/>
              <w:left w:val="nil"/>
              <w:bottom w:val="single" w:sz="8" w:space="0" w:color="auto"/>
              <w:right w:val="single" w:sz="8" w:space="0" w:color="auto"/>
            </w:tcBorders>
            <w:shd w:val="clear" w:color="000000" w:fill="FFFFFF"/>
            <w:noWrap/>
            <w:vAlign w:val="bottom"/>
            <w:hideMark/>
          </w:tcPr>
          <w:p w14:paraId="7909236A" w14:textId="77777777" w:rsidR="00094033" w:rsidRPr="0068303E" w:rsidRDefault="00094033" w:rsidP="00094033">
            <w:pPr>
              <w:rPr>
                <w:rFonts w:ascii="Calibri" w:hAnsi="Calibri" w:cs="Calibri"/>
                <w:color w:val="000000"/>
                <w:sz w:val="22"/>
                <w:szCs w:val="22"/>
                <w:lang w:eastAsia="en-GB"/>
              </w:rPr>
            </w:pPr>
            <w:r w:rsidRPr="0068303E">
              <w:rPr>
                <w:rFonts w:ascii="Calibri" w:hAnsi="Calibri" w:cs="Calibri"/>
                <w:color w:val="000000"/>
                <w:sz w:val="22"/>
                <w:szCs w:val="22"/>
                <w:lang w:eastAsia="en-GB"/>
              </w:rPr>
              <w:t> </w:t>
            </w:r>
          </w:p>
        </w:tc>
      </w:tr>
    </w:tbl>
    <w:p w14:paraId="485A4680" w14:textId="6AE70B1A" w:rsidR="00BC5EE1" w:rsidRDefault="009E61AE" w:rsidP="0070459C">
      <w:r w:rsidRPr="00F71FFB">
        <w:rPr>
          <w:b/>
        </w:rPr>
        <w:t>Officers</w:t>
      </w:r>
      <w:r w:rsidR="00A311C9" w:rsidRPr="00F71FFB">
        <w:t xml:space="preserve"> - </w:t>
      </w:r>
      <w:r w:rsidR="008B7C4E" w:rsidRPr="00F71FFB">
        <w:t xml:space="preserve">the Authority’s </w:t>
      </w:r>
      <w:r w:rsidR="00F71FFB" w:rsidRPr="00F71FFB">
        <w:t xml:space="preserve">senior </w:t>
      </w:r>
      <w:r w:rsidR="003A0FC0" w:rsidRPr="00F71FFB">
        <w:t>managers</w:t>
      </w:r>
      <w:r w:rsidRPr="00F71FFB">
        <w:t xml:space="preserve"> were asked to declare any direct financial relationship </w:t>
      </w:r>
      <w:r w:rsidR="00061E49" w:rsidRPr="00F71FFB">
        <w:t xml:space="preserve">with the Authority </w:t>
      </w:r>
      <w:r w:rsidRPr="00F71FFB">
        <w:t xml:space="preserve">through outside bodies or companies </w:t>
      </w:r>
      <w:r w:rsidR="009D7DF1" w:rsidRPr="00F71FFB">
        <w:t xml:space="preserve">for the financial year </w:t>
      </w:r>
      <w:r w:rsidR="00627253" w:rsidRPr="00F71FFB">
        <w:t>20</w:t>
      </w:r>
      <w:r w:rsidR="009D7DFF" w:rsidRPr="00F71FFB">
        <w:t>2</w:t>
      </w:r>
      <w:r w:rsidR="000F52CC">
        <w:t>3</w:t>
      </w:r>
      <w:r w:rsidR="00EE7546" w:rsidRPr="00F71FFB">
        <w:t>/2</w:t>
      </w:r>
      <w:r w:rsidR="000F52CC">
        <w:t>4</w:t>
      </w:r>
      <w:r w:rsidRPr="00F71FFB">
        <w:t xml:space="preserve">. </w:t>
      </w:r>
      <w:r w:rsidR="004D60E8" w:rsidRPr="00F71FFB">
        <w:t xml:space="preserve">The Authority’s Chief Executive Officer </w:t>
      </w:r>
      <w:r w:rsidR="002C4277" w:rsidRPr="00F71FFB">
        <w:t>is a</w:t>
      </w:r>
      <w:r w:rsidR="002A4633" w:rsidRPr="00F71FFB">
        <w:t xml:space="preserve"> trustee of </w:t>
      </w:r>
      <w:r w:rsidR="00C44B5E" w:rsidRPr="00F71FFB">
        <w:t>the Lake District Foundation</w:t>
      </w:r>
      <w:r w:rsidR="00921A7E" w:rsidRPr="00F71FFB">
        <w:t>.  T</w:t>
      </w:r>
      <w:r w:rsidR="00E16E4C" w:rsidRPr="00F71FFB">
        <w:t xml:space="preserve">he Director of </w:t>
      </w:r>
      <w:r w:rsidR="00F71FFB" w:rsidRPr="00F71FFB">
        <w:t>Visitor Services and Resources</w:t>
      </w:r>
      <w:r w:rsidR="009D7DF1" w:rsidRPr="00F71FFB">
        <w:t xml:space="preserve"> is on the</w:t>
      </w:r>
      <w:r w:rsidR="00921A7E" w:rsidRPr="00F71FFB">
        <w:t xml:space="preserve"> Cumbria County Council Pensions Board</w:t>
      </w:r>
      <w:r w:rsidR="007230BC">
        <w:t>, the National Parks Partnership and the Cumbria Tourism board; the Director of Sustainable Development is a Trustee of World Heritage UK</w:t>
      </w:r>
      <w:r w:rsidR="00F71FFB" w:rsidRPr="00F71FFB">
        <w:t>.</w:t>
      </w:r>
      <w:r w:rsidR="00522992" w:rsidRPr="00F71FFB">
        <w:t xml:space="preserve">  Details of the Authority’s </w:t>
      </w:r>
      <w:r w:rsidR="00522992" w:rsidRPr="00F71FFB">
        <w:lastRenderedPageBreak/>
        <w:t>transactions with these organisations in 202</w:t>
      </w:r>
      <w:r w:rsidR="000F52CC">
        <w:t>3</w:t>
      </w:r>
      <w:r w:rsidR="00522992" w:rsidRPr="00F71FFB">
        <w:t>/2</w:t>
      </w:r>
      <w:r w:rsidR="000F52CC">
        <w:t>4</w:t>
      </w:r>
      <w:r w:rsidR="00522992" w:rsidRPr="00F71FFB">
        <w:t xml:space="preserve"> are listed in the table below.</w:t>
      </w:r>
      <w:r w:rsidR="00E673B0" w:rsidRPr="00F71FFB">
        <w:t xml:space="preserve"> </w:t>
      </w:r>
      <w:r w:rsidR="00B8323D" w:rsidRPr="00F71FFB">
        <w:t>A small number of other non-material declarations were made by other Officers</w:t>
      </w:r>
      <w:r w:rsidR="00D80B41" w:rsidRPr="00F71FFB">
        <w:t>.</w:t>
      </w:r>
    </w:p>
    <w:p w14:paraId="5BE5BD6F" w14:textId="77777777" w:rsidR="0082644A" w:rsidRDefault="0082644A" w:rsidP="0070459C"/>
    <w:tbl>
      <w:tblPr>
        <w:tblW w:w="10208"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552"/>
        <w:gridCol w:w="1067"/>
        <w:gridCol w:w="992"/>
        <w:gridCol w:w="1059"/>
        <w:gridCol w:w="993"/>
        <w:gridCol w:w="3545"/>
      </w:tblGrid>
      <w:tr w:rsidR="007230BC" w:rsidRPr="007230BC" w14:paraId="04E6099F" w14:textId="77777777" w:rsidTr="007230BC">
        <w:trPr>
          <w:trHeight w:val="290"/>
          <w:jc w:val="center"/>
        </w:trPr>
        <w:tc>
          <w:tcPr>
            <w:tcW w:w="2552" w:type="dxa"/>
            <w:shd w:val="clear" w:color="000000" w:fill="000000"/>
            <w:vAlign w:val="center"/>
            <w:hideMark/>
          </w:tcPr>
          <w:p w14:paraId="5B6D509C" w14:textId="77777777" w:rsidR="007230BC" w:rsidRPr="007230BC" w:rsidRDefault="007230BC" w:rsidP="007230BC">
            <w:pPr>
              <w:jc w:val="center"/>
              <w:rPr>
                <w:rFonts w:cs="Arial"/>
                <w:b/>
                <w:bCs/>
                <w:color w:val="FFFFFF"/>
                <w:sz w:val="18"/>
                <w:szCs w:val="18"/>
                <w:lang w:eastAsia="en-GB"/>
              </w:rPr>
            </w:pPr>
            <w:r w:rsidRPr="007230BC">
              <w:rPr>
                <w:rFonts w:cs="Arial"/>
                <w:b/>
                <w:bCs/>
                <w:color w:val="FFFFFF"/>
                <w:sz w:val="18"/>
                <w:szCs w:val="18"/>
                <w:lang w:eastAsia="en-GB"/>
              </w:rPr>
              <w:t>Related Party</w:t>
            </w:r>
          </w:p>
        </w:tc>
        <w:tc>
          <w:tcPr>
            <w:tcW w:w="1067" w:type="dxa"/>
            <w:shd w:val="clear" w:color="000000" w:fill="000000"/>
            <w:vAlign w:val="center"/>
            <w:hideMark/>
          </w:tcPr>
          <w:p w14:paraId="0BBA55C1" w14:textId="77777777" w:rsidR="007230BC" w:rsidRPr="007230BC" w:rsidRDefault="007230BC" w:rsidP="007230BC">
            <w:pPr>
              <w:jc w:val="center"/>
              <w:rPr>
                <w:rFonts w:cs="Arial"/>
                <w:b/>
                <w:bCs/>
                <w:color w:val="FFFFFF"/>
                <w:sz w:val="18"/>
                <w:szCs w:val="18"/>
                <w:lang w:eastAsia="en-GB"/>
              </w:rPr>
            </w:pPr>
            <w:r w:rsidRPr="007230BC">
              <w:rPr>
                <w:rFonts w:cs="Arial"/>
                <w:b/>
                <w:bCs/>
                <w:color w:val="FFFFFF"/>
                <w:sz w:val="18"/>
                <w:szCs w:val="18"/>
                <w:lang w:eastAsia="en-GB"/>
              </w:rPr>
              <w:t>Payments</w:t>
            </w:r>
          </w:p>
        </w:tc>
        <w:tc>
          <w:tcPr>
            <w:tcW w:w="992" w:type="dxa"/>
            <w:shd w:val="clear" w:color="000000" w:fill="000000"/>
            <w:vAlign w:val="center"/>
            <w:hideMark/>
          </w:tcPr>
          <w:p w14:paraId="067881DE" w14:textId="77777777" w:rsidR="007230BC" w:rsidRPr="007230BC" w:rsidRDefault="007230BC" w:rsidP="007230BC">
            <w:pPr>
              <w:jc w:val="center"/>
              <w:rPr>
                <w:rFonts w:cs="Arial"/>
                <w:b/>
                <w:bCs/>
                <w:color w:val="FFFFFF"/>
                <w:sz w:val="18"/>
                <w:szCs w:val="18"/>
                <w:lang w:eastAsia="en-GB"/>
              </w:rPr>
            </w:pPr>
            <w:r w:rsidRPr="007230BC">
              <w:rPr>
                <w:rFonts w:cs="Arial"/>
                <w:b/>
                <w:bCs/>
                <w:color w:val="FFFFFF"/>
                <w:sz w:val="18"/>
                <w:szCs w:val="18"/>
                <w:lang w:eastAsia="en-GB"/>
              </w:rPr>
              <w:t>Income</w:t>
            </w:r>
          </w:p>
        </w:tc>
        <w:tc>
          <w:tcPr>
            <w:tcW w:w="1059" w:type="dxa"/>
            <w:shd w:val="clear" w:color="000000" w:fill="000000"/>
            <w:vAlign w:val="center"/>
            <w:hideMark/>
          </w:tcPr>
          <w:p w14:paraId="638409FF" w14:textId="77777777" w:rsidR="007230BC" w:rsidRPr="007230BC" w:rsidRDefault="007230BC" w:rsidP="007230BC">
            <w:pPr>
              <w:jc w:val="center"/>
              <w:rPr>
                <w:rFonts w:cs="Arial"/>
                <w:b/>
                <w:bCs/>
                <w:color w:val="FFFFFF"/>
                <w:sz w:val="18"/>
                <w:szCs w:val="18"/>
                <w:lang w:eastAsia="en-GB"/>
              </w:rPr>
            </w:pPr>
            <w:r w:rsidRPr="007230BC">
              <w:rPr>
                <w:rFonts w:cs="Arial"/>
                <w:b/>
                <w:bCs/>
                <w:color w:val="FFFFFF"/>
                <w:sz w:val="18"/>
                <w:szCs w:val="18"/>
                <w:lang w:eastAsia="en-GB"/>
              </w:rPr>
              <w:t>Owed to</w:t>
            </w:r>
          </w:p>
        </w:tc>
        <w:tc>
          <w:tcPr>
            <w:tcW w:w="993" w:type="dxa"/>
            <w:shd w:val="clear" w:color="000000" w:fill="000000"/>
            <w:vAlign w:val="center"/>
            <w:hideMark/>
          </w:tcPr>
          <w:p w14:paraId="5B80583F" w14:textId="77777777" w:rsidR="007230BC" w:rsidRPr="007230BC" w:rsidRDefault="007230BC" w:rsidP="007230BC">
            <w:pPr>
              <w:jc w:val="center"/>
              <w:rPr>
                <w:rFonts w:cs="Arial"/>
                <w:b/>
                <w:bCs/>
                <w:color w:val="FFFFFF"/>
                <w:sz w:val="18"/>
                <w:szCs w:val="18"/>
                <w:lang w:eastAsia="en-GB"/>
              </w:rPr>
            </w:pPr>
            <w:r w:rsidRPr="007230BC">
              <w:rPr>
                <w:rFonts w:cs="Arial"/>
                <w:b/>
                <w:bCs/>
                <w:color w:val="FFFFFF"/>
                <w:sz w:val="18"/>
                <w:szCs w:val="18"/>
                <w:lang w:eastAsia="en-GB"/>
              </w:rPr>
              <w:t>Owed from</w:t>
            </w:r>
          </w:p>
        </w:tc>
        <w:tc>
          <w:tcPr>
            <w:tcW w:w="3545" w:type="dxa"/>
            <w:shd w:val="clear" w:color="000000" w:fill="000000"/>
            <w:vAlign w:val="center"/>
            <w:hideMark/>
          </w:tcPr>
          <w:p w14:paraId="65C65635" w14:textId="77777777" w:rsidR="007230BC" w:rsidRPr="007230BC" w:rsidRDefault="007230BC" w:rsidP="007230BC">
            <w:pPr>
              <w:jc w:val="center"/>
              <w:rPr>
                <w:rFonts w:cs="Arial"/>
                <w:b/>
                <w:bCs/>
                <w:color w:val="FFFFFF"/>
                <w:sz w:val="18"/>
                <w:szCs w:val="18"/>
                <w:lang w:eastAsia="en-GB"/>
              </w:rPr>
            </w:pPr>
            <w:r w:rsidRPr="007230BC">
              <w:rPr>
                <w:rFonts w:cs="Arial"/>
                <w:b/>
                <w:bCs/>
                <w:color w:val="FFFFFF"/>
                <w:sz w:val="18"/>
                <w:szCs w:val="18"/>
                <w:lang w:eastAsia="en-GB"/>
              </w:rPr>
              <w:t>Payment details include</w:t>
            </w:r>
          </w:p>
        </w:tc>
      </w:tr>
      <w:tr w:rsidR="007230BC" w:rsidRPr="007230BC" w14:paraId="30E19CB9" w14:textId="77777777" w:rsidTr="007230BC">
        <w:trPr>
          <w:trHeight w:val="290"/>
          <w:jc w:val="center"/>
        </w:trPr>
        <w:tc>
          <w:tcPr>
            <w:tcW w:w="2552" w:type="dxa"/>
            <w:shd w:val="clear" w:color="000000" w:fill="000000"/>
            <w:noWrap/>
            <w:vAlign w:val="center"/>
            <w:hideMark/>
          </w:tcPr>
          <w:p w14:paraId="080BCE7D" w14:textId="77777777" w:rsidR="007230BC" w:rsidRPr="007230BC" w:rsidRDefault="007230BC" w:rsidP="007230BC">
            <w:pPr>
              <w:rPr>
                <w:rFonts w:ascii="Calibri" w:hAnsi="Calibri" w:cs="Calibri"/>
                <w:color w:val="000000"/>
                <w:sz w:val="18"/>
                <w:szCs w:val="18"/>
                <w:lang w:eastAsia="en-GB"/>
              </w:rPr>
            </w:pPr>
            <w:r w:rsidRPr="007230BC">
              <w:rPr>
                <w:rFonts w:ascii="Calibri" w:hAnsi="Calibri" w:cs="Calibri"/>
                <w:color w:val="000000"/>
                <w:sz w:val="18"/>
                <w:szCs w:val="18"/>
                <w:lang w:eastAsia="en-GB"/>
              </w:rPr>
              <w:t> </w:t>
            </w:r>
          </w:p>
        </w:tc>
        <w:tc>
          <w:tcPr>
            <w:tcW w:w="1067" w:type="dxa"/>
            <w:shd w:val="clear" w:color="000000" w:fill="000000"/>
            <w:noWrap/>
            <w:vAlign w:val="center"/>
            <w:hideMark/>
          </w:tcPr>
          <w:p w14:paraId="47FD4DF4" w14:textId="77777777" w:rsidR="007230BC" w:rsidRPr="007230BC" w:rsidRDefault="007230BC" w:rsidP="007230BC">
            <w:pPr>
              <w:jc w:val="center"/>
              <w:rPr>
                <w:rFonts w:cs="Arial"/>
                <w:b/>
                <w:bCs/>
                <w:color w:val="FFFFFF"/>
                <w:sz w:val="18"/>
                <w:szCs w:val="18"/>
                <w:lang w:eastAsia="en-GB"/>
              </w:rPr>
            </w:pPr>
            <w:r w:rsidRPr="007230BC">
              <w:rPr>
                <w:rFonts w:cs="Arial"/>
                <w:b/>
                <w:bCs/>
                <w:color w:val="FFFFFF"/>
                <w:sz w:val="18"/>
                <w:szCs w:val="18"/>
                <w:lang w:eastAsia="en-GB"/>
              </w:rPr>
              <w:t>£000</w:t>
            </w:r>
          </w:p>
        </w:tc>
        <w:tc>
          <w:tcPr>
            <w:tcW w:w="992" w:type="dxa"/>
            <w:shd w:val="clear" w:color="000000" w:fill="000000"/>
            <w:noWrap/>
            <w:vAlign w:val="center"/>
            <w:hideMark/>
          </w:tcPr>
          <w:p w14:paraId="5BA45A7D" w14:textId="77777777" w:rsidR="007230BC" w:rsidRPr="007230BC" w:rsidRDefault="007230BC" w:rsidP="007230BC">
            <w:pPr>
              <w:jc w:val="center"/>
              <w:rPr>
                <w:rFonts w:cs="Arial"/>
                <w:b/>
                <w:bCs/>
                <w:color w:val="FFFFFF"/>
                <w:sz w:val="18"/>
                <w:szCs w:val="18"/>
                <w:lang w:eastAsia="en-GB"/>
              </w:rPr>
            </w:pPr>
            <w:r w:rsidRPr="007230BC">
              <w:rPr>
                <w:rFonts w:cs="Arial"/>
                <w:b/>
                <w:bCs/>
                <w:color w:val="FFFFFF"/>
                <w:sz w:val="18"/>
                <w:szCs w:val="18"/>
                <w:lang w:eastAsia="en-GB"/>
              </w:rPr>
              <w:t>£000</w:t>
            </w:r>
          </w:p>
        </w:tc>
        <w:tc>
          <w:tcPr>
            <w:tcW w:w="1059" w:type="dxa"/>
            <w:shd w:val="clear" w:color="000000" w:fill="000000"/>
            <w:noWrap/>
            <w:vAlign w:val="center"/>
            <w:hideMark/>
          </w:tcPr>
          <w:p w14:paraId="44B6ACAC" w14:textId="77777777" w:rsidR="007230BC" w:rsidRPr="007230BC" w:rsidRDefault="007230BC" w:rsidP="007230BC">
            <w:pPr>
              <w:jc w:val="center"/>
              <w:rPr>
                <w:rFonts w:cs="Arial"/>
                <w:b/>
                <w:bCs/>
                <w:color w:val="FFFFFF"/>
                <w:sz w:val="18"/>
                <w:szCs w:val="18"/>
                <w:lang w:eastAsia="en-GB"/>
              </w:rPr>
            </w:pPr>
            <w:r w:rsidRPr="007230BC">
              <w:rPr>
                <w:rFonts w:cs="Arial"/>
                <w:b/>
                <w:bCs/>
                <w:color w:val="FFFFFF"/>
                <w:sz w:val="18"/>
                <w:szCs w:val="18"/>
                <w:lang w:eastAsia="en-GB"/>
              </w:rPr>
              <w:t>£000</w:t>
            </w:r>
          </w:p>
        </w:tc>
        <w:tc>
          <w:tcPr>
            <w:tcW w:w="993" w:type="dxa"/>
            <w:shd w:val="clear" w:color="000000" w:fill="000000"/>
            <w:noWrap/>
            <w:vAlign w:val="center"/>
            <w:hideMark/>
          </w:tcPr>
          <w:p w14:paraId="2F0B0ED6" w14:textId="77777777" w:rsidR="007230BC" w:rsidRPr="007230BC" w:rsidRDefault="007230BC" w:rsidP="007230BC">
            <w:pPr>
              <w:jc w:val="center"/>
              <w:rPr>
                <w:rFonts w:cs="Arial"/>
                <w:b/>
                <w:bCs/>
                <w:color w:val="FFFFFF"/>
                <w:sz w:val="18"/>
                <w:szCs w:val="18"/>
                <w:lang w:eastAsia="en-GB"/>
              </w:rPr>
            </w:pPr>
            <w:r w:rsidRPr="007230BC">
              <w:rPr>
                <w:rFonts w:cs="Arial"/>
                <w:b/>
                <w:bCs/>
                <w:color w:val="FFFFFF"/>
                <w:sz w:val="18"/>
                <w:szCs w:val="18"/>
                <w:lang w:eastAsia="en-GB"/>
              </w:rPr>
              <w:t>£000</w:t>
            </w:r>
          </w:p>
        </w:tc>
        <w:tc>
          <w:tcPr>
            <w:tcW w:w="3545" w:type="dxa"/>
            <w:shd w:val="clear" w:color="000000" w:fill="000000"/>
            <w:noWrap/>
            <w:vAlign w:val="center"/>
            <w:hideMark/>
          </w:tcPr>
          <w:p w14:paraId="5645051A" w14:textId="77777777" w:rsidR="007230BC" w:rsidRPr="007230BC" w:rsidRDefault="007230BC" w:rsidP="007230BC">
            <w:pPr>
              <w:jc w:val="center"/>
              <w:rPr>
                <w:rFonts w:cs="Arial"/>
                <w:b/>
                <w:bCs/>
                <w:color w:val="FFFFFF"/>
                <w:sz w:val="18"/>
                <w:szCs w:val="18"/>
                <w:lang w:eastAsia="en-GB"/>
              </w:rPr>
            </w:pPr>
            <w:r w:rsidRPr="007230BC">
              <w:rPr>
                <w:rFonts w:cs="Arial"/>
                <w:b/>
                <w:bCs/>
                <w:color w:val="FFFFFF"/>
                <w:sz w:val="18"/>
                <w:szCs w:val="18"/>
                <w:lang w:eastAsia="en-GB"/>
              </w:rPr>
              <w:t> </w:t>
            </w:r>
          </w:p>
        </w:tc>
      </w:tr>
      <w:tr w:rsidR="007230BC" w:rsidRPr="007230BC" w14:paraId="6BF78E9B" w14:textId="77777777" w:rsidTr="007230BC">
        <w:trPr>
          <w:trHeight w:val="290"/>
          <w:jc w:val="center"/>
        </w:trPr>
        <w:tc>
          <w:tcPr>
            <w:tcW w:w="2552" w:type="dxa"/>
            <w:shd w:val="clear" w:color="auto" w:fill="auto"/>
            <w:noWrap/>
            <w:vAlign w:val="center"/>
            <w:hideMark/>
          </w:tcPr>
          <w:p w14:paraId="5A463CB9" w14:textId="77777777" w:rsidR="007230BC" w:rsidRPr="007230BC" w:rsidRDefault="007230BC" w:rsidP="007230BC">
            <w:pPr>
              <w:rPr>
                <w:rFonts w:ascii="Calibri" w:hAnsi="Calibri" w:cs="Calibri"/>
                <w:color w:val="000000"/>
                <w:sz w:val="18"/>
                <w:szCs w:val="18"/>
                <w:lang w:eastAsia="en-GB"/>
              </w:rPr>
            </w:pPr>
            <w:r w:rsidRPr="007230BC">
              <w:rPr>
                <w:rFonts w:ascii="Calibri" w:hAnsi="Calibri" w:cs="Calibri"/>
                <w:color w:val="000000"/>
                <w:sz w:val="18"/>
                <w:szCs w:val="18"/>
                <w:lang w:eastAsia="en-GB"/>
              </w:rPr>
              <w:t> </w:t>
            </w:r>
          </w:p>
        </w:tc>
        <w:tc>
          <w:tcPr>
            <w:tcW w:w="1067" w:type="dxa"/>
            <w:shd w:val="clear" w:color="auto" w:fill="auto"/>
            <w:noWrap/>
            <w:vAlign w:val="center"/>
            <w:hideMark/>
          </w:tcPr>
          <w:p w14:paraId="5394650A" w14:textId="77777777" w:rsidR="007230BC" w:rsidRPr="007230BC" w:rsidRDefault="007230BC" w:rsidP="007230BC">
            <w:pPr>
              <w:rPr>
                <w:rFonts w:ascii="Calibri" w:hAnsi="Calibri" w:cs="Calibri"/>
                <w:color w:val="000000"/>
                <w:sz w:val="18"/>
                <w:szCs w:val="18"/>
                <w:lang w:eastAsia="en-GB"/>
              </w:rPr>
            </w:pPr>
            <w:r w:rsidRPr="007230BC">
              <w:rPr>
                <w:rFonts w:ascii="Calibri" w:hAnsi="Calibri" w:cs="Calibri"/>
                <w:color w:val="000000"/>
                <w:sz w:val="18"/>
                <w:szCs w:val="18"/>
                <w:lang w:eastAsia="en-GB"/>
              </w:rPr>
              <w:t> </w:t>
            </w:r>
          </w:p>
        </w:tc>
        <w:tc>
          <w:tcPr>
            <w:tcW w:w="992" w:type="dxa"/>
            <w:shd w:val="clear" w:color="auto" w:fill="auto"/>
            <w:noWrap/>
            <w:vAlign w:val="center"/>
            <w:hideMark/>
          </w:tcPr>
          <w:p w14:paraId="7EF516AE" w14:textId="77777777" w:rsidR="007230BC" w:rsidRPr="007230BC" w:rsidRDefault="007230BC" w:rsidP="007230BC">
            <w:pPr>
              <w:rPr>
                <w:rFonts w:ascii="Calibri" w:hAnsi="Calibri" w:cs="Calibri"/>
                <w:color w:val="000000"/>
                <w:sz w:val="18"/>
                <w:szCs w:val="18"/>
                <w:lang w:eastAsia="en-GB"/>
              </w:rPr>
            </w:pPr>
            <w:r w:rsidRPr="007230BC">
              <w:rPr>
                <w:rFonts w:ascii="Calibri" w:hAnsi="Calibri" w:cs="Calibri"/>
                <w:color w:val="000000"/>
                <w:sz w:val="18"/>
                <w:szCs w:val="18"/>
                <w:lang w:eastAsia="en-GB"/>
              </w:rPr>
              <w:t> </w:t>
            </w:r>
          </w:p>
        </w:tc>
        <w:tc>
          <w:tcPr>
            <w:tcW w:w="1059" w:type="dxa"/>
            <w:shd w:val="clear" w:color="auto" w:fill="auto"/>
            <w:noWrap/>
            <w:vAlign w:val="bottom"/>
            <w:hideMark/>
          </w:tcPr>
          <w:p w14:paraId="2879E8E3"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993" w:type="dxa"/>
            <w:shd w:val="clear" w:color="auto" w:fill="auto"/>
            <w:noWrap/>
            <w:vAlign w:val="bottom"/>
            <w:hideMark/>
          </w:tcPr>
          <w:p w14:paraId="67E81585"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3545" w:type="dxa"/>
            <w:shd w:val="clear" w:color="auto" w:fill="auto"/>
            <w:noWrap/>
            <w:vAlign w:val="center"/>
            <w:hideMark/>
          </w:tcPr>
          <w:p w14:paraId="4D8E6CFA" w14:textId="77777777" w:rsidR="007230BC" w:rsidRPr="007230BC" w:rsidRDefault="007230BC" w:rsidP="007230BC">
            <w:pPr>
              <w:rPr>
                <w:rFonts w:ascii="Calibri" w:hAnsi="Calibri" w:cs="Calibri"/>
                <w:color w:val="000000"/>
                <w:sz w:val="18"/>
                <w:szCs w:val="18"/>
                <w:lang w:eastAsia="en-GB"/>
              </w:rPr>
            </w:pPr>
            <w:r w:rsidRPr="007230BC">
              <w:rPr>
                <w:rFonts w:ascii="Calibri" w:hAnsi="Calibri" w:cs="Calibri"/>
                <w:color w:val="000000"/>
                <w:sz w:val="18"/>
                <w:szCs w:val="18"/>
                <w:lang w:eastAsia="en-GB"/>
              </w:rPr>
              <w:t> </w:t>
            </w:r>
          </w:p>
        </w:tc>
      </w:tr>
      <w:tr w:rsidR="007230BC" w:rsidRPr="007230BC" w14:paraId="1F1E8973" w14:textId="77777777" w:rsidTr="007230BC">
        <w:trPr>
          <w:trHeight w:val="290"/>
          <w:jc w:val="center"/>
        </w:trPr>
        <w:tc>
          <w:tcPr>
            <w:tcW w:w="2552" w:type="dxa"/>
            <w:shd w:val="clear" w:color="auto" w:fill="auto"/>
            <w:noWrap/>
            <w:vAlign w:val="center"/>
            <w:hideMark/>
          </w:tcPr>
          <w:p w14:paraId="1326BDB5" w14:textId="77777777" w:rsidR="007230BC" w:rsidRPr="007230BC" w:rsidRDefault="007230BC" w:rsidP="007230BC">
            <w:pPr>
              <w:rPr>
                <w:rFonts w:cs="Arial"/>
                <w:color w:val="000000"/>
                <w:sz w:val="18"/>
                <w:szCs w:val="18"/>
                <w:lang w:eastAsia="en-GB"/>
              </w:rPr>
            </w:pPr>
            <w:r w:rsidRPr="007230BC">
              <w:rPr>
                <w:rFonts w:cs="Arial"/>
                <w:color w:val="000000"/>
                <w:sz w:val="18"/>
                <w:szCs w:val="18"/>
                <w:lang w:eastAsia="en-GB"/>
              </w:rPr>
              <w:t>Lake District Foundation</w:t>
            </w:r>
          </w:p>
        </w:tc>
        <w:tc>
          <w:tcPr>
            <w:tcW w:w="1067" w:type="dxa"/>
            <w:shd w:val="clear" w:color="auto" w:fill="auto"/>
            <w:noWrap/>
            <w:vAlign w:val="bottom"/>
            <w:hideMark/>
          </w:tcPr>
          <w:p w14:paraId="504883B9"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992" w:type="dxa"/>
            <w:shd w:val="clear" w:color="auto" w:fill="auto"/>
            <w:noWrap/>
            <w:vAlign w:val="center"/>
            <w:hideMark/>
          </w:tcPr>
          <w:p w14:paraId="08F2282D" w14:textId="77777777" w:rsidR="007230BC" w:rsidRPr="007230BC" w:rsidRDefault="007230BC" w:rsidP="007230BC">
            <w:pPr>
              <w:jc w:val="right"/>
              <w:rPr>
                <w:rFonts w:cs="Arial"/>
                <w:color w:val="000000"/>
                <w:sz w:val="18"/>
                <w:szCs w:val="18"/>
                <w:lang w:eastAsia="en-GB"/>
              </w:rPr>
            </w:pPr>
            <w:r w:rsidRPr="007230BC">
              <w:rPr>
                <w:rFonts w:cs="Arial"/>
                <w:color w:val="000000"/>
                <w:sz w:val="18"/>
                <w:szCs w:val="18"/>
                <w:lang w:eastAsia="en-GB"/>
              </w:rPr>
              <w:t>80</w:t>
            </w:r>
          </w:p>
        </w:tc>
        <w:tc>
          <w:tcPr>
            <w:tcW w:w="1059" w:type="dxa"/>
            <w:shd w:val="clear" w:color="auto" w:fill="auto"/>
            <w:noWrap/>
            <w:vAlign w:val="bottom"/>
            <w:hideMark/>
          </w:tcPr>
          <w:p w14:paraId="193198C5"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993" w:type="dxa"/>
            <w:shd w:val="clear" w:color="auto" w:fill="auto"/>
            <w:noWrap/>
            <w:vAlign w:val="bottom"/>
            <w:hideMark/>
          </w:tcPr>
          <w:p w14:paraId="1EBE6E59" w14:textId="77777777" w:rsidR="007230BC" w:rsidRPr="007230BC" w:rsidRDefault="007230BC" w:rsidP="007230BC">
            <w:pPr>
              <w:jc w:val="right"/>
              <w:rPr>
                <w:rFonts w:ascii="Aptos Narrow" w:hAnsi="Aptos Narrow"/>
                <w:color w:val="000000"/>
                <w:sz w:val="18"/>
                <w:szCs w:val="18"/>
                <w:lang w:eastAsia="en-GB"/>
              </w:rPr>
            </w:pPr>
            <w:r w:rsidRPr="007230BC">
              <w:rPr>
                <w:rFonts w:ascii="Aptos Narrow" w:hAnsi="Aptos Narrow"/>
                <w:color w:val="000000"/>
                <w:sz w:val="18"/>
                <w:szCs w:val="18"/>
                <w:lang w:eastAsia="en-GB"/>
              </w:rPr>
              <w:t>71</w:t>
            </w:r>
          </w:p>
        </w:tc>
        <w:tc>
          <w:tcPr>
            <w:tcW w:w="3545" w:type="dxa"/>
            <w:shd w:val="clear" w:color="auto" w:fill="auto"/>
            <w:noWrap/>
            <w:vAlign w:val="center"/>
            <w:hideMark/>
          </w:tcPr>
          <w:p w14:paraId="0A9C0954" w14:textId="77777777" w:rsidR="007230BC" w:rsidRPr="007230BC" w:rsidRDefault="007230BC" w:rsidP="007230BC">
            <w:pPr>
              <w:rPr>
                <w:rFonts w:cs="Arial"/>
                <w:color w:val="000000"/>
                <w:sz w:val="18"/>
                <w:szCs w:val="18"/>
                <w:lang w:eastAsia="en-GB"/>
              </w:rPr>
            </w:pPr>
            <w:r w:rsidRPr="007230BC">
              <w:rPr>
                <w:rFonts w:cs="Arial"/>
                <w:color w:val="000000"/>
                <w:sz w:val="18"/>
                <w:szCs w:val="18"/>
                <w:lang w:eastAsia="en-GB"/>
              </w:rPr>
              <w:t>Donations and grant funding</w:t>
            </w:r>
          </w:p>
        </w:tc>
      </w:tr>
      <w:tr w:rsidR="007230BC" w:rsidRPr="007230BC" w14:paraId="13E69BAD" w14:textId="77777777" w:rsidTr="007230BC">
        <w:trPr>
          <w:trHeight w:val="290"/>
          <w:jc w:val="center"/>
        </w:trPr>
        <w:tc>
          <w:tcPr>
            <w:tcW w:w="2552" w:type="dxa"/>
            <w:shd w:val="clear" w:color="auto" w:fill="auto"/>
            <w:noWrap/>
            <w:vAlign w:val="center"/>
            <w:hideMark/>
          </w:tcPr>
          <w:p w14:paraId="718BC183" w14:textId="77777777" w:rsidR="007230BC" w:rsidRPr="007230BC" w:rsidRDefault="007230BC" w:rsidP="007230BC">
            <w:pPr>
              <w:rPr>
                <w:rFonts w:cs="Arial"/>
                <w:color w:val="000000"/>
                <w:sz w:val="18"/>
                <w:szCs w:val="18"/>
                <w:lang w:eastAsia="en-GB"/>
              </w:rPr>
            </w:pPr>
            <w:r w:rsidRPr="007230BC">
              <w:rPr>
                <w:rFonts w:cs="Arial"/>
                <w:color w:val="000000"/>
                <w:sz w:val="18"/>
                <w:szCs w:val="18"/>
                <w:lang w:eastAsia="en-GB"/>
              </w:rPr>
              <w:t>Lake District Foundation</w:t>
            </w:r>
          </w:p>
        </w:tc>
        <w:tc>
          <w:tcPr>
            <w:tcW w:w="1067" w:type="dxa"/>
            <w:shd w:val="clear" w:color="auto" w:fill="auto"/>
            <w:noWrap/>
            <w:vAlign w:val="bottom"/>
            <w:hideMark/>
          </w:tcPr>
          <w:p w14:paraId="198BBC66" w14:textId="77777777" w:rsidR="007230BC" w:rsidRPr="007230BC" w:rsidRDefault="007230BC" w:rsidP="007230BC">
            <w:pPr>
              <w:jc w:val="right"/>
              <w:rPr>
                <w:rFonts w:ascii="Aptos Narrow" w:hAnsi="Aptos Narrow"/>
                <w:color w:val="000000"/>
                <w:sz w:val="18"/>
                <w:szCs w:val="18"/>
                <w:lang w:eastAsia="en-GB"/>
              </w:rPr>
            </w:pPr>
            <w:r w:rsidRPr="007230BC">
              <w:rPr>
                <w:rFonts w:ascii="Aptos Narrow" w:hAnsi="Aptos Narrow"/>
                <w:color w:val="000000"/>
                <w:sz w:val="18"/>
                <w:szCs w:val="18"/>
                <w:lang w:eastAsia="en-GB"/>
              </w:rPr>
              <w:t>18</w:t>
            </w:r>
          </w:p>
        </w:tc>
        <w:tc>
          <w:tcPr>
            <w:tcW w:w="992" w:type="dxa"/>
            <w:shd w:val="clear" w:color="auto" w:fill="auto"/>
            <w:noWrap/>
            <w:vAlign w:val="center"/>
            <w:hideMark/>
          </w:tcPr>
          <w:p w14:paraId="20C747A2" w14:textId="77777777" w:rsidR="007230BC" w:rsidRPr="007230BC" w:rsidRDefault="007230BC" w:rsidP="007230BC">
            <w:pPr>
              <w:jc w:val="right"/>
              <w:rPr>
                <w:rFonts w:cs="Arial"/>
                <w:color w:val="000000"/>
                <w:sz w:val="18"/>
                <w:szCs w:val="18"/>
                <w:lang w:eastAsia="en-GB"/>
              </w:rPr>
            </w:pPr>
            <w:r w:rsidRPr="007230BC">
              <w:rPr>
                <w:rFonts w:cs="Arial"/>
                <w:color w:val="000000"/>
                <w:sz w:val="18"/>
                <w:szCs w:val="18"/>
                <w:lang w:eastAsia="en-GB"/>
              </w:rPr>
              <w:t> </w:t>
            </w:r>
          </w:p>
        </w:tc>
        <w:tc>
          <w:tcPr>
            <w:tcW w:w="1059" w:type="dxa"/>
            <w:shd w:val="clear" w:color="auto" w:fill="auto"/>
            <w:noWrap/>
            <w:vAlign w:val="center"/>
            <w:hideMark/>
          </w:tcPr>
          <w:p w14:paraId="2B4023D3" w14:textId="77777777" w:rsidR="007230BC" w:rsidRPr="007230BC" w:rsidRDefault="007230BC" w:rsidP="007230BC">
            <w:pPr>
              <w:jc w:val="right"/>
              <w:rPr>
                <w:rFonts w:cs="Arial"/>
                <w:color w:val="000000"/>
                <w:sz w:val="18"/>
                <w:szCs w:val="18"/>
                <w:lang w:eastAsia="en-GB"/>
              </w:rPr>
            </w:pPr>
            <w:r w:rsidRPr="007230BC">
              <w:rPr>
                <w:rFonts w:cs="Arial"/>
                <w:color w:val="000000"/>
                <w:sz w:val="18"/>
                <w:szCs w:val="18"/>
                <w:lang w:eastAsia="en-GB"/>
              </w:rPr>
              <w:t>18</w:t>
            </w:r>
          </w:p>
        </w:tc>
        <w:tc>
          <w:tcPr>
            <w:tcW w:w="993" w:type="dxa"/>
            <w:shd w:val="clear" w:color="auto" w:fill="auto"/>
            <w:noWrap/>
            <w:vAlign w:val="bottom"/>
            <w:hideMark/>
          </w:tcPr>
          <w:p w14:paraId="56AB254D"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3545" w:type="dxa"/>
            <w:shd w:val="clear" w:color="auto" w:fill="auto"/>
            <w:noWrap/>
            <w:vAlign w:val="center"/>
            <w:hideMark/>
          </w:tcPr>
          <w:p w14:paraId="7EC2D808" w14:textId="77777777" w:rsidR="007230BC" w:rsidRPr="007230BC" w:rsidRDefault="007230BC" w:rsidP="007230BC">
            <w:pPr>
              <w:rPr>
                <w:rFonts w:cs="Arial"/>
                <w:color w:val="000000"/>
                <w:sz w:val="18"/>
                <w:szCs w:val="18"/>
                <w:lang w:eastAsia="en-GB"/>
              </w:rPr>
            </w:pPr>
            <w:r w:rsidRPr="007230BC">
              <w:rPr>
                <w:rFonts w:cs="Arial"/>
                <w:color w:val="000000"/>
                <w:sz w:val="18"/>
                <w:szCs w:val="18"/>
                <w:lang w:eastAsia="en-GB"/>
              </w:rPr>
              <w:t>Annual contribution and consultancy</w:t>
            </w:r>
          </w:p>
        </w:tc>
      </w:tr>
      <w:tr w:rsidR="007230BC" w:rsidRPr="007230BC" w14:paraId="07572D6B" w14:textId="77777777" w:rsidTr="007230BC">
        <w:trPr>
          <w:trHeight w:val="290"/>
          <w:jc w:val="center"/>
        </w:trPr>
        <w:tc>
          <w:tcPr>
            <w:tcW w:w="2552" w:type="dxa"/>
            <w:shd w:val="clear" w:color="auto" w:fill="auto"/>
            <w:noWrap/>
            <w:vAlign w:val="center"/>
            <w:hideMark/>
          </w:tcPr>
          <w:p w14:paraId="10EEFD90" w14:textId="77777777" w:rsidR="007230BC" w:rsidRPr="007230BC" w:rsidRDefault="007230BC" w:rsidP="007230BC">
            <w:pPr>
              <w:rPr>
                <w:rFonts w:cs="Arial"/>
                <w:color w:val="000000"/>
                <w:sz w:val="18"/>
                <w:szCs w:val="18"/>
                <w:lang w:eastAsia="en-GB"/>
              </w:rPr>
            </w:pPr>
            <w:r w:rsidRPr="007230BC">
              <w:rPr>
                <w:rFonts w:cs="Arial"/>
                <w:color w:val="000000"/>
                <w:sz w:val="18"/>
                <w:szCs w:val="18"/>
                <w:lang w:eastAsia="en-GB"/>
              </w:rPr>
              <w:t>Lake District Foundation</w:t>
            </w:r>
          </w:p>
        </w:tc>
        <w:tc>
          <w:tcPr>
            <w:tcW w:w="1067" w:type="dxa"/>
            <w:shd w:val="clear" w:color="auto" w:fill="auto"/>
            <w:noWrap/>
            <w:vAlign w:val="bottom"/>
            <w:hideMark/>
          </w:tcPr>
          <w:p w14:paraId="3B823C41" w14:textId="77777777" w:rsidR="007230BC" w:rsidRPr="007230BC" w:rsidRDefault="007230BC" w:rsidP="007230BC">
            <w:pPr>
              <w:jc w:val="right"/>
              <w:rPr>
                <w:rFonts w:ascii="Aptos Narrow" w:hAnsi="Aptos Narrow"/>
                <w:color w:val="000000"/>
                <w:sz w:val="18"/>
                <w:szCs w:val="18"/>
                <w:lang w:eastAsia="en-GB"/>
              </w:rPr>
            </w:pPr>
            <w:r w:rsidRPr="007230BC">
              <w:rPr>
                <w:rFonts w:ascii="Aptos Narrow" w:hAnsi="Aptos Narrow"/>
                <w:color w:val="000000"/>
                <w:sz w:val="18"/>
                <w:szCs w:val="18"/>
                <w:lang w:eastAsia="en-GB"/>
              </w:rPr>
              <w:t>599</w:t>
            </w:r>
          </w:p>
        </w:tc>
        <w:tc>
          <w:tcPr>
            <w:tcW w:w="992" w:type="dxa"/>
            <w:shd w:val="clear" w:color="auto" w:fill="auto"/>
            <w:noWrap/>
            <w:vAlign w:val="center"/>
            <w:hideMark/>
          </w:tcPr>
          <w:p w14:paraId="0E4E5345" w14:textId="77777777" w:rsidR="007230BC" w:rsidRPr="007230BC" w:rsidRDefault="007230BC" w:rsidP="007230BC">
            <w:pPr>
              <w:jc w:val="right"/>
              <w:rPr>
                <w:rFonts w:cs="Arial"/>
                <w:color w:val="000000"/>
                <w:sz w:val="18"/>
                <w:szCs w:val="18"/>
                <w:lang w:eastAsia="en-GB"/>
              </w:rPr>
            </w:pPr>
            <w:r w:rsidRPr="007230BC">
              <w:rPr>
                <w:rFonts w:cs="Arial"/>
                <w:color w:val="000000"/>
                <w:sz w:val="18"/>
                <w:szCs w:val="18"/>
                <w:lang w:eastAsia="en-GB"/>
              </w:rPr>
              <w:t> </w:t>
            </w:r>
          </w:p>
        </w:tc>
        <w:tc>
          <w:tcPr>
            <w:tcW w:w="1059" w:type="dxa"/>
            <w:shd w:val="clear" w:color="auto" w:fill="auto"/>
            <w:noWrap/>
            <w:vAlign w:val="center"/>
            <w:hideMark/>
          </w:tcPr>
          <w:p w14:paraId="7BA02124" w14:textId="77777777" w:rsidR="007230BC" w:rsidRPr="007230BC" w:rsidRDefault="007230BC" w:rsidP="007230BC">
            <w:pPr>
              <w:jc w:val="right"/>
              <w:rPr>
                <w:rFonts w:cs="Arial"/>
                <w:color w:val="000000"/>
                <w:sz w:val="18"/>
                <w:szCs w:val="18"/>
                <w:lang w:eastAsia="en-GB"/>
              </w:rPr>
            </w:pPr>
            <w:r w:rsidRPr="007230BC">
              <w:rPr>
                <w:rFonts w:cs="Arial"/>
                <w:color w:val="000000"/>
                <w:sz w:val="18"/>
                <w:szCs w:val="18"/>
                <w:lang w:eastAsia="en-GB"/>
              </w:rPr>
              <w:t> </w:t>
            </w:r>
          </w:p>
        </w:tc>
        <w:tc>
          <w:tcPr>
            <w:tcW w:w="993" w:type="dxa"/>
            <w:shd w:val="clear" w:color="auto" w:fill="auto"/>
            <w:noWrap/>
            <w:vAlign w:val="bottom"/>
            <w:hideMark/>
          </w:tcPr>
          <w:p w14:paraId="49245491"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3545" w:type="dxa"/>
            <w:shd w:val="clear" w:color="auto" w:fill="auto"/>
            <w:noWrap/>
            <w:vAlign w:val="center"/>
            <w:hideMark/>
          </w:tcPr>
          <w:p w14:paraId="11CD2D7F" w14:textId="77777777" w:rsidR="007230BC" w:rsidRPr="007230BC" w:rsidRDefault="007230BC" w:rsidP="007230BC">
            <w:pPr>
              <w:rPr>
                <w:rFonts w:cs="Arial"/>
                <w:color w:val="000000"/>
                <w:sz w:val="18"/>
                <w:szCs w:val="18"/>
                <w:lang w:eastAsia="en-GB"/>
              </w:rPr>
            </w:pPr>
            <w:r w:rsidRPr="007230BC">
              <w:rPr>
                <w:rFonts w:cs="Arial"/>
                <w:color w:val="000000"/>
                <w:sz w:val="18"/>
                <w:szCs w:val="18"/>
                <w:lang w:eastAsia="en-GB"/>
              </w:rPr>
              <w:t>ESIF grant payments (agency)</w:t>
            </w:r>
          </w:p>
        </w:tc>
      </w:tr>
      <w:tr w:rsidR="007230BC" w:rsidRPr="007230BC" w14:paraId="2290FEB3" w14:textId="77777777" w:rsidTr="007230BC">
        <w:trPr>
          <w:trHeight w:val="290"/>
          <w:jc w:val="center"/>
        </w:trPr>
        <w:tc>
          <w:tcPr>
            <w:tcW w:w="2552" w:type="dxa"/>
            <w:shd w:val="clear" w:color="auto" w:fill="auto"/>
            <w:noWrap/>
            <w:vAlign w:val="center"/>
            <w:hideMark/>
          </w:tcPr>
          <w:p w14:paraId="367611E7" w14:textId="77777777" w:rsidR="007230BC" w:rsidRPr="007230BC" w:rsidRDefault="007230BC" w:rsidP="007230BC">
            <w:pPr>
              <w:rPr>
                <w:rFonts w:cs="Arial"/>
                <w:color w:val="000000"/>
                <w:sz w:val="18"/>
                <w:szCs w:val="18"/>
                <w:lang w:eastAsia="en-GB"/>
              </w:rPr>
            </w:pPr>
            <w:r w:rsidRPr="007230BC">
              <w:rPr>
                <w:rFonts w:cs="Arial"/>
                <w:color w:val="000000"/>
                <w:sz w:val="18"/>
                <w:szCs w:val="18"/>
                <w:lang w:eastAsia="en-GB"/>
              </w:rPr>
              <w:t>Cumbria Tourism</w:t>
            </w:r>
          </w:p>
        </w:tc>
        <w:tc>
          <w:tcPr>
            <w:tcW w:w="1067" w:type="dxa"/>
            <w:shd w:val="clear" w:color="auto" w:fill="auto"/>
            <w:noWrap/>
            <w:vAlign w:val="center"/>
            <w:hideMark/>
          </w:tcPr>
          <w:p w14:paraId="6A998EF3" w14:textId="77777777" w:rsidR="007230BC" w:rsidRPr="007230BC" w:rsidRDefault="007230BC" w:rsidP="007230BC">
            <w:pPr>
              <w:jc w:val="right"/>
              <w:rPr>
                <w:rFonts w:cs="Arial"/>
                <w:color w:val="000000"/>
                <w:sz w:val="18"/>
                <w:szCs w:val="18"/>
                <w:lang w:eastAsia="en-GB"/>
              </w:rPr>
            </w:pPr>
            <w:r w:rsidRPr="007230BC">
              <w:rPr>
                <w:rFonts w:cs="Arial"/>
                <w:color w:val="000000"/>
                <w:sz w:val="18"/>
                <w:szCs w:val="18"/>
                <w:lang w:eastAsia="en-GB"/>
              </w:rPr>
              <w:t>21</w:t>
            </w:r>
          </w:p>
        </w:tc>
        <w:tc>
          <w:tcPr>
            <w:tcW w:w="992" w:type="dxa"/>
            <w:shd w:val="clear" w:color="auto" w:fill="auto"/>
            <w:noWrap/>
            <w:vAlign w:val="center"/>
            <w:hideMark/>
          </w:tcPr>
          <w:p w14:paraId="200DFDC9" w14:textId="77777777" w:rsidR="007230BC" w:rsidRPr="007230BC" w:rsidRDefault="007230BC" w:rsidP="007230BC">
            <w:pPr>
              <w:jc w:val="right"/>
              <w:rPr>
                <w:rFonts w:cs="Arial"/>
                <w:color w:val="000000"/>
                <w:sz w:val="18"/>
                <w:szCs w:val="18"/>
                <w:lang w:eastAsia="en-GB"/>
              </w:rPr>
            </w:pPr>
            <w:r w:rsidRPr="007230BC">
              <w:rPr>
                <w:rFonts w:cs="Arial"/>
                <w:color w:val="000000"/>
                <w:sz w:val="18"/>
                <w:szCs w:val="18"/>
                <w:lang w:eastAsia="en-GB"/>
              </w:rPr>
              <w:t> </w:t>
            </w:r>
          </w:p>
        </w:tc>
        <w:tc>
          <w:tcPr>
            <w:tcW w:w="1059" w:type="dxa"/>
            <w:shd w:val="clear" w:color="auto" w:fill="auto"/>
            <w:noWrap/>
            <w:vAlign w:val="bottom"/>
            <w:hideMark/>
          </w:tcPr>
          <w:p w14:paraId="19790EB5"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993" w:type="dxa"/>
            <w:shd w:val="clear" w:color="auto" w:fill="auto"/>
            <w:noWrap/>
            <w:vAlign w:val="bottom"/>
            <w:hideMark/>
          </w:tcPr>
          <w:p w14:paraId="5435E6D5"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3545" w:type="dxa"/>
            <w:shd w:val="clear" w:color="auto" w:fill="auto"/>
            <w:noWrap/>
            <w:vAlign w:val="center"/>
            <w:hideMark/>
          </w:tcPr>
          <w:p w14:paraId="32E5523F" w14:textId="77777777" w:rsidR="007230BC" w:rsidRPr="007230BC" w:rsidRDefault="007230BC" w:rsidP="007230BC">
            <w:pPr>
              <w:rPr>
                <w:rFonts w:cs="Arial"/>
                <w:color w:val="000000"/>
                <w:sz w:val="18"/>
                <w:szCs w:val="18"/>
                <w:lang w:eastAsia="en-GB"/>
              </w:rPr>
            </w:pPr>
            <w:r w:rsidRPr="007230BC">
              <w:rPr>
                <w:rFonts w:cs="Arial"/>
                <w:color w:val="000000"/>
                <w:sz w:val="18"/>
                <w:szCs w:val="18"/>
                <w:lang w:eastAsia="en-GB"/>
              </w:rPr>
              <w:t>Annual contribution and consultancy</w:t>
            </w:r>
          </w:p>
        </w:tc>
      </w:tr>
      <w:tr w:rsidR="007230BC" w:rsidRPr="007230BC" w14:paraId="5E550FB9" w14:textId="77777777" w:rsidTr="007230BC">
        <w:trPr>
          <w:trHeight w:val="290"/>
          <w:jc w:val="center"/>
        </w:trPr>
        <w:tc>
          <w:tcPr>
            <w:tcW w:w="2552" w:type="dxa"/>
            <w:shd w:val="clear" w:color="auto" w:fill="auto"/>
            <w:noWrap/>
            <w:vAlign w:val="center"/>
            <w:hideMark/>
          </w:tcPr>
          <w:p w14:paraId="2F87DB44" w14:textId="77777777" w:rsidR="007230BC" w:rsidRPr="007230BC" w:rsidRDefault="007230BC" w:rsidP="007230BC">
            <w:pPr>
              <w:rPr>
                <w:rFonts w:cs="Arial"/>
                <w:color w:val="000000"/>
                <w:sz w:val="18"/>
                <w:szCs w:val="18"/>
                <w:lang w:eastAsia="en-GB"/>
              </w:rPr>
            </w:pPr>
            <w:r w:rsidRPr="007230BC">
              <w:rPr>
                <w:rFonts w:cs="Arial"/>
                <w:color w:val="000000"/>
                <w:sz w:val="18"/>
                <w:szCs w:val="18"/>
                <w:lang w:eastAsia="en-GB"/>
              </w:rPr>
              <w:t>Cumbria Tourism</w:t>
            </w:r>
          </w:p>
        </w:tc>
        <w:tc>
          <w:tcPr>
            <w:tcW w:w="1067" w:type="dxa"/>
            <w:shd w:val="clear" w:color="auto" w:fill="auto"/>
            <w:noWrap/>
            <w:vAlign w:val="center"/>
            <w:hideMark/>
          </w:tcPr>
          <w:p w14:paraId="09F38910" w14:textId="77777777" w:rsidR="007230BC" w:rsidRPr="007230BC" w:rsidRDefault="007230BC" w:rsidP="007230BC">
            <w:pPr>
              <w:jc w:val="right"/>
              <w:rPr>
                <w:rFonts w:cs="Arial"/>
                <w:color w:val="000000"/>
                <w:sz w:val="18"/>
                <w:szCs w:val="18"/>
                <w:lang w:eastAsia="en-GB"/>
              </w:rPr>
            </w:pPr>
            <w:r w:rsidRPr="007230BC">
              <w:rPr>
                <w:rFonts w:cs="Arial"/>
                <w:color w:val="000000"/>
                <w:sz w:val="18"/>
                <w:szCs w:val="18"/>
                <w:lang w:eastAsia="en-GB"/>
              </w:rPr>
              <w:t>18</w:t>
            </w:r>
          </w:p>
        </w:tc>
        <w:tc>
          <w:tcPr>
            <w:tcW w:w="992" w:type="dxa"/>
            <w:shd w:val="clear" w:color="auto" w:fill="auto"/>
            <w:noWrap/>
            <w:vAlign w:val="center"/>
            <w:hideMark/>
          </w:tcPr>
          <w:p w14:paraId="5EDDD79E" w14:textId="77777777" w:rsidR="007230BC" w:rsidRPr="007230BC" w:rsidRDefault="007230BC" w:rsidP="007230BC">
            <w:pPr>
              <w:jc w:val="right"/>
              <w:rPr>
                <w:rFonts w:cs="Arial"/>
                <w:color w:val="000000"/>
                <w:sz w:val="18"/>
                <w:szCs w:val="18"/>
                <w:lang w:eastAsia="en-GB"/>
              </w:rPr>
            </w:pPr>
            <w:r w:rsidRPr="007230BC">
              <w:rPr>
                <w:rFonts w:cs="Arial"/>
                <w:color w:val="000000"/>
                <w:sz w:val="18"/>
                <w:szCs w:val="18"/>
                <w:lang w:eastAsia="en-GB"/>
              </w:rPr>
              <w:t> </w:t>
            </w:r>
          </w:p>
        </w:tc>
        <w:tc>
          <w:tcPr>
            <w:tcW w:w="1059" w:type="dxa"/>
            <w:shd w:val="clear" w:color="auto" w:fill="auto"/>
            <w:noWrap/>
            <w:vAlign w:val="bottom"/>
            <w:hideMark/>
          </w:tcPr>
          <w:p w14:paraId="0FA28101"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993" w:type="dxa"/>
            <w:shd w:val="clear" w:color="auto" w:fill="auto"/>
            <w:noWrap/>
            <w:vAlign w:val="bottom"/>
            <w:hideMark/>
          </w:tcPr>
          <w:p w14:paraId="683BAF45"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3545" w:type="dxa"/>
            <w:shd w:val="clear" w:color="auto" w:fill="auto"/>
            <w:noWrap/>
            <w:vAlign w:val="center"/>
            <w:hideMark/>
          </w:tcPr>
          <w:p w14:paraId="54BFD4D7" w14:textId="77777777" w:rsidR="007230BC" w:rsidRPr="007230BC" w:rsidRDefault="007230BC" w:rsidP="007230BC">
            <w:pPr>
              <w:rPr>
                <w:rFonts w:cs="Arial"/>
                <w:color w:val="000000"/>
                <w:sz w:val="18"/>
                <w:szCs w:val="18"/>
                <w:lang w:eastAsia="en-GB"/>
              </w:rPr>
            </w:pPr>
            <w:r w:rsidRPr="007230BC">
              <w:rPr>
                <w:rFonts w:cs="Arial"/>
                <w:color w:val="000000"/>
                <w:sz w:val="18"/>
                <w:szCs w:val="18"/>
                <w:lang w:eastAsia="en-GB"/>
              </w:rPr>
              <w:t>ESIF grant payments (agency)</w:t>
            </w:r>
          </w:p>
        </w:tc>
      </w:tr>
      <w:tr w:rsidR="007230BC" w:rsidRPr="007230BC" w14:paraId="06C3019E" w14:textId="77777777" w:rsidTr="007230BC">
        <w:trPr>
          <w:trHeight w:val="290"/>
          <w:jc w:val="center"/>
        </w:trPr>
        <w:tc>
          <w:tcPr>
            <w:tcW w:w="2552" w:type="dxa"/>
            <w:shd w:val="clear" w:color="auto" w:fill="auto"/>
            <w:noWrap/>
            <w:vAlign w:val="center"/>
            <w:hideMark/>
          </w:tcPr>
          <w:p w14:paraId="00492153" w14:textId="77777777" w:rsidR="007230BC" w:rsidRPr="007230BC" w:rsidRDefault="007230BC" w:rsidP="007230BC">
            <w:pPr>
              <w:rPr>
                <w:rFonts w:cs="Arial"/>
                <w:color w:val="000000"/>
                <w:sz w:val="18"/>
                <w:szCs w:val="18"/>
                <w:lang w:eastAsia="en-GB"/>
              </w:rPr>
            </w:pPr>
            <w:r w:rsidRPr="007230BC">
              <w:rPr>
                <w:rFonts w:cs="Arial"/>
                <w:color w:val="000000"/>
                <w:sz w:val="18"/>
                <w:szCs w:val="18"/>
                <w:lang w:eastAsia="en-GB"/>
              </w:rPr>
              <w:t>National Parks Partnership</w:t>
            </w:r>
          </w:p>
        </w:tc>
        <w:tc>
          <w:tcPr>
            <w:tcW w:w="1067" w:type="dxa"/>
            <w:shd w:val="clear" w:color="auto" w:fill="auto"/>
            <w:noWrap/>
            <w:vAlign w:val="center"/>
            <w:hideMark/>
          </w:tcPr>
          <w:p w14:paraId="10901CF6" w14:textId="77777777" w:rsidR="007230BC" w:rsidRPr="007230BC" w:rsidRDefault="007230BC" w:rsidP="007230BC">
            <w:pPr>
              <w:jc w:val="right"/>
              <w:rPr>
                <w:rFonts w:cs="Arial"/>
                <w:color w:val="000000"/>
                <w:sz w:val="18"/>
                <w:szCs w:val="18"/>
                <w:lang w:eastAsia="en-GB"/>
              </w:rPr>
            </w:pPr>
            <w:r w:rsidRPr="007230BC">
              <w:rPr>
                <w:rFonts w:cs="Arial"/>
                <w:color w:val="000000"/>
                <w:sz w:val="18"/>
                <w:szCs w:val="18"/>
                <w:lang w:eastAsia="en-GB"/>
              </w:rPr>
              <w:t>10</w:t>
            </w:r>
          </w:p>
        </w:tc>
        <w:tc>
          <w:tcPr>
            <w:tcW w:w="992" w:type="dxa"/>
            <w:shd w:val="clear" w:color="auto" w:fill="auto"/>
            <w:noWrap/>
            <w:vAlign w:val="bottom"/>
            <w:hideMark/>
          </w:tcPr>
          <w:p w14:paraId="03B3B881"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1059" w:type="dxa"/>
            <w:shd w:val="clear" w:color="auto" w:fill="auto"/>
            <w:noWrap/>
            <w:vAlign w:val="bottom"/>
            <w:hideMark/>
          </w:tcPr>
          <w:p w14:paraId="7434509C"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993" w:type="dxa"/>
            <w:shd w:val="clear" w:color="auto" w:fill="auto"/>
            <w:noWrap/>
            <w:vAlign w:val="bottom"/>
            <w:hideMark/>
          </w:tcPr>
          <w:p w14:paraId="1605627E"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3545" w:type="dxa"/>
            <w:shd w:val="clear" w:color="auto" w:fill="auto"/>
            <w:noWrap/>
            <w:vAlign w:val="center"/>
            <w:hideMark/>
          </w:tcPr>
          <w:p w14:paraId="67A02BF3" w14:textId="77777777" w:rsidR="007230BC" w:rsidRPr="007230BC" w:rsidRDefault="007230BC" w:rsidP="007230BC">
            <w:pPr>
              <w:rPr>
                <w:rFonts w:cs="Arial"/>
                <w:color w:val="000000"/>
                <w:sz w:val="18"/>
                <w:szCs w:val="18"/>
                <w:lang w:eastAsia="en-GB"/>
              </w:rPr>
            </w:pPr>
            <w:r w:rsidRPr="007230BC">
              <w:rPr>
                <w:rFonts w:cs="Arial"/>
                <w:color w:val="000000"/>
                <w:sz w:val="18"/>
                <w:szCs w:val="18"/>
                <w:lang w:eastAsia="en-GB"/>
              </w:rPr>
              <w:t>Subscription</w:t>
            </w:r>
          </w:p>
        </w:tc>
      </w:tr>
      <w:tr w:rsidR="007230BC" w:rsidRPr="007230BC" w14:paraId="4DFF6A7B" w14:textId="77777777" w:rsidTr="007230BC">
        <w:trPr>
          <w:trHeight w:val="290"/>
          <w:jc w:val="center"/>
        </w:trPr>
        <w:tc>
          <w:tcPr>
            <w:tcW w:w="2552" w:type="dxa"/>
            <w:shd w:val="clear" w:color="auto" w:fill="auto"/>
            <w:noWrap/>
            <w:vAlign w:val="center"/>
            <w:hideMark/>
          </w:tcPr>
          <w:p w14:paraId="0221B2F0" w14:textId="77777777" w:rsidR="007230BC" w:rsidRPr="007230BC" w:rsidRDefault="007230BC" w:rsidP="007230BC">
            <w:pPr>
              <w:rPr>
                <w:rFonts w:cs="Arial"/>
                <w:color w:val="000000"/>
                <w:sz w:val="18"/>
                <w:szCs w:val="18"/>
                <w:lang w:eastAsia="en-GB"/>
              </w:rPr>
            </w:pPr>
            <w:r w:rsidRPr="007230BC">
              <w:rPr>
                <w:rFonts w:cs="Arial"/>
                <w:color w:val="000000"/>
                <w:sz w:val="18"/>
                <w:szCs w:val="18"/>
                <w:lang w:eastAsia="en-GB"/>
              </w:rPr>
              <w:t>National Parks Partnership</w:t>
            </w:r>
          </w:p>
        </w:tc>
        <w:tc>
          <w:tcPr>
            <w:tcW w:w="1067" w:type="dxa"/>
            <w:shd w:val="clear" w:color="auto" w:fill="auto"/>
            <w:noWrap/>
            <w:vAlign w:val="center"/>
            <w:hideMark/>
          </w:tcPr>
          <w:p w14:paraId="61DA5EED" w14:textId="77777777" w:rsidR="007230BC" w:rsidRPr="007230BC" w:rsidRDefault="007230BC" w:rsidP="007230BC">
            <w:pPr>
              <w:jc w:val="right"/>
              <w:rPr>
                <w:rFonts w:cs="Arial"/>
                <w:color w:val="000000"/>
                <w:sz w:val="18"/>
                <w:szCs w:val="18"/>
                <w:lang w:eastAsia="en-GB"/>
              </w:rPr>
            </w:pPr>
            <w:r w:rsidRPr="007230BC">
              <w:rPr>
                <w:rFonts w:cs="Arial"/>
                <w:color w:val="000000"/>
                <w:sz w:val="18"/>
                <w:szCs w:val="18"/>
                <w:lang w:eastAsia="en-GB"/>
              </w:rPr>
              <w:t> </w:t>
            </w:r>
          </w:p>
        </w:tc>
        <w:tc>
          <w:tcPr>
            <w:tcW w:w="992" w:type="dxa"/>
            <w:shd w:val="clear" w:color="auto" w:fill="auto"/>
            <w:noWrap/>
            <w:vAlign w:val="center"/>
            <w:hideMark/>
          </w:tcPr>
          <w:p w14:paraId="11789DB8" w14:textId="77777777" w:rsidR="007230BC" w:rsidRPr="007230BC" w:rsidRDefault="007230BC" w:rsidP="007230BC">
            <w:pPr>
              <w:jc w:val="right"/>
              <w:rPr>
                <w:rFonts w:cs="Arial"/>
                <w:color w:val="000000"/>
                <w:sz w:val="18"/>
                <w:szCs w:val="18"/>
                <w:lang w:eastAsia="en-GB"/>
              </w:rPr>
            </w:pPr>
            <w:r w:rsidRPr="007230BC">
              <w:rPr>
                <w:rFonts w:cs="Arial"/>
                <w:color w:val="000000"/>
                <w:sz w:val="18"/>
                <w:szCs w:val="18"/>
                <w:lang w:eastAsia="en-GB"/>
              </w:rPr>
              <w:t>61</w:t>
            </w:r>
          </w:p>
        </w:tc>
        <w:tc>
          <w:tcPr>
            <w:tcW w:w="1059" w:type="dxa"/>
            <w:shd w:val="clear" w:color="auto" w:fill="auto"/>
            <w:noWrap/>
            <w:vAlign w:val="bottom"/>
            <w:hideMark/>
          </w:tcPr>
          <w:p w14:paraId="0068117A"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993" w:type="dxa"/>
            <w:shd w:val="clear" w:color="auto" w:fill="auto"/>
            <w:noWrap/>
            <w:vAlign w:val="bottom"/>
            <w:hideMark/>
          </w:tcPr>
          <w:p w14:paraId="33732AD2"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3545" w:type="dxa"/>
            <w:shd w:val="clear" w:color="auto" w:fill="auto"/>
            <w:noWrap/>
            <w:vAlign w:val="center"/>
            <w:hideMark/>
          </w:tcPr>
          <w:p w14:paraId="643E884A" w14:textId="77777777" w:rsidR="007230BC" w:rsidRPr="007230BC" w:rsidRDefault="007230BC" w:rsidP="007230BC">
            <w:pPr>
              <w:rPr>
                <w:rFonts w:cs="Arial"/>
                <w:color w:val="000000"/>
                <w:sz w:val="18"/>
                <w:szCs w:val="18"/>
                <w:lang w:eastAsia="en-GB"/>
              </w:rPr>
            </w:pPr>
            <w:r w:rsidRPr="007230BC">
              <w:rPr>
                <w:rFonts w:cs="Arial"/>
                <w:color w:val="000000"/>
                <w:sz w:val="18"/>
                <w:szCs w:val="18"/>
                <w:lang w:eastAsia="en-GB"/>
              </w:rPr>
              <w:t>Grants</w:t>
            </w:r>
          </w:p>
        </w:tc>
      </w:tr>
      <w:tr w:rsidR="007230BC" w:rsidRPr="007230BC" w14:paraId="67100E96" w14:textId="77777777" w:rsidTr="007230BC">
        <w:trPr>
          <w:trHeight w:val="290"/>
          <w:jc w:val="center"/>
        </w:trPr>
        <w:tc>
          <w:tcPr>
            <w:tcW w:w="2552" w:type="dxa"/>
            <w:shd w:val="clear" w:color="auto" w:fill="auto"/>
            <w:noWrap/>
            <w:vAlign w:val="center"/>
            <w:hideMark/>
          </w:tcPr>
          <w:p w14:paraId="5AA4C43A" w14:textId="77777777" w:rsidR="007230BC" w:rsidRPr="007230BC" w:rsidRDefault="007230BC" w:rsidP="007230BC">
            <w:pPr>
              <w:rPr>
                <w:rFonts w:cs="Arial"/>
                <w:color w:val="000000"/>
                <w:sz w:val="18"/>
                <w:szCs w:val="18"/>
                <w:lang w:eastAsia="en-GB"/>
              </w:rPr>
            </w:pPr>
            <w:r w:rsidRPr="007230BC">
              <w:rPr>
                <w:rFonts w:cs="Arial"/>
                <w:color w:val="000000"/>
                <w:sz w:val="18"/>
                <w:szCs w:val="18"/>
                <w:lang w:eastAsia="en-GB"/>
              </w:rPr>
              <w:t>World Heritage</w:t>
            </w:r>
          </w:p>
        </w:tc>
        <w:tc>
          <w:tcPr>
            <w:tcW w:w="1067" w:type="dxa"/>
            <w:shd w:val="clear" w:color="auto" w:fill="auto"/>
            <w:noWrap/>
            <w:vAlign w:val="center"/>
            <w:hideMark/>
          </w:tcPr>
          <w:p w14:paraId="7E08D336" w14:textId="77777777" w:rsidR="007230BC" w:rsidRPr="007230BC" w:rsidRDefault="007230BC" w:rsidP="007230BC">
            <w:pPr>
              <w:jc w:val="right"/>
              <w:rPr>
                <w:rFonts w:cs="Arial"/>
                <w:color w:val="000000"/>
                <w:sz w:val="18"/>
                <w:szCs w:val="18"/>
                <w:lang w:eastAsia="en-GB"/>
              </w:rPr>
            </w:pPr>
            <w:r w:rsidRPr="007230BC">
              <w:rPr>
                <w:rFonts w:cs="Arial"/>
                <w:color w:val="000000"/>
                <w:sz w:val="18"/>
                <w:szCs w:val="18"/>
                <w:lang w:eastAsia="en-GB"/>
              </w:rPr>
              <w:t>3</w:t>
            </w:r>
          </w:p>
        </w:tc>
        <w:tc>
          <w:tcPr>
            <w:tcW w:w="992" w:type="dxa"/>
            <w:shd w:val="clear" w:color="auto" w:fill="auto"/>
            <w:noWrap/>
            <w:vAlign w:val="center"/>
            <w:hideMark/>
          </w:tcPr>
          <w:p w14:paraId="339BBF45" w14:textId="77777777" w:rsidR="007230BC" w:rsidRPr="007230BC" w:rsidRDefault="007230BC" w:rsidP="007230BC">
            <w:pPr>
              <w:jc w:val="right"/>
              <w:rPr>
                <w:rFonts w:cs="Arial"/>
                <w:color w:val="000000"/>
                <w:sz w:val="18"/>
                <w:szCs w:val="18"/>
                <w:lang w:eastAsia="en-GB"/>
              </w:rPr>
            </w:pPr>
            <w:r w:rsidRPr="007230BC">
              <w:rPr>
                <w:rFonts w:cs="Arial"/>
                <w:color w:val="000000"/>
                <w:sz w:val="18"/>
                <w:szCs w:val="18"/>
                <w:lang w:eastAsia="en-GB"/>
              </w:rPr>
              <w:t> </w:t>
            </w:r>
          </w:p>
        </w:tc>
        <w:tc>
          <w:tcPr>
            <w:tcW w:w="1059" w:type="dxa"/>
            <w:shd w:val="clear" w:color="auto" w:fill="auto"/>
            <w:noWrap/>
            <w:vAlign w:val="bottom"/>
            <w:hideMark/>
          </w:tcPr>
          <w:p w14:paraId="267250D0"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993" w:type="dxa"/>
            <w:shd w:val="clear" w:color="auto" w:fill="auto"/>
            <w:noWrap/>
            <w:vAlign w:val="bottom"/>
            <w:hideMark/>
          </w:tcPr>
          <w:p w14:paraId="0A92F290" w14:textId="77777777" w:rsidR="007230BC" w:rsidRPr="007230BC" w:rsidRDefault="007230BC" w:rsidP="007230BC">
            <w:pPr>
              <w:rPr>
                <w:rFonts w:ascii="Aptos Narrow" w:hAnsi="Aptos Narrow"/>
                <w:color w:val="000000"/>
                <w:sz w:val="18"/>
                <w:szCs w:val="18"/>
                <w:lang w:eastAsia="en-GB"/>
              </w:rPr>
            </w:pPr>
            <w:r w:rsidRPr="007230BC">
              <w:rPr>
                <w:rFonts w:ascii="Aptos Narrow" w:hAnsi="Aptos Narrow"/>
                <w:color w:val="000000"/>
                <w:sz w:val="18"/>
                <w:szCs w:val="18"/>
                <w:lang w:eastAsia="en-GB"/>
              </w:rPr>
              <w:t> </w:t>
            </w:r>
          </w:p>
        </w:tc>
        <w:tc>
          <w:tcPr>
            <w:tcW w:w="3545" w:type="dxa"/>
            <w:shd w:val="clear" w:color="auto" w:fill="auto"/>
            <w:noWrap/>
            <w:vAlign w:val="center"/>
            <w:hideMark/>
          </w:tcPr>
          <w:p w14:paraId="42703E3A" w14:textId="77777777" w:rsidR="007230BC" w:rsidRPr="007230BC" w:rsidRDefault="007230BC" w:rsidP="007230BC">
            <w:pPr>
              <w:rPr>
                <w:rFonts w:cs="Arial"/>
                <w:color w:val="000000"/>
                <w:sz w:val="18"/>
                <w:szCs w:val="18"/>
                <w:lang w:eastAsia="en-GB"/>
              </w:rPr>
            </w:pPr>
            <w:r w:rsidRPr="007230BC">
              <w:rPr>
                <w:rFonts w:cs="Arial"/>
                <w:color w:val="000000"/>
                <w:sz w:val="18"/>
                <w:szCs w:val="18"/>
                <w:lang w:eastAsia="en-GB"/>
              </w:rPr>
              <w:t>Sponsorship and events</w:t>
            </w:r>
          </w:p>
        </w:tc>
      </w:tr>
    </w:tbl>
    <w:p w14:paraId="28213966" w14:textId="77777777" w:rsidR="007230BC" w:rsidRDefault="007230BC" w:rsidP="0070459C"/>
    <w:p w14:paraId="485A4684" w14:textId="77777777" w:rsidR="00B51EA9" w:rsidRPr="004D5CA8" w:rsidRDefault="00B51EA9" w:rsidP="0070459C">
      <w:pPr>
        <w:rPr>
          <w:color w:val="FFFFFF" w:themeColor="background1"/>
          <w:highlight w:val="yellow"/>
        </w:rPr>
      </w:pPr>
    </w:p>
    <w:p w14:paraId="485A4686" w14:textId="74A765F0" w:rsidR="00145F56" w:rsidRPr="00F71FFB" w:rsidRDefault="004E110A" w:rsidP="0070459C">
      <w:r w:rsidRPr="00F71FFB">
        <w:t>Comparative figures for 20</w:t>
      </w:r>
      <w:r w:rsidR="004817B7" w:rsidRPr="00F71FFB">
        <w:t>2</w:t>
      </w:r>
      <w:r w:rsidR="00094033">
        <w:t>2</w:t>
      </w:r>
      <w:r w:rsidR="00627253" w:rsidRPr="00F71FFB">
        <w:t>/</w:t>
      </w:r>
      <w:r w:rsidR="001C0E71" w:rsidRPr="00F71FFB">
        <w:t>2</w:t>
      </w:r>
      <w:r w:rsidR="00094033">
        <w:t>3</w:t>
      </w:r>
      <w:r w:rsidR="00145F56" w:rsidRPr="00F71FFB">
        <w:t xml:space="preserve"> are shown below:</w:t>
      </w:r>
    </w:p>
    <w:tbl>
      <w:tblPr>
        <w:tblpPr w:leftFromText="180" w:rightFromText="180" w:vertAnchor="text" w:horzAnchor="margin" w:tblpX="-289" w:tblpY="170"/>
        <w:tblW w:w="10201" w:type="dxa"/>
        <w:tblLook w:val="04A0" w:firstRow="1" w:lastRow="0" w:firstColumn="1" w:lastColumn="0" w:noHBand="0" w:noVBand="1"/>
      </w:tblPr>
      <w:tblGrid>
        <w:gridCol w:w="3964"/>
        <w:gridCol w:w="1067"/>
        <w:gridCol w:w="960"/>
        <w:gridCol w:w="4210"/>
      </w:tblGrid>
      <w:tr w:rsidR="00094033" w:rsidRPr="00DF7226" w14:paraId="0CDE1720" w14:textId="77777777" w:rsidTr="00DF7226">
        <w:trPr>
          <w:trHeight w:val="460"/>
        </w:trPr>
        <w:tc>
          <w:tcPr>
            <w:tcW w:w="3964" w:type="dxa"/>
            <w:tcBorders>
              <w:top w:val="single" w:sz="4" w:space="0" w:color="auto"/>
              <w:left w:val="single" w:sz="4" w:space="0" w:color="auto"/>
              <w:bottom w:val="nil"/>
              <w:right w:val="single" w:sz="4" w:space="0" w:color="auto"/>
            </w:tcBorders>
            <w:shd w:val="clear" w:color="000000" w:fill="000000"/>
            <w:vAlign w:val="center"/>
            <w:hideMark/>
          </w:tcPr>
          <w:p w14:paraId="3CE79BFE" w14:textId="77777777" w:rsidR="00094033" w:rsidRPr="00DF7226" w:rsidRDefault="00094033" w:rsidP="00DF7226">
            <w:pPr>
              <w:jc w:val="center"/>
              <w:rPr>
                <w:rFonts w:cs="Arial"/>
                <w:b/>
                <w:bCs/>
                <w:color w:val="FFFFFF"/>
                <w:sz w:val="18"/>
                <w:szCs w:val="18"/>
                <w:lang w:eastAsia="en-GB"/>
              </w:rPr>
            </w:pPr>
            <w:r w:rsidRPr="00DF7226">
              <w:rPr>
                <w:rFonts w:cs="Arial"/>
                <w:b/>
                <w:bCs/>
                <w:color w:val="FFFFFF"/>
                <w:sz w:val="18"/>
                <w:szCs w:val="18"/>
                <w:lang w:eastAsia="en-GB"/>
              </w:rPr>
              <w:t>Related Party</w:t>
            </w:r>
          </w:p>
        </w:tc>
        <w:tc>
          <w:tcPr>
            <w:tcW w:w="1067" w:type="dxa"/>
            <w:tcBorders>
              <w:top w:val="single" w:sz="4" w:space="0" w:color="auto"/>
              <w:left w:val="single" w:sz="4" w:space="0" w:color="auto"/>
              <w:bottom w:val="nil"/>
              <w:right w:val="single" w:sz="4" w:space="0" w:color="auto"/>
            </w:tcBorders>
            <w:shd w:val="clear" w:color="000000" w:fill="000000"/>
            <w:vAlign w:val="center"/>
            <w:hideMark/>
          </w:tcPr>
          <w:p w14:paraId="1C58239C" w14:textId="77777777" w:rsidR="00094033" w:rsidRPr="00DF7226" w:rsidRDefault="00094033" w:rsidP="00DF7226">
            <w:pPr>
              <w:jc w:val="center"/>
              <w:rPr>
                <w:rFonts w:cs="Arial"/>
                <w:b/>
                <w:bCs/>
                <w:color w:val="FFFFFF"/>
                <w:sz w:val="18"/>
                <w:szCs w:val="18"/>
                <w:lang w:eastAsia="en-GB"/>
              </w:rPr>
            </w:pPr>
            <w:r w:rsidRPr="00DF7226">
              <w:rPr>
                <w:rFonts w:cs="Arial"/>
                <w:b/>
                <w:bCs/>
                <w:color w:val="FFFFFF"/>
                <w:sz w:val="18"/>
                <w:szCs w:val="18"/>
                <w:lang w:eastAsia="en-GB"/>
              </w:rPr>
              <w:t>Payments</w:t>
            </w:r>
          </w:p>
        </w:tc>
        <w:tc>
          <w:tcPr>
            <w:tcW w:w="960" w:type="dxa"/>
            <w:tcBorders>
              <w:top w:val="single" w:sz="4" w:space="0" w:color="auto"/>
              <w:left w:val="single" w:sz="4" w:space="0" w:color="auto"/>
              <w:bottom w:val="nil"/>
              <w:right w:val="single" w:sz="4" w:space="0" w:color="auto"/>
            </w:tcBorders>
            <w:shd w:val="clear" w:color="000000" w:fill="000000"/>
            <w:vAlign w:val="center"/>
            <w:hideMark/>
          </w:tcPr>
          <w:p w14:paraId="7C5AE452" w14:textId="77777777" w:rsidR="00094033" w:rsidRPr="00DF7226" w:rsidRDefault="00094033" w:rsidP="00DF7226">
            <w:pPr>
              <w:jc w:val="center"/>
              <w:rPr>
                <w:rFonts w:cs="Arial"/>
                <w:b/>
                <w:bCs/>
                <w:color w:val="FFFFFF"/>
                <w:sz w:val="18"/>
                <w:szCs w:val="18"/>
                <w:lang w:eastAsia="en-GB"/>
              </w:rPr>
            </w:pPr>
            <w:r w:rsidRPr="00DF7226">
              <w:rPr>
                <w:rFonts w:cs="Arial"/>
                <w:b/>
                <w:bCs/>
                <w:color w:val="FFFFFF"/>
                <w:sz w:val="18"/>
                <w:szCs w:val="18"/>
                <w:lang w:eastAsia="en-GB"/>
              </w:rPr>
              <w:t>Income</w:t>
            </w:r>
          </w:p>
        </w:tc>
        <w:tc>
          <w:tcPr>
            <w:tcW w:w="4210" w:type="dxa"/>
            <w:tcBorders>
              <w:top w:val="single" w:sz="4" w:space="0" w:color="auto"/>
              <w:left w:val="nil"/>
              <w:bottom w:val="nil"/>
              <w:right w:val="single" w:sz="4" w:space="0" w:color="auto"/>
            </w:tcBorders>
            <w:shd w:val="clear" w:color="000000" w:fill="000000"/>
            <w:vAlign w:val="center"/>
            <w:hideMark/>
          </w:tcPr>
          <w:p w14:paraId="45F61706" w14:textId="77777777" w:rsidR="00094033" w:rsidRPr="00DF7226" w:rsidRDefault="00094033" w:rsidP="00DF7226">
            <w:pPr>
              <w:jc w:val="center"/>
              <w:rPr>
                <w:rFonts w:cs="Arial"/>
                <w:b/>
                <w:bCs/>
                <w:color w:val="FFFFFF"/>
                <w:sz w:val="18"/>
                <w:szCs w:val="18"/>
                <w:lang w:eastAsia="en-GB"/>
              </w:rPr>
            </w:pPr>
            <w:r w:rsidRPr="00DF7226">
              <w:rPr>
                <w:rFonts w:cs="Arial"/>
                <w:b/>
                <w:bCs/>
                <w:color w:val="FFFFFF"/>
                <w:sz w:val="18"/>
                <w:szCs w:val="18"/>
                <w:lang w:eastAsia="en-GB"/>
              </w:rPr>
              <w:t>Payment details include</w:t>
            </w:r>
          </w:p>
        </w:tc>
      </w:tr>
      <w:tr w:rsidR="00094033" w:rsidRPr="00DF7226" w14:paraId="50730D93" w14:textId="77777777" w:rsidTr="00DF7226">
        <w:trPr>
          <w:trHeight w:val="233"/>
        </w:trPr>
        <w:tc>
          <w:tcPr>
            <w:tcW w:w="3964" w:type="dxa"/>
            <w:tcBorders>
              <w:top w:val="nil"/>
              <w:left w:val="single" w:sz="4" w:space="0" w:color="auto"/>
              <w:bottom w:val="single" w:sz="4" w:space="0" w:color="auto"/>
              <w:right w:val="single" w:sz="4" w:space="0" w:color="auto"/>
            </w:tcBorders>
            <w:shd w:val="clear" w:color="000000" w:fill="000000"/>
            <w:noWrap/>
            <w:vAlign w:val="center"/>
            <w:hideMark/>
          </w:tcPr>
          <w:p w14:paraId="3F29E737" w14:textId="77777777" w:rsidR="00094033" w:rsidRPr="00DF7226" w:rsidRDefault="00094033" w:rsidP="00DF7226">
            <w:pPr>
              <w:rPr>
                <w:rFonts w:ascii="Calibri" w:hAnsi="Calibri" w:cs="Calibri"/>
                <w:color w:val="000000"/>
                <w:sz w:val="18"/>
                <w:szCs w:val="18"/>
                <w:lang w:eastAsia="en-GB"/>
              </w:rPr>
            </w:pPr>
            <w:r w:rsidRPr="00DF7226">
              <w:rPr>
                <w:rFonts w:ascii="Calibri" w:hAnsi="Calibri" w:cs="Calibri"/>
                <w:color w:val="000000"/>
                <w:sz w:val="18"/>
                <w:szCs w:val="18"/>
                <w:lang w:eastAsia="en-GB"/>
              </w:rPr>
              <w:t> </w:t>
            </w:r>
          </w:p>
        </w:tc>
        <w:tc>
          <w:tcPr>
            <w:tcW w:w="1067" w:type="dxa"/>
            <w:tcBorders>
              <w:top w:val="nil"/>
              <w:left w:val="single" w:sz="4" w:space="0" w:color="auto"/>
              <w:bottom w:val="single" w:sz="4" w:space="0" w:color="auto"/>
              <w:right w:val="single" w:sz="4" w:space="0" w:color="auto"/>
            </w:tcBorders>
            <w:shd w:val="clear" w:color="000000" w:fill="000000"/>
            <w:noWrap/>
            <w:vAlign w:val="center"/>
            <w:hideMark/>
          </w:tcPr>
          <w:p w14:paraId="4597F27C" w14:textId="77777777" w:rsidR="00094033" w:rsidRPr="00DF7226" w:rsidRDefault="00094033" w:rsidP="00DF7226">
            <w:pPr>
              <w:jc w:val="center"/>
              <w:rPr>
                <w:rFonts w:cs="Arial"/>
                <w:b/>
                <w:bCs/>
                <w:color w:val="FFFFFF"/>
                <w:sz w:val="18"/>
                <w:szCs w:val="18"/>
                <w:lang w:eastAsia="en-GB"/>
              </w:rPr>
            </w:pPr>
            <w:r w:rsidRPr="00DF7226">
              <w:rPr>
                <w:rFonts w:cs="Arial"/>
                <w:b/>
                <w:bCs/>
                <w:color w:val="FFFFFF"/>
                <w:sz w:val="18"/>
                <w:szCs w:val="18"/>
                <w:lang w:eastAsia="en-GB"/>
              </w:rPr>
              <w:t>£000</w:t>
            </w:r>
          </w:p>
        </w:tc>
        <w:tc>
          <w:tcPr>
            <w:tcW w:w="960" w:type="dxa"/>
            <w:tcBorders>
              <w:top w:val="nil"/>
              <w:left w:val="single" w:sz="4" w:space="0" w:color="auto"/>
              <w:bottom w:val="single" w:sz="4" w:space="0" w:color="auto"/>
              <w:right w:val="single" w:sz="4" w:space="0" w:color="auto"/>
            </w:tcBorders>
            <w:shd w:val="clear" w:color="000000" w:fill="000000"/>
            <w:noWrap/>
            <w:vAlign w:val="center"/>
            <w:hideMark/>
          </w:tcPr>
          <w:p w14:paraId="713E6027" w14:textId="77777777" w:rsidR="00094033" w:rsidRPr="00DF7226" w:rsidRDefault="00094033" w:rsidP="00DF7226">
            <w:pPr>
              <w:jc w:val="center"/>
              <w:rPr>
                <w:rFonts w:cs="Arial"/>
                <w:b/>
                <w:bCs/>
                <w:color w:val="FFFFFF"/>
                <w:sz w:val="18"/>
                <w:szCs w:val="18"/>
                <w:lang w:eastAsia="en-GB"/>
              </w:rPr>
            </w:pPr>
            <w:r w:rsidRPr="00DF7226">
              <w:rPr>
                <w:rFonts w:cs="Arial"/>
                <w:b/>
                <w:bCs/>
                <w:color w:val="FFFFFF"/>
                <w:sz w:val="18"/>
                <w:szCs w:val="18"/>
                <w:lang w:eastAsia="en-GB"/>
              </w:rPr>
              <w:t>£000</w:t>
            </w:r>
          </w:p>
        </w:tc>
        <w:tc>
          <w:tcPr>
            <w:tcW w:w="4210" w:type="dxa"/>
            <w:tcBorders>
              <w:top w:val="nil"/>
              <w:left w:val="nil"/>
              <w:bottom w:val="single" w:sz="4" w:space="0" w:color="auto"/>
              <w:right w:val="single" w:sz="4" w:space="0" w:color="auto"/>
            </w:tcBorders>
            <w:shd w:val="clear" w:color="000000" w:fill="000000"/>
            <w:noWrap/>
            <w:vAlign w:val="center"/>
            <w:hideMark/>
          </w:tcPr>
          <w:p w14:paraId="00FBA199" w14:textId="77777777" w:rsidR="00094033" w:rsidRPr="00DF7226" w:rsidRDefault="00094033" w:rsidP="00DF7226">
            <w:pPr>
              <w:jc w:val="center"/>
              <w:rPr>
                <w:rFonts w:cs="Arial"/>
                <w:b/>
                <w:bCs/>
                <w:color w:val="FFFFFF"/>
                <w:sz w:val="18"/>
                <w:szCs w:val="18"/>
                <w:lang w:eastAsia="en-GB"/>
              </w:rPr>
            </w:pPr>
            <w:r w:rsidRPr="00DF7226">
              <w:rPr>
                <w:rFonts w:cs="Arial"/>
                <w:b/>
                <w:bCs/>
                <w:color w:val="FFFFFF"/>
                <w:sz w:val="18"/>
                <w:szCs w:val="18"/>
                <w:lang w:eastAsia="en-GB"/>
              </w:rPr>
              <w:t> </w:t>
            </w:r>
          </w:p>
        </w:tc>
      </w:tr>
      <w:tr w:rsidR="00094033" w:rsidRPr="00DF7226" w14:paraId="5FF11C71" w14:textId="77777777" w:rsidTr="00DF7226">
        <w:trPr>
          <w:trHeight w:val="290"/>
        </w:trPr>
        <w:tc>
          <w:tcPr>
            <w:tcW w:w="3964" w:type="dxa"/>
            <w:tcBorders>
              <w:top w:val="nil"/>
              <w:left w:val="single" w:sz="4" w:space="0" w:color="auto"/>
              <w:bottom w:val="nil"/>
              <w:right w:val="single" w:sz="4" w:space="0" w:color="auto"/>
            </w:tcBorders>
            <w:shd w:val="clear" w:color="000000" w:fill="FFFFFF"/>
            <w:noWrap/>
            <w:vAlign w:val="center"/>
            <w:hideMark/>
          </w:tcPr>
          <w:p w14:paraId="68DC9392" w14:textId="77777777" w:rsidR="00094033" w:rsidRPr="00DF7226" w:rsidRDefault="00094033" w:rsidP="00DF7226">
            <w:pPr>
              <w:rPr>
                <w:rFonts w:ascii="Calibri" w:hAnsi="Calibri" w:cs="Calibri"/>
                <w:color w:val="000000"/>
                <w:sz w:val="18"/>
                <w:szCs w:val="18"/>
                <w:lang w:eastAsia="en-GB"/>
              </w:rPr>
            </w:pPr>
            <w:r w:rsidRPr="00DF7226">
              <w:rPr>
                <w:rFonts w:ascii="Calibri" w:hAnsi="Calibri" w:cs="Calibri"/>
                <w:color w:val="000000"/>
                <w:sz w:val="18"/>
                <w:szCs w:val="18"/>
                <w:lang w:eastAsia="en-GB"/>
              </w:rPr>
              <w:t> </w:t>
            </w:r>
          </w:p>
        </w:tc>
        <w:tc>
          <w:tcPr>
            <w:tcW w:w="1067" w:type="dxa"/>
            <w:tcBorders>
              <w:top w:val="nil"/>
              <w:left w:val="single" w:sz="4" w:space="0" w:color="auto"/>
              <w:bottom w:val="nil"/>
              <w:right w:val="single" w:sz="4" w:space="0" w:color="auto"/>
            </w:tcBorders>
            <w:shd w:val="clear" w:color="000000" w:fill="FFFFFF"/>
            <w:noWrap/>
            <w:vAlign w:val="center"/>
            <w:hideMark/>
          </w:tcPr>
          <w:p w14:paraId="7116452B" w14:textId="77777777" w:rsidR="00094033" w:rsidRPr="00DF7226" w:rsidRDefault="00094033" w:rsidP="00DF7226">
            <w:pPr>
              <w:rPr>
                <w:rFonts w:ascii="Calibri" w:hAnsi="Calibri" w:cs="Calibri"/>
                <w:color w:val="000000"/>
                <w:sz w:val="18"/>
                <w:szCs w:val="18"/>
                <w:lang w:eastAsia="en-GB"/>
              </w:rPr>
            </w:pPr>
            <w:r w:rsidRPr="00DF7226">
              <w:rPr>
                <w:rFonts w:ascii="Calibri" w:hAnsi="Calibri" w:cs="Calibri"/>
                <w:color w:val="000000"/>
                <w:sz w:val="18"/>
                <w:szCs w:val="18"/>
                <w:lang w:eastAsia="en-GB"/>
              </w:rPr>
              <w:t> </w:t>
            </w:r>
          </w:p>
        </w:tc>
        <w:tc>
          <w:tcPr>
            <w:tcW w:w="960" w:type="dxa"/>
            <w:tcBorders>
              <w:top w:val="nil"/>
              <w:left w:val="single" w:sz="4" w:space="0" w:color="auto"/>
              <w:bottom w:val="nil"/>
              <w:right w:val="single" w:sz="4" w:space="0" w:color="auto"/>
            </w:tcBorders>
            <w:shd w:val="clear" w:color="000000" w:fill="FFFFFF"/>
            <w:noWrap/>
            <w:vAlign w:val="center"/>
            <w:hideMark/>
          </w:tcPr>
          <w:p w14:paraId="7E68697F" w14:textId="77777777" w:rsidR="00094033" w:rsidRPr="00DF7226" w:rsidRDefault="00094033" w:rsidP="00DF7226">
            <w:pPr>
              <w:rPr>
                <w:rFonts w:ascii="Calibri" w:hAnsi="Calibri" w:cs="Calibri"/>
                <w:color w:val="000000"/>
                <w:sz w:val="18"/>
                <w:szCs w:val="18"/>
                <w:lang w:eastAsia="en-GB"/>
              </w:rPr>
            </w:pPr>
            <w:r w:rsidRPr="00DF7226">
              <w:rPr>
                <w:rFonts w:ascii="Calibri" w:hAnsi="Calibri" w:cs="Calibri"/>
                <w:color w:val="000000"/>
                <w:sz w:val="18"/>
                <w:szCs w:val="18"/>
                <w:lang w:eastAsia="en-GB"/>
              </w:rPr>
              <w:t> </w:t>
            </w:r>
          </w:p>
        </w:tc>
        <w:tc>
          <w:tcPr>
            <w:tcW w:w="4210" w:type="dxa"/>
            <w:tcBorders>
              <w:top w:val="nil"/>
              <w:left w:val="single" w:sz="4" w:space="0" w:color="auto"/>
              <w:bottom w:val="nil"/>
              <w:right w:val="single" w:sz="4" w:space="0" w:color="auto"/>
            </w:tcBorders>
            <w:shd w:val="clear" w:color="000000" w:fill="FFFFFF"/>
            <w:noWrap/>
            <w:vAlign w:val="center"/>
            <w:hideMark/>
          </w:tcPr>
          <w:p w14:paraId="06A4161D" w14:textId="77777777" w:rsidR="00094033" w:rsidRPr="00DF7226" w:rsidRDefault="00094033" w:rsidP="00DF7226">
            <w:pPr>
              <w:rPr>
                <w:rFonts w:ascii="Calibri" w:hAnsi="Calibri" w:cs="Calibri"/>
                <w:color w:val="000000"/>
                <w:sz w:val="18"/>
                <w:szCs w:val="18"/>
                <w:lang w:eastAsia="en-GB"/>
              </w:rPr>
            </w:pPr>
            <w:r w:rsidRPr="00DF7226">
              <w:rPr>
                <w:rFonts w:ascii="Calibri" w:hAnsi="Calibri" w:cs="Calibri"/>
                <w:color w:val="000000"/>
                <w:sz w:val="18"/>
                <w:szCs w:val="18"/>
                <w:lang w:eastAsia="en-GB"/>
              </w:rPr>
              <w:t> </w:t>
            </w:r>
          </w:p>
        </w:tc>
      </w:tr>
      <w:tr w:rsidR="00094033" w:rsidRPr="00DF7226" w14:paraId="562AB8C4" w14:textId="77777777" w:rsidTr="00DF7226">
        <w:trPr>
          <w:trHeight w:val="290"/>
        </w:trPr>
        <w:tc>
          <w:tcPr>
            <w:tcW w:w="3964" w:type="dxa"/>
            <w:tcBorders>
              <w:top w:val="nil"/>
              <w:left w:val="single" w:sz="4" w:space="0" w:color="auto"/>
              <w:bottom w:val="nil"/>
              <w:right w:val="single" w:sz="4" w:space="0" w:color="auto"/>
            </w:tcBorders>
            <w:shd w:val="clear" w:color="000000" w:fill="FFFFFF"/>
            <w:noWrap/>
            <w:vAlign w:val="center"/>
            <w:hideMark/>
          </w:tcPr>
          <w:p w14:paraId="3FDD06F3"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Lake District Foundation</w:t>
            </w:r>
          </w:p>
        </w:tc>
        <w:tc>
          <w:tcPr>
            <w:tcW w:w="1067" w:type="dxa"/>
            <w:tcBorders>
              <w:top w:val="nil"/>
              <w:left w:val="single" w:sz="4" w:space="0" w:color="auto"/>
              <w:bottom w:val="nil"/>
              <w:right w:val="single" w:sz="4" w:space="0" w:color="auto"/>
            </w:tcBorders>
            <w:shd w:val="clear" w:color="000000" w:fill="FFFFFF"/>
            <w:noWrap/>
            <w:vAlign w:val="center"/>
            <w:hideMark/>
          </w:tcPr>
          <w:p w14:paraId="1D606156"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472</w:t>
            </w:r>
          </w:p>
        </w:tc>
        <w:tc>
          <w:tcPr>
            <w:tcW w:w="960" w:type="dxa"/>
            <w:tcBorders>
              <w:top w:val="nil"/>
              <w:left w:val="single" w:sz="4" w:space="0" w:color="auto"/>
              <w:bottom w:val="nil"/>
              <w:right w:val="single" w:sz="4" w:space="0" w:color="auto"/>
            </w:tcBorders>
            <w:shd w:val="clear" w:color="000000" w:fill="FFFFFF"/>
            <w:noWrap/>
            <w:vAlign w:val="center"/>
            <w:hideMark/>
          </w:tcPr>
          <w:p w14:paraId="1582D78B"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 </w:t>
            </w:r>
          </w:p>
        </w:tc>
        <w:tc>
          <w:tcPr>
            <w:tcW w:w="4210" w:type="dxa"/>
            <w:tcBorders>
              <w:top w:val="nil"/>
              <w:left w:val="single" w:sz="4" w:space="0" w:color="auto"/>
              <w:bottom w:val="nil"/>
              <w:right w:val="single" w:sz="4" w:space="0" w:color="auto"/>
            </w:tcBorders>
            <w:shd w:val="clear" w:color="000000" w:fill="FFFFFF"/>
            <w:noWrap/>
            <w:vAlign w:val="center"/>
            <w:hideMark/>
          </w:tcPr>
          <w:p w14:paraId="5793A4EB"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 xml:space="preserve">ERDF Grant funding </w:t>
            </w:r>
          </w:p>
        </w:tc>
      </w:tr>
      <w:tr w:rsidR="00094033" w:rsidRPr="00DF7226" w14:paraId="4520C694" w14:textId="77777777" w:rsidTr="00DF7226">
        <w:trPr>
          <w:trHeight w:val="414"/>
        </w:trPr>
        <w:tc>
          <w:tcPr>
            <w:tcW w:w="3964" w:type="dxa"/>
            <w:tcBorders>
              <w:top w:val="nil"/>
              <w:left w:val="single" w:sz="4" w:space="0" w:color="auto"/>
              <w:bottom w:val="nil"/>
              <w:right w:val="single" w:sz="4" w:space="0" w:color="auto"/>
            </w:tcBorders>
            <w:shd w:val="clear" w:color="000000" w:fill="FFFFFF"/>
            <w:noWrap/>
            <w:vAlign w:val="center"/>
            <w:hideMark/>
          </w:tcPr>
          <w:p w14:paraId="3FFF1889"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Lake District Foundation</w:t>
            </w:r>
          </w:p>
        </w:tc>
        <w:tc>
          <w:tcPr>
            <w:tcW w:w="1067" w:type="dxa"/>
            <w:tcBorders>
              <w:top w:val="nil"/>
              <w:left w:val="single" w:sz="4" w:space="0" w:color="auto"/>
              <w:bottom w:val="nil"/>
              <w:right w:val="single" w:sz="4" w:space="0" w:color="auto"/>
            </w:tcBorders>
            <w:shd w:val="clear" w:color="000000" w:fill="FFFFFF"/>
            <w:noWrap/>
            <w:vAlign w:val="center"/>
            <w:hideMark/>
          </w:tcPr>
          <w:p w14:paraId="385D17BC"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 </w:t>
            </w:r>
          </w:p>
        </w:tc>
        <w:tc>
          <w:tcPr>
            <w:tcW w:w="960" w:type="dxa"/>
            <w:tcBorders>
              <w:top w:val="nil"/>
              <w:left w:val="single" w:sz="4" w:space="0" w:color="auto"/>
              <w:bottom w:val="nil"/>
              <w:right w:val="single" w:sz="4" w:space="0" w:color="auto"/>
            </w:tcBorders>
            <w:shd w:val="clear" w:color="000000" w:fill="FFFFFF"/>
            <w:noWrap/>
            <w:vAlign w:val="center"/>
            <w:hideMark/>
          </w:tcPr>
          <w:p w14:paraId="66646A93"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181</w:t>
            </w:r>
          </w:p>
        </w:tc>
        <w:tc>
          <w:tcPr>
            <w:tcW w:w="4210" w:type="dxa"/>
            <w:tcBorders>
              <w:top w:val="nil"/>
              <w:left w:val="single" w:sz="4" w:space="0" w:color="auto"/>
              <w:bottom w:val="nil"/>
              <w:right w:val="single" w:sz="4" w:space="0" w:color="auto"/>
            </w:tcBorders>
            <w:shd w:val="clear" w:color="000000" w:fill="FFFFFF"/>
            <w:noWrap/>
            <w:vAlign w:val="center"/>
            <w:hideMark/>
          </w:tcPr>
          <w:p w14:paraId="35597D18"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Cumbria Woodland projects and stone for paths</w:t>
            </w:r>
          </w:p>
        </w:tc>
      </w:tr>
      <w:tr w:rsidR="00094033" w:rsidRPr="00DF7226" w14:paraId="585D0E96" w14:textId="77777777" w:rsidTr="00DF7226">
        <w:trPr>
          <w:trHeight w:val="279"/>
        </w:trPr>
        <w:tc>
          <w:tcPr>
            <w:tcW w:w="3964" w:type="dxa"/>
            <w:tcBorders>
              <w:top w:val="nil"/>
              <w:left w:val="single" w:sz="4" w:space="0" w:color="auto"/>
              <w:bottom w:val="nil"/>
              <w:right w:val="nil"/>
            </w:tcBorders>
            <w:shd w:val="clear" w:color="000000" w:fill="FFFFFF"/>
            <w:noWrap/>
            <w:vAlign w:val="center"/>
            <w:hideMark/>
          </w:tcPr>
          <w:p w14:paraId="156EF2D6"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Discover England  (led by Peak District NPA)</w:t>
            </w:r>
          </w:p>
        </w:tc>
        <w:tc>
          <w:tcPr>
            <w:tcW w:w="1067" w:type="dxa"/>
            <w:tcBorders>
              <w:top w:val="nil"/>
              <w:left w:val="single" w:sz="4" w:space="0" w:color="auto"/>
              <w:bottom w:val="nil"/>
              <w:right w:val="single" w:sz="4" w:space="0" w:color="auto"/>
            </w:tcBorders>
            <w:shd w:val="clear" w:color="000000" w:fill="FFFFFF"/>
            <w:vAlign w:val="center"/>
          </w:tcPr>
          <w:p w14:paraId="5C66B1C4" w14:textId="77777777" w:rsidR="00094033" w:rsidRPr="00DF7226" w:rsidRDefault="00094033" w:rsidP="00DF7226">
            <w:pPr>
              <w:rPr>
                <w:rFonts w:cs="Arial"/>
                <w:color w:val="000000"/>
                <w:sz w:val="18"/>
                <w:szCs w:val="18"/>
                <w:lang w:eastAsia="en-GB"/>
              </w:rPr>
            </w:pPr>
          </w:p>
        </w:tc>
        <w:tc>
          <w:tcPr>
            <w:tcW w:w="960" w:type="dxa"/>
            <w:tcBorders>
              <w:top w:val="nil"/>
              <w:left w:val="single" w:sz="4" w:space="0" w:color="auto"/>
              <w:bottom w:val="nil"/>
              <w:right w:val="single" w:sz="4" w:space="0" w:color="auto"/>
            </w:tcBorders>
            <w:shd w:val="clear" w:color="000000" w:fill="FFFFFF"/>
            <w:noWrap/>
            <w:vAlign w:val="center"/>
            <w:hideMark/>
          </w:tcPr>
          <w:p w14:paraId="6ABE849E"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13</w:t>
            </w:r>
          </w:p>
        </w:tc>
        <w:tc>
          <w:tcPr>
            <w:tcW w:w="4210" w:type="dxa"/>
            <w:tcBorders>
              <w:top w:val="nil"/>
              <w:left w:val="single" w:sz="4" w:space="0" w:color="auto"/>
              <w:bottom w:val="nil"/>
              <w:right w:val="single" w:sz="4" w:space="0" w:color="auto"/>
            </w:tcBorders>
            <w:shd w:val="clear" w:color="000000" w:fill="FFFFFF"/>
            <w:noWrap/>
            <w:vAlign w:val="center"/>
            <w:hideMark/>
          </w:tcPr>
          <w:p w14:paraId="29F28820"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Partnership costs</w:t>
            </w:r>
          </w:p>
        </w:tc>
      </w:tr>
      <w:tr w:rsidR="00094033" w:rsidRPr="00DF7226" w14:paraId="1D44BBC6" w14:textId="77777777" w:rsidTr="00DF7226">
        <w:trPr>
          <w:trHeight w:val="290"/>
        </w:trPr>
        <w:tc>
          <w:tcPr>
            <w:tcW w:w="3964" w:type="dxa"/>
            <w:tcBorders>
              <w:top w:val="nil"/>
              <w:left w:val="single" w:sz="4" w:space="0" w:color="auto"/>
              <w:bottom w:val="nil"/>
              <w:right w:val="single" w:sz="4" w:space="0" w:color="auto"/>
            </w:tcBorders>
            <w:shd w:val="clear" w:color="000000" w:fill="FFFFFF"/>
            <w:noWrap/>
            <w:vAlign w:val="center"/>
            <w:hideMark/>
          </w:tcPr>
          <w:p w14:paraId="05057DF7"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Cumbria County Council</w:t>
            </w:r>
          </w:p>
        </w:tc>
        <w:tc>
          <w:tcPr>
            <w:tcW w:w="1067" w:type="dxa"/>
            <w:tcBorders>
              <w:top w:val="nil"/>
              <w:left w:val="single" w:sz="4" w:space="0" w:color="auto"/>
              <w:bottom w:val="nil"/>
              <w:right w:val="single" w:sz="4" w:space="0" w:color="auto"/>
            </w:tcBorders>
            <w:shd w:val="clear" w:color="000000" w:fill="FFFFFF"/>
            <w:noWrap/>
            <w:vAlign w:val="center"/>
            <w:hideMark/>
          </w:tcPr>
          <w:p w14:paraId="3EBE2EAB"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 </w:t>
            </w:r>
          </w:p>
        </w:tc>
        <w:tc>
          <w:tcPr>
            <w:tcW w:w="960" w:type="dxa"/>
            <w:tcBorders>
              <w:top w:val="nil"/>
              <w:left w:val="single" w:sz="4" w:space="0" w:color="auto"/>
              <w:bottom w:val="nil"/>
              <w:right w:val="single" w:sz="4" w:space="0" w:color="auto"/>
            </w:tcBorders>
            <w:shd w:val="clear" w:color="000000" w:fill="FFFFFF"/>
            <w:noWrap/>
            <w:vAlign w:val="center"/>
            <w:hideMark/>
          </w:tcPr>
          <w:p w14:paraId="211129F8"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54</w:t>
            </w:r>
          </w:p>
        </w:tc>
        <w:tc>
          <w:tcPr>
            <w:tcW w:w="4210" w:type="dxa"/>
            <w:tcBorders>
              <w:top w:val="nil"/>
              <w:left w:val="single" w:sz="4" w:space="0" w:color="auto"/>
              <w:bottom w:val="nil"/>
              <w:right w:val="single" w:sz="4" w:space="0" w:color="auto"/>
            </w:tcBorders>
            <w:shd w:val="clear" w:color="000000" w:fill="FFFFFF"/>
            <w:noWrap/>
            <w:vAlign w:val="center"/>
            <w:hideMark/>
          </w:tcPr>
          <w:p w14:paraId="2A83CC63"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 xml:space="preserve">ROW agreement </w:t>
            </w:r>
          </w:p>
        </w:tc>
      </w:tr>
      <w:tr w:rsidR="00094033" w:rsidRPr="00DF7226" w14:paraId="38867221" w14:textId="77777777" w:rsidTr="00DF7226">
        <w:trPr>
          <w:trHeight w:val="290"/>
        </w:trPr>
        <w:tc>
          <w:tcPr>
            <w:tcW w:w="3964" w:type="dxa"/>
            <w:tcBorders>
              <w:top w:val="nil"/>
              <w:left w:val="single" w:sz="4" w:space="0" w:color="auto"/>
              <w:bottom w:val="nil"/>
              <w:right w:val="single" w:sz="4" w:space="0" w:color="auto"/>
            </w:tcBorders>
            <w:shd w:val="clear" w:color="000000" w:fill="FFFFFF"/>
            <w:noWrap/>
            <w:vAlign w:val="center"/>
            <w:hideMark/>
          </w:tcPr>
          <w:p w14:paraId="70E44B2E"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Cumbria County Council</w:t>
            </w:r>
          </w:p>
        </w:tc>
        <w:tc>
          <w:tcPr>
            <w:tcW w:w="1067" w:type="dxa"/>
            <w:tcBorders>
              <w:top w:val="nil"/>
              <w:left w:val="single" w:sz="4" w:space="0" w:color="auto"/>
              <w:bottom w:val="nil"/>
              <w:right w:val="single" w:sz="4" w:space="0" w:color="auto"/>
            </w:tcBorders>
            <w:shd w:val="clear" w:color="000000" w:fill="FFFFFF"/>
            <w:noWrap/>
            <w:vAlign w:val="center"/>
            <w:hideMark/>
          </w:tcPr>
          <w:p w14:paraId="01252305"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 </w:t>
            </w:r>
          </w:p>
        </w:tc>
        <w:tc>
          <w:tcPr>
            <w:tcW w:w="960" w:type="dxa"/>
            <w:tcBorders>
              <w:top w:val="nil"/>
              <w:left w:val="single" w:sz="4" w:space="0" w:color="auto"/>
              <w:bottom w:val="nil"/>
              <w:right w:val="single" w:sz="4" w:space="0" w:color="auto"/>
            </w:tcBorders>
            <w:shd w:val="clear" w:color="000000" w:fill="FFFFFF"/>
            <w:noWrap/>
            <w:vAlign w:val="center"/>
            <w:hideMark/>
          </w:tcPr>
          <w:p w14:paraId="08BD1B4F"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50</w:t>
            </w:r>
          </w:p>
        </w:tc>
        <w:tc>
          <w:tcPr>
            <w:tcW w:w="4210" w:type="dxa"/>
            <w:tcBorders>
              <w:top w:val="nil"/>
              <w:left w:val="single" w:sz="4" w:space="0" w:color="auto"/>
              <w:bottom w:val="nil"/>
              <w:right w:val="single" w:sz="4" w:space="0" w:color="auto"/>
            </w:tcBorders>
            <w:shd w:val="clear" w:color="000000" w:fill="FFFFFF"/>
            <w:noWrap/>
            <w:vAlign w:val="center"/>
            <w:hideMark/>
          </w:tcPr>
          <w:p w14:paraId="59CD6AC8"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Cumbria Coastal community forest grant</w:t>
            </w:r>
          </w:p>
        </w:tc>
      </w:tr>
      <w:tr w:rsidR="00094033" w:rsidRPr="00DF7226" w14:paraId="62643BC2" w14:textId="77777777" w:rsidTr="00DF7226">
        <w:trPr>
          <w:trHeight w:val="290"/>
        </w:trPr>
        <w:tc>
          <w:tcPr>
            <w:tcW w:w="3964" w:type="dxa"/>
            <w:tcBorders>
              <w:top w:val="nil"/>
              <w:left w:val="single" w:sz="4" w:space="0" w:color="auto"/>
              <w:bottom w:val="nil"/>
              <w:right w:val="single" w:sz="4" w:space="0" w:color="auto"/>
            </w:tcBorders>
            <w:shd w:val="clear" w:color="000000" w:fill="FFFFFF"/>
            <w:noWrap/>
            <w:vAlign w:val="center"/>
            <w:hideMark/>
          </w:tcPr>
          <w:p w14:paraId="18D53AB3"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Cumbria Tourism</w:t>
            </w:r>
          </w:p>
        </w:tc>
        <w:tc>
          <w:tcPr>
            <w:tcW w:w="1067" w:type="dxa"/>
            <w:tcBorders>
              <w:top w:val="nil"/>
              <w:left w:val="single" w:sz="4" w:space="0" w:color="auto"/>
              <w:bottom w:val="nil"/>
              <w:right w:val="single" w:sz="4" w:space="0" w:color="auto"/>
            </w:tcBorders>
            <w:shd w:val="clear" w:color="000000" w:fill="FFFFFF"/>
            <w:noWrap/>
            <w:vAlign w:val="center"/>
            <w:hideMark/>
          </w:tcPr>
          <w:p w14:paraId="4739AF48"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35</w:t>
            </w:r>
          </w:p>
        </w:tc>
        <w:tc>
          <w:tcPr>
            <w:tcW w:w="960" w:type="dxa"/>
            <w:tcBorders>
              <w:top w:val="nil"/>
              <w:left w:val="single" w:sz="4" w:space="0" w:color="auto"/>
              <w:bottom w:val="nil"/>
              <w:right w:val="single" w:sz="4" w:space="0" w:color="auto"/>
            </w:tcBorders>
            <w:shd w:val="clear" w:color="000000" w:fill="FFFFFF"/>
            <w:noWrap/>
            <w:vAlign w:val="center"/>
            <w:hideMark/>
          </w:tcPr>
          <w:p w14:paraId="0B063739"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 </w:t>
            </w:r>
          </w:p>
        </w:tc>
        <w:tc>
          <w:tcPr>
            <w:tcW w:w="4210" w:type="dxa"/>
            <w:tcBorders>
              <w:top w:val="nil"/>
              <w:left w:val="single" w:sz="4" w:space="0" w:color="auto"/>
              <w:bottom w:val="nil"/>
              <w:right w:val="single" w:sz="4" w:space="0" w:color="auto"/>
            </w:tcBorders>
            <w:shd w:val="clear" w:color="000000" w:fill="FFFFFF"/>
            <w:noWrap/>
            <w:vAlign w:val="center"/>
            <w:hideMark/>
          </w:tcPr>
          <w:p w14:paraId="088145ED"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 xml:space="preserve">Contributions to projects and TVMG funding </w:t>
            </w:r>
          </w:p>
        </w:tc>
      </w:tr>
      <w:tr w:rsidR="00094033" w:rsidRPr="00DF7226" w14:paraId="641D47F6" w14:textId="77777777" w:rsidTr="00DF7226">
        <w:trPr>
          <w:trHeight w:val="290"/>
        </w:trPr>
        <w:tc>
          <w:tcPr>
            <w:tcW w:w="3964" w:type="dxa"/>
            <w:tcBorders>
              <w:top w:val="nil"/>
              <w:left w:val="single" w:sz="4" w:space="0" w:color="auto"/>
              <w:bottom w:val="nil"/>
              <w:right w:val="single" w:sz="4" w:space="0" w:color="auto"/>
            </w:tcBorders>
            <w:shd w:val="clear" w:color="000000" w:fill="FFFFFF"/>
            <w:noWrap/>
            <w:vAlign w:val="center"/>
            <w:hideMark/>
          </w:tcPr>
          <w:p w14:paraId="3A557731"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Great Place</w:t>
            </w:r>
          </w:p>
        </w:tc>
        <w:tc>
          <w:tcPr>
            <w:tcW w:w="1067" w:type="dxa"/>
            <w:tcBorders>
              <w:top w:val="nil"/>
              <w:left w:val="single" w:sz="4" w:space="0" w:color="auto"/>
              <w:bottom w:val="nil"/>
              <w:right w:val="single" w:sz="4" w:space="0" w:color="auto"/>
            </w:tcBorders>
            <w:shd w:val="clear" w:color="000000" w:fill="FFFFFF"/>
            <w:noWrap/>
            <w:vAlign w:val="center"/>
            <w:hideMark/>
          </w:tcPr>
          <w:p w14:paraId="7BCA53FC"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5</w:t>
            </w:r>
          </w:p>
        </w:tc>
        <w:tc>
          <w:tcPr>
            <w:tcW w:w="960" w:type="dxa"/>
            <w:tcBorders>
              <w:top w:val="nil"/>
              <w:left w:val="single" w:sz="4" w:space="0" w:color="auto"/>
              <w:bottom w:val="nil"/>
              <w:right w:val="single" w:sz="4" w:space="0" w:color="auto"/>
            </w:tcBorders>
            <w:shd w:val="clear" w:color="000000" w:fill="FFFFFF"/>
            <w:noWrap/>
            <w:vAlign w:val="center"/>
            <w:hideMark/>
          </w:tcPr>
          <w:p w14:paraId="1C04EBCD"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 </w:t>
            </w:r>
          </w:p>
        </w:tc>
        <w:tc>
          <w:tcPr>
            <w:tcW w:w="4210" w:type="dxa"/>
            <w:tcBorders>
              <w:top w:val="nil"/>
              <w:left w:val="single" w:sz="4" w:space="0" w:color="auto"/>
              <w:bottom w:val="nil"/>
              <w:right w:val="single" w:sz="4" w:space="0" w:color="auto"/>
            </w:tcBorders>
            <w:shd w:val="clear" w:color="000000" w:fill="FFFFFF"/>
            <w:noWrap/>
            <w:vAlign w:val="center"/>
            <w:hideMark/>
          </w:tcPr>
          <w:p w14:paraId="03D6D7B1"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Subscription</w:t>
            </w:r>
          </w:p>
        </w:tc>
      </w:tr>
      <w:tr w:rsidR="00094033" w:rsidRPr="00DF7226" w14:paraId="60B8E43B" w14:textId="77777777" w:rsidTr="00DF7226">
        <w:trPr>
          <w:trHeight w:val="290"/>
        </w:trPr>
        <w:tc>
          <w:tcPr>
            <w:tcW w:w="3964" w:type="dxa"/>
            <w:tcBorders>
              <w:top w:val="nil"/>
              <w:left w:val="single" w:sz="4" w:space="0" w:color="auto"/>
              <w:bottom w:val="nil"/>
              <w:right w:val="single" w:sz="4" w:space="0" w:color="auto"/>
            </w:tcBorders>
            <w:shd w:val="clear" w:color="000000" w:fill="FFFFFF"/>
            <w:noWrap/>
            <w:vAlign w:val="center"/>
            <w:hideMark/>
          </w:tcPr>
          <w:p w14:paraId="525E9E14"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Cumbria Living Heritage</w:t>
            </w:r>
          </w:p>
        </w:tc>
        <w:tc>
          <w:tcPr>
            <w:tcW w:w="1067" w:type="dxa"/>
            <w:tcBorders>
              <w:top w:val="nil"/>
              <w:left w:val="single" w:sz="4" w:space="0" w:color="auto"/>
              <w:bottom w:val="nil"/>
              <w:right w:val="single" w:sz="4" w:space="0" w:color="auto"/>
            </w:tcBorders>
            <w:shd w:val="clear" w:color="000000" w:fill="FFFFFF"/>
            <w:noWrap/>
            <w:vAlign w:val="center"/>
            <w:hideMark/>
          </w:tcPr>
          <w:p w14:paraId="12E34CD2"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4</w:t>
            </w:r>
          </w:p>
        </w:tc>
        <w:tc>
          <w:tcPr>
            <w:tcW w:w="960" w:type="dxa"/>
            <w:tcBorders>
              <w:top w:val="nil"/>
              <w:left w:val="single" w:sz="4" w:space="0" w:color="auto"/>
              <w:bottom w:val="nil"/>
              <w:right w:val="single" w:sz="4" w:space="0" w:color="auto"/>
            </w:tcBorders>
            <w:shd w:val="clear" w:color="000000" w:fill="FFFFFF"/>
            <w:noWrap/>
            <w:vAlign w:val="center"/>
            <w:hideMark/>
          </w:tcPr>
          <w:p w14:paraId="3506C8D1"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 </w:t>
            </w:r>
          </w:p>
        </w:tc>
        <w:tc>
          <w:tcPr>
            <w:tcW w:w="4210" w:type="dxa"/>
            <w:tcBorders>
              <w:top w:val="nil"/>
              <w:left w:val="single" w:sz="4" w:space="0" w:color="auto"/>
              <w:bottom w:val="nil"/>
              <w:right w:val="single" w:sz="4" w:space="0" w:color="auto"/>
            </w:tcBorders>
            <w:shd w:val="clear" w:color="000000" w:fill="FFFFFF"/>
            <w:noWrap/>
            <w:vAlign w:val="center"/>
            <w:hideMark/>
          </w:tcPr>
          <w:p w14:paraId="6052BA10"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Subscription</w:t>
            </w:r>
          </w:p>
        </w:tc>
      </w:tr>
      <w:tr w:rsidR="00094033" w:rsidRPr="00DF7226" w14:paraId="2BFF817C" w14:textId="77777777" w:rsidTr="00DF7226">
        <w:trPr>
          <w:trHeight w:val="290"/>
        </w:trPr>
        <w:tc>
          <w:tcPr>
            <w:tcW w:w="3964" w:type="dxa"/>
            <w:tcBorders>
              <w:top w:val="nil"/>
              <w:left w:val="single" w:sz="4" w:space="0" w:color="auto"/>
              <w:bottom w:val="nil"/>
              <w:right w:val="single" w:sz="4" w:space="0" w:color="auto"/>
            </w:tcBorders>
            <w:shd w:val="clear" w:color="000000" w:fill="FFFFFF"/>
            <w:noWrap/>
            <w:vAlign w:val="center"/>
            <w:hideMark/>
          </w:tcPr>
          <w:p w14:paraId="3018A545"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World Heritage</w:t>
            </w:r>
          </w:p>
        </w:tc>
        <w:tc>
          <w:tcPr>
            <w:tcW w:w="1067" w:type="dxa"/>
            <w:tcBorders>
              <w:top w:val="nil"/>
              <w:left w:val="single" w:sz="4" w:space="0" w:color="auto"/>
              <w:bottom w:val="nil"/>
              <w:right w:val="single" w:sz="4" w:space="0" w:color="auto"/>
            </w:tcBorders>
            <w:shd w:val="clear" w:color="000000" w:fill="FFFFFF"/>
            <w:noWrap/>
            <w:vAlign w:val="center"/>
            <w:hideMark/>
          </w:tcPr>
          <w:p w14:paraId="3C8908E1"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1</w:t>
            </w:r>
          </w:p>
        </w:tc>
        <w:tc>
          <w:tcPr>
            <w:tcW w:w="960" w:type="dxa"/>
            <w:tcBorders>
              <w:top w:val="nil"/>
              <w:left w:val="single" w:sz="4" w:space="0" w:color="auto"/>
              <w:bottom w:val="nil"/>
              <w:right w:val="single" w:sz="4" w:space="0" w:color="auto"/>
            </w:tcBorders>
            <w:shd w:val="clear" w:color="000000" w:fill="FFFFFF"/>
            <w:noWrap/>
            <w:vAlign w:val="center"/>
            <w:hideMark/>
          </w:tcPr>
          <w:p w14:paraId="70267E25" w14:textId="77777777" w:rsidR="00094033" w:rsidRPr="00DF7226" w:rsidRDefault="00094033" w:rsidP="00DF7226">
            <w:pPr>
              <w:jc w:val="right"/>
              <w:rPr>
                <w:rFonts w:cs="Arial"/>
                <w:color w:val="000000"/>
                <w:sz w:val="18"/>
                <w:szCs w:val="18"/>
                <w:lang w:eastAsia="en-GB"/>
              </w:rPr>
            </w:pPr>
            <w:r w:rsidRPr="00DF7226">
              <w:rPr>
                <w:rFonts w:cs="Arial"/>
                <w:color w:val="000000"/>
                <w:sz w:val="18"/>
                <w:szCs w:val="18"/>
                <w:lang w:eastAsia="en-GB"/>
              </w:rPr>
              <w:t> </w:t>
            </w:r>
          </w:p>
        </w:tc>
        <w:tc>
          <w:tcPr>
            <w:tcW w:w="4210" w:type="dxa"/>
            <w:tcBorders>
              <w:top w:val="nil"/>
              <w:left w:val="single" w:sz="4" w:space="0" w:color="auto"/>
              <w:bottom w:val="nil"/>
              <w:right w:val="single" w:sz="4" w:space="0" w:color="auto"/>
            </w:tcBorders>
            <w:shd w:val="clear" w:color="000000" w:fill="FFFFFF"/>
            <w:noWrap/>
            <w:vAlign w:val="center"/>
            <w:hideMark/>
          </w:tcPr>
          <w:p w14:paraId="0FC24C8D"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Subscription</w:t>
            </w:r>
          </w:p>
        </w:tc>
      </w:tr>
      <w:tr w:rsidR="00094033" w:rsidRPr="00DF7226" w14:paraId="15BF49D7" w14:textId="77777777" w:rsidTr="00DF7226">
        <w:trPr>
          <w:trHeight w:val="9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41737BC"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 </w:t>
            </w:r>
          </w:p>
        </w:tc>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09C1D7EE"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857483"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 </w:t>
            </w:r>
          </w:p>
        </w:tc>
        <w:tc>
          <w:tcPr>
            <w:tcW w:w="4210" w:type="dxa"/>
            <w:tcBorders>
              <w:top w:val="nil"/>
              <w:left w:val="single" w:sz="4" w:space="0" w:color="auto"/>
              <w:bottom w:val="single" w:sz="4" w:space="0" w:color="auto"/>
              <w:right w:val="single" w:sz="4" w:space="0" w:color="auto"/>
            </w:tcBorders>
            <w:shd w:val="clear" w:color="auto" w:fill="auto"/>
            <w:noWrap/>
            <w:vAlign w:val="center"/>
            <w:hideMark/>
          </w:tcPr>
          <w:p w14:paraId="56D3C87D" w14:textId="77777777" w:rsidR="00094033" w:rsidRPr="00DF7226" w:rsidRDefault="00094033" w:rsidP="00DF7226">
            <w:pPr>
              <w:rPr>
                <w:rFonts w:cs="Arial"/>
                <w:color w:val="000000"/>
                <w:sz w:val="18"/>
                <w:szCs w:val="18"/>
                <w:lang w:eastAsia="en-GB"/>
              </w:rPr>
            </w:pPr>
            <w:r w:rsidRPr="00DF7226">
              <w:rPr>
                <w:rFonts w:cs="Arial"/>
                <w:color w:val="000000"/>
                <w:sz w:val="18"/>
                <w:szCs w:val="18"/>
                <w:lang w:eastAsia="en-GB"/>
              </w:rPr>
              <w:t> </w:t>
            </w:r>
          </w:p>
        </w:tc>
      </w:tr>
    </w:tbl>
    <w:p w14:paraId="5B92630C" w14:textId="77777777" w:rsidR="004817B7" w:rsidRPr="00F71FFB" w:rsidRDefault="004817B7" w:rsidP="0070459C"/>
    <w:p w14:paraId="485A4689" w14:textId="77777777" w:rsidR="00262CA8" w:rsidRPr="00F71FFB" w:rsidRDefault="003B5B4C" w:rsidP="0070459C">
      <w:bookmarkStart w:id="203" w:name="_MON_1528374379"/>
      <w:bookmarkStart w:id="204" w:name="_MON_1558614612"/>
      <w:bookmarkStart w:id="205" w:name="_MON_1558614718"/>
      <w:bookmarkEnd w:id="203"/>
      <w:bookmarkEnd w:id="204"/>
      <w:bookmarkEnd w:id="205"/>
      <w:r w:rsidRPr="00F71FFB">
        <w:t>Details of Members</w:t>
      </w:r>
      <w:r w:rsidR="006514FD" w:rsidRPr="00F71FFB">
        <w:t xml:space="preserve"> disclosable pecuniary interests</w:t>
      </w:r>
      <w:r w:rsidRPr="00F71FFB">
        <w:t xml:space="preserve"> </w:t>
      </w:r>
      <w:r w:rsidR="00256918" w:rsidRPr="00F71FFB">
        <w:t xml:space="preserve">are </w:t>
      </w:r>
      <w:r w:rsidR="006514FD" w:rsidRPr="00F71FFB">
        <w:t>available</w:t>
      </w:r>
      <w:r w:rsidRPr="00F71FFB">
        <w:t xml:space="preserve"> on the LDNPA website</w:t>
      </w:r>
      <w:r w:rsidR="00256918" w:rsidRPr="00F71FFB">
        <w:t xml:space="preserve"> or </w:t>
      </w:r>
      <w:r w:rsidR="006514FD" w:rsidRPr="00F71FFB">
        <w:t xml:space="preserve">can be </w:t>
      </w:r>
      <w:r w:rsidR="00256918" w:rsidRPr="00F71FFB">
        <w:t xml:space="preserve">inspected at the LDNPA head office in Kendal during office hours. Details of </w:t>
      </w:r>
      <w:r w:rsidR="001A5EEA" w:rsidRPr="00F71FFB">
        <w:t>officers’</w:t>
      </w:r>
      <w:r w:rsidR="00256918" w:rsidRPr="00F71FFB">
        <w:t xml:space="preserve"> interests are recorded in the Register of Officers Interests which can also be inspected at the head office in Kendal during working hours.</w:t>
      </w:r>
    </w:p>
    <w:p w14:paraId="485A468A" w14:textId="77777777" w:rsidR="00282689" w:rsidRPr="00F71FFB" w:rsidRDefault="00282689" w:rsidP="0070459C"/>
    <w:p w14:paraId="485A468B" w14:textId="65F9AA8B" w:rsidR="005C1D0A" w:rsidRDefault="00E3498F" w:rsidP="0070459C">
      <w:pPr>
        <w:pStyle w:val="BodyTextIndent"/>
        <w:spacing w:before="60" w:after="60" w:line="240" w:lineRule="atLeast"/>
        <w:ind w:left="0"/>
      </w:pPr>
      <w:r w:rsidRPr="00F71FFB">
        <w:t>T</w:t>
      </w:r>
      <w:r w:rsidR="00E00863" w:rsidRPr="00F71FFB">
        <w:t xml:space="preserve">he Authority’s transactions with Cumbria </w:t>
      </w:r>
      <w:r w:rsidR="00094033">
        <w:t>Local Government</w:t>
      </w:r>
      <w:r w:rsidR="00E00863" w:rsidRPr="00F71FFB">
        <w:t xml:space="preserve"> Pension </w:t>
      </w:r>
      <w:r w:rsidR="0091458D" w:rsidRPr="00F71FFB">
        <w:t>Fund</w:t>
      </w:r>
      <w:r w:rsidR="001A0B31" w:rsidRPr="00F71FFB">
        <w:t xml:space="preserve"> </w:t>
      </w:r>
      <w:r w:rsidR="0091458D" w:rsidRPr="00F71FFB">
        <w:t xml:space="preserve">are shown in note </w:t>
      </w:r>
      <w:r w:rsidR="007A6594" w:rsidRPr="00F71FFB">
        <w:t>1</w:t>
      </w:r>
      <w:r w:rsidR="00094033">
        <w:t>6</w:t>
      </w:r>
      <w:r w:rsidR="00E00863" w:rsidRPr="00F71FFB">
        <w:t xml:space="preserve"> to the Financial Statements</w:t>
      </w:r>
      <w:r w:rsidR="00524D8C" w:rsidRPr="00F71FFB">
        <w:t>.</w:t>
      </w:r>
    </w:p>
    <w:p w14:paraId="485A468C" w14:textId="77777777" w:rsidR="00B51EA9" w:rsidRDefault="00B51EA9" w:rsidP="0070459C">
      <w:pPr>
        <w:pStyle w:val="Subtitle"/>
        <w:numPr>
          <w:ilvl w:val="0"/>
          <w:numId w:val="0"/>
        </w:numPr>
        <w:tabs>
          <w:tab w:val="left" w:pos="-709"/>
          <w:tab w:val="left" w:pos="-284"/>
          <w:tab w:val="left" w:pos="-142"/>
          <w:tab w:val="left" w:pos="0"/>
          <w:tab w:val="left" w:pos="567"/>
        </w:tabs>
        <w:spacing w:line="240" w:lineRule="atLeast"/>
        <w:ind w:right="680"/>
        <w:rPr>
          <w:rFonts w:ascii="Arial" w:hAnsi="Arial" w:cs="Arial"/>
          <w:b/>
          <w:i w:val="0"/>
          <w:sz w:val="23"/>
          <w:szCs w:val="23"/>
          <w:u w:val="none"/>
        </w:rPr>
      </w:pPr>
    </w:p>
    <w:p w14:paraId="1D117861" w14:textId="77777777" w:rsidR="008F5F09" w:rsidRDefault="008F5F09" w:rsidP="0070459C">
      <w:pPr>
        <w:rPr>
          <w:lang w:eastAsia="en-GB"/>
        </w:rPr>
      </w:pPr>
    </w:p>
    <w:p w14:paraId="3F4CE1C4" w14:textId="77777777" w:rsidR="008F5F09" w:rsidRDefault="008F5F09" w:rsidP="0070459C">
      <w:pPr>
        <w:rPr>
          <w:lang w:eastAsia="en-GB"/>
        </w:rPr>
      </w:pPr>
    </w:p>
    <w:p w14:paraId="10694BC9" w14:textId="77777777" w:rsidR="008F5F09" w:rsidRDefault="008F5F09" w:rsidP="0070459C">
      <w:pPr>
        <w:rPr>
          <w:lang w:eastAsia="en-GB"/>
        </w:rPr>
      </w:pPr>
    </w:p>
    <w:p w14:paraId="6AF30F24" w14:textId="77777777" w:rsidR="008F5F09" w:rsidRDefault="008F5F09" w:rsidP="0070459C">
      <w:pPr>
        <w:rPr>
          <w:lang w:eastAsia="en-GB"/>
        </w:rPr>
      </w:pPr>
    </w:p>
    <w:p w14:paraId="43D42030" w14:textId="77777777" w:rsidR="008F5F09" w:rsidRDefault="008F5F09" w:rsidP="0070459C">
      <w:pPr>
        <w:rPr>
          <w:lang w:eastAsia="en-GB"/>
        </w:rPr>
      </w:pPr>
    </w:p>
    <w:p w14:paraId="273A3F76" w14:textId="77777777" w:rsidR="008F5F09" w:rsidRDefault="008F5F09" w:rsidP="0070459C">
      <w:pPr>
        <w:rPr>
          <w:lang w:eastAsia="en-GB"/>
        </w:rPr>
      </w:pPr>
    </w:p>
    <w:p w14:paraId="469D6AC0" w14:textId="77777777" w:rsidR="008F5F09" w:rsidRDefault="008F5F09" w:rsidP="0070459C">
      <w:pPr>
        <w:rPr>
          <w:lang w:eastAsia="en-GB"/>
        </w:rPr>
      </w:pPr>
    </w:p>
    <w:p w14:paraId="68377E26" w14:textId="77777777" w:rsidR="008F5F09" w:rsidRDefault="008F5F09" w:rsidP="0070459C">
      <w:pPr>
        <w:rPr>
          <w:lang w:eastAsia="en-GB"/>
        </w:rPr>
      </w:pPr>
    </w:p>
    <w:p w14:paraId="03D9020B" w14:textId="77777777" w:rsidR="008F5F09" w:rsidRDefault="008F5F09" w:rsidP="0070459C">
      <w:pPr>
        <w:rPr>
          <w:lang w:eastAsia="en-GB"/>
        </w:rPr>
      </w:pPr>
    </w:p>
    <w:p w14:paraId="486DF164" w14:textId="77777777" w:rsidR="008F5F09" w:rsidRDefault="008F5F09" w:rsidP="0070459C">
      <w:pPr>
        <w:rPr>
          <w:lang w:eastAsia="en-GB"/>
        </w:rPr>
      </w:pPr>
    </w:p>
    <w:p w14:paraId="6D980146" w14:textId="77777777" w:rsidR="008F5F09" w:rsidRDefault="008F5F09" w:rsidP="0070459C">
      <w:pPr>
        <w:rPr>
          <w:lang w:eastAsia="en-GB"/>
        </w:rPr>
      </w:pPr>
    </w:p>
    <w:p w14:paraId="721AD890" w14:textId="77777777" w:rsidR="008F5F09" w:rsidRDefault="008F5F09" w:rsidP="0070459C">
      <w:pPr>
        <w:rPr>
          <w:lang w:eastAsia="en-GB"/>
        </w:rPr>
      </w:pPr>
    </w:p>
    <w:p w14:paraId="27E684B4" w14:textId="77777777" w:rsidR="008F5F09" w:rsidRPr="008F5F09" w:rsidRDefault="008F5F09" w:rsidP="0070459C">
      <w:pPr>
        <w:rPr>
          <w:lang w:eastAsia="en-GB"/>
        </w:rPr>
      </w:pPr>
    </w:p>
    <w:p w14:paraId="485A468D" w14:textId="5A3D910A" w:rsidR="00E00863" w:rsidRPr="00BB6DFC" w:rsidRDefault="00E00863" w:rsidP="0070459C">
      <w:pPr>
        <w:pStyle w:val="Subtitle"/>
        <w:numPr>
          <w:ilvl w:val="0"/>
          <w:numId w:val="47"/>
        </w:numPr>
        <w:tabs>
          <w:tab w:val="left" w:pos="-709"/>
          <w:tab w:val="left" w:pos="-284"/>
          <w:tab w:val="left" w:pos="-142"/>
          <w:tab w:val="left" w:pos="0"/>
          <w:tab w:val="left" w:pos="567"/>
        </w:tabs>
        <w:spacing w:line="240" w:lineRule="atLeast"/>
        <w:ind w:left="0" w:right="680" w:firstLine="0"/>
        <w:rPr>
          <w:rFonts w:ascii="Arial" w:eastAsia="Times New Roman" w:hAnsi="Arial"/>
          <w:b/>
          <w:i w:val="0"/>
          <w:iCs w:val="0"/>
          <w:spacing w:val="0"/>
          <w:sz w:val="23"/>
          <w:szCs w:val="23"/>
          <w:u w:val="none"/>
          <w:lang w:eastAsia="en-US"/>
        </w:rPr>
      </w:pPr>
      <w:bookmarkStart w:id="206" w:name="_Toc167965806"/>
      <w:r w:rsidRPr="00BB6DFC">
        <w:rPr>
          <w:rStyle w:val="Heading2Char"/>
          <w:i w:val="0"/>
          <w:iCs w:val="0"/>
          <w:u w:val="none"/>
        </w:rPr>
        <w:t xml:space="preserve">Financing </w:t>
      </w:r>
      <w:r w:rsidR="007D68CF" w:rsidRPr="00BB6DFC">
        <w:rPr>
          <w:rStyle w:val="Heading2Char"/>
          <w:i w:val="0"/>
          <w:iCs w:val="0"/>
          <w:u w:val="none"/>
        </w:rPr>
        <w:t>and</w:t>
      </w:r>
      <w:r w:rsidRPr="00BB6DFC">
        <w:rPr>
          <w:rStyle w:val="Heading2Char"/>
          <w:i w:val="0"/>
          <w:iCs w:val="0"/>
          <w:u w:val="none"/>
        </w:rPr>
        <w:t xml:space="preserve"> Investment Income </w:t>
      </w:r>
      <w:r w:rsidR="007D68CF" w:rsidRPr="00BB6DFC">
        <w:rPr>
          <w:rStyle w:val="Heading2Char"/>
          <w:i w:val="0"/>
          <w:iCs w:val="0"/>
          <w:u w:val="none"/>
        </w:rPr>
        <w:t>and</w:t>
      </w:r>
      <w:r w:rsidRPr="00BB6DFC">
        <w:rPr>
          <w:rStyle w:val="Heading2Char"/>
          <w:i w:val="0"/>
          <w:iCs w:val="0"/>
          <w:u w:val="none"/>
        </w:rPr>
        <w:t xml:space="preserve"> Expenditure</w:t>
      </w:r>
      <w:bookmarkEnd w:id="206"/>
      <w:r w:rsidR="007D2E50" w:rsidRPr="00BB6DFC">
        <w:rPr>
          <w:rFonts w:ascii="Arial" w:eastAsia="Times New Roman" w:hAnsi="Arial"/>
          <w:b/>
          <w:i w:val="0"/>
          <w:iCs w:val="0"/>
          <w:spacing w:val="0"/>
          <w:sz w:val="23"/>
          <w:szCs w:val="23"/>
          <w:u w:val="none"/>
          <w:lang w:eastAsia="en-US"/>
        </w:rPr>
        <w:t xml:space="preserve"> </w:t>
      </w:r>
    </w:p>
    <w:p w14:paraId="6C531890" w14:textId="4AE23C54" w:rsidR="003334A3" w:rsidRPr="00BB6DFC" w:rsidRDefault="003334A3" w:rsidP="0070459C"/>
    <w:tbl>
      <w:tblPr>
        <w:tblW w:w="10495" w:type="dxa"/>
        <w:tblInd w:w="-577" w:type="dxa"/>
        <w:tblLook w:val="04A0" w:firstRow="1" w:lastRow="0" w:firstColumn="1" w:lastColumn="0" w:noHBand="0" w:noVBand="1"/>
      </w:tblPr>
      <w:tblGrid>
        <w:gridCol w:w="278"/>
        <w:gridCol w:w="852"/>
        <w:gridCol w:w="987"/>
        <w:gridCol w:w="850"/>
        <w:gridCol w:w="4678"/>
        <w:gridCol w:w="852"/>
        <w:gridCol w:w="990"/>
        <w:gridCol w:w="730"/>
        <w:gridCol w:w="278"/>
      </w:tblGrid>
      <w:tr w:rsidR="00E46377" w:rsidRPr="00BB6DFC" w14:paraId="6281E07E" w14:textId="77777777" w:rsidTr="008F5F09">
        <w:trPr>
          <w:trHeight w:val="280"/>
        </w:trPr>
        <w:tc>
          <w:tcPr>
            <w:tcW w:w="278" w:type="dxa"/>
            <w:tcBorders>
              <w:top w:val="single" w:sz="4" w:space="0" w:color="auto"/>
              <w:left w:val="single" w:sz="4" w:space="0" w:color="auto"/>
              <w:right w:val="nil"/>
            </w:tcBorders>
            <w:shd w:val="clear" w:color="000000" w:fill="000000"/>
            <w:noWrap/>
            <w:vAlign w:val="center"/>
            <w:hideMark/>
          </w:tcPr>
          <w:p w14:paraId="18A93038" w14:textId="77777777" w:rsidR="003334A3" w:rsidRPr="00BB6DFC" w:rsidRDefault="003334A3" w:rsidP="0070459C">
            <w:pPr>
              <w:rPr>
                <w:rFonts w:cs="Arial"/>
                <w:color w:val="FFFFFF"/>
                <w:sz w:val="22"/>
                <w:szCs w:val="22"/>
                <w:lang w:eastAsia="en-GB"/>
              </w:rPr>
            </w:pPr>
            <w:r w:rsidRPr="00BB6DFC">
              <w:rPr>
                <w:rFonts w:cs="Arial"/>
                <w:color w:val="FFFFFF"/>
                <w:sz w:val="22"/>
                <w:szCs w:val="22"/>
                <w:lang w:eastAsia="en-GB"/>
              </w:rPr>
              <w:t> </w:t>
            </w:r>
          </w:p>
        </w:tc>
        <w:tc>
          <w:tcPr>
            <w:tcW w:w="2689" w:type="dxa"/>
            <w:gridSpan w:val="3"/>
            <w:tcBorders>
              <w:top w:val="single" w:sz="4" w:space="0" w:color="auto"/>
              <w:left w:val="nil"/>
              <w:right w:val="nil"/>
            </w:tcBorders>
            <w:shd w:val="clear" w:color="000000" w:fill="000000"/>
            <w:noWrap/>
            <w:vAlign w:val="center"/>
            <w:hideMark/>
          </w:tcPr>
          <w:p w14:paraId="2DAB930F" w14:textId="1C94EA19" w:rsidR="003334A3" w:rsidRPr="00BB6DFC" w:rsidRDefault="003334A3" w:rsidP="0070459C">
            <w:pPr>
              <w:jc w:val="center"/>
              <w:rPr>
                <w:rFonts w:cs="Arial"/>
                <w:b/>
                <w:bCs/>
                <w:color w:val="FFFFFF"/>
                <w:sz w:val="22"/>
                <w:szCs w:val="22"/>
                <w:lang w:eastAsia="en-GB"/>
              </w:rPr>
            </w:pPr>
            <w:r w:rsidRPr="00BB6DFC">
              <w:rPr>
                <w:rFonts w:cs="Arial"/>
                <w:b/>
                <w:bCs/>
                <w:color w:val="FFFFFF"/>
                <w:sz w:val="22"/>
                <w:szCs w:val="22"/>
                <w:lang w:eastAsia="en-GB"/>
              </w:rPr>
              <w:t>202</w:t>
            </w:r>
            <w:r w:rsidR="00C329A3">
              <w:rPr>
                <w:rFonts w:cs="Arial"/>
                <w:b/>
                <w:bCs/>
                <w:color w:val="FFFFFF"/>
                <w:sz w:val="22"/>
                <w:szCs w:val="22"/>
                <w:lang w:eastAsia="en-GB"/>
              </w:rPr>
              <w:t>2</w:t>
            </w:r>
            <w:r w:rsidRPr="00BB6DFC">
              <w:rPr>
                <w:rFonts w:cs="Arial"/>
                <w:b/>
                <w:bCs/>
                <w:color w:val="FFFFFF"/>
                <w:sz w:val="22"/>
                <w:szCs w:val="22"/>
                <w:lang w:eastAsia="en-GB"/>
              </w:rPr>
              <w:t>/2</w:t>
            </w:r>
            <w:r w:rsidR="00C329A3">
              <w:rPr>
                <w:rFonts w:cs="Arial"/>
                <w:b/>
                <w:bCs/>
                <w:color w:val="FFFFFF"/>
                <w:sz w:val="22"/>
                <w:szCs w:val="22"/>
                <w:lang w:eastAsia="en-GB"/>
              </w:rPr>
              <w:t>3</w:t>
            </w:r>
          </w:p>
        </w:tc>
        <w:tc>
          <w:tcPr>
            <w:tcW w:w="4678" w:type="dxa"/>
            <w:tcBorders>
              <w:top w:val="single" w:sz="4" w:space="0" w:color="auto"/>
              <w:left w:val="nil"/>
              <w:right w:val="nil"/>
            </w:tcBorders>
            <w:shd w:val="clear" w:color="000000" w:fill="000000"/>
            <w:noWrap/>
            <w:vAlign w:val="center"/>
            <w:hideMark/>
          </w:tcPr>
          <w:p w14:paraId="2A358190" w14:textId="77777777" w:rsidR="003334A3" w:rsidRPr="00BB6DFC" w:rsidRDefault="003334A3" w:rsidP="0070459C">
            <w:pPr>
              <w:rPr>
                <w:rFonts w:cs="Arial"/>
                <w:color w:val="FFFFFF"/>
                <w:sz w:val="22"/>
                <w:szCs w:val="22"/>
                <w:lang w:eastAsia="en-GB"/>
              </w:rPr>
            </w:pPr>
            <w:r w:rsidRPr="00BB6DFC">
              <w:rPr>
                <w:rFonts w:cs="Arial"/>
                <w:color w:val="FFFFFF"/>
                <w:sz w:val="22"/>
                <w:szCs w:val="22"/>
                <w:lang w:eastAsia="en-GB"/>
              </w:rPr>
              <w:t> </w:t>
            </w:r>
          </w:p>
        </w:tc>
        <w:tc>
          <w:tcPr>
            <w:tcW w:w="2572" w:type="dxa"/>
            <w:gridSpan w:val="3"/>
            <w:tcBorders>
              <w:top w:val="single" w:sz="4" w:space="0" w:color="auto"/>
              <w:left w:val="nil"/>
              <w:right w:val="nil"/>
            </w:tcBorders>
            <w:shd w:val="clear" w:color="000000" w:fill="000000"/>
            <w:noWrap/>
            <w:vAlign w:val="center"/>
            <w:hideMark/>
          </w:tcPr>
          <w:p w14:paraId="61B8465B" w14:textId="70A14AB0" w:rsidR="003334A3" w:rsidRPr="00BB6DFC" w:rsidRDefault="003334A3" w:rsidP="0070459C">
            <w:pPr>
              <w:jc w:val="center"/>
              <w:rPr>
                <w:rFonts w:cs="Arial"/>
                <w:b/>
                <w:bCs/>
                <w:color w:val="FFFFFF"/>
                <w:sz w:val="22"/>
                <w:szCs w:val="22"/>
                <w:lang w:eastAsia="en-GB"/>
              </w:rPr>
            </w:pPr>
            <w:r w:rsidRPr="00BB6DFC">
              <w:rPr>
                <w:rFonts w:cs="Arial"/>
                <w:b/>
                <w:bCs/>
                <w:color w:val="FFFFFF"/>
                <w:sz w:val="22"/>
                <w:szCs w:val="22"/>
                <w:lang w:eastAsia="en-GB"/>
              </w:rPr>
              <w:t>202</w:t>
            </w:r>
            <w:r w:rsidR="00C329A3">
              <w:rPr>
                <w:rFonts w:cs="Arial"/>
                <w:b/>
                <w:bCs/>
                <w:color w:val="FFFFFF"/>
                <w:sz w:val="22"/>
                <w:szCs w:val="22"/>
                <w:lang w:eastAsia="en-GB"/>
              </w:rPr>
              <w:t>3</w:t>
            </w:r>
            <w:r w:rsidRPr="00BB6DFC">
              <w:rPr>
                <w:rFonts w:cs="Arial"/>
                <w:b/>
                <w:bCs/>
                <w:color w:val="FFFFFF"/>
                <w:sz w:val="22"/>
                <w:szCs w:val="22"/>
                <w:lang w:eastAsia="en-GB"/>
              </w:rPr>
              <w:t>/2</w:t>
            </w:r>
            <w:r w:rsidR="00C329A3">
              <w:rPr>
                <w:rFonts w:cs="Arial"/>
                <w:b/>
                <w:bCs/>
                <w:color w:val="FFFFFF"/>
                <w:sz w:val="22"/>
                <w:szCs w:val="22"/>
                <w:lang w:eastAsia="en-GB"/>
              </w:rPr>
              <w:t>4</w:t>
            </w:r>
          </w:p>
        </w:tc>
        <w:tc>
          <w:tcPr>
            <w:tcW w:w="278" w:type="dxa"/>
            <w:tcBorders>
              <w:top w:val="single" w:sz="4" w:space="0" w:color="auto"/>
              <w:left w:val="nil"/>
              <w:right w:val="single" w:sz="4" w:space="0" w:color="auto"/>
            </w:tcBorders>
            <w:shd w:val="clear" w:color="000000" w:fill="000000"/>
            <w:noWrap/>
            <w:vAlign w:val="center"/>
            <w:hideMark/>
          </w:tcPr>
          <w:p w14:paraId="756FF11D" w14:textId="77777777" w:rsidR="003334A3" w:rsidRPr="00BB6DFC" w:rsidRDefault="003334A3" w:rsidP="0070459C">
            <w:pPr>
              <w:rPr>
                <w:rFonts w:cs="Arial"/>
                <w:color w:val="FFFFFF"/>
                <w:sz w:val="22"/>
                <w:szCs w:val="22"/>
                <w:lang w:eastAsia="en-GB"/>
              </w:rPr>
            </w:pPr>
            <w:r w:rsidRPr="00BB6DFC">
              <w:rPr>
                <w:rFonts w:cs="Arial"/>
                <w:color w:val="FFFFFF"/>
                <w:sz w:val="22"/>
                <w:szCs w:val="22"/>
                <w:lang w:eastAsia="en-GB"/>
              </w:rPr>
              <w:t> </w:t>
            </w:r>
          </w:p>
        </w:tc>
      </w:tr>
      <w:tr w:rsidR="00E46377" w:rsidRPr="00BB6DFC" w14:paraId="7F1C31F9" w14:textId="77777777" w:rsidTr="008F5F09">
        <w:trPr>
          <w:trHeight w:val="560"/>
        </w:trPr>
        <w:tc>
          <w:tcPr>
            <w:tcW w:w="278" w:type="dxa"/>
            <w:tcBorders>
              <w:left w:val="single" w:sz="4" w:space="0" w:color="auto"/>
              <w:bottom w:val="nil"/>
              <w:right w:val="nil"/>
            </w:tcBorders>
            <w:shd w:val="clear" w:color="000000" w:fill="000000"/>
            <w:noWrap/>
            <w:vAlign w:val="center"/>
            <w:hideMark/>
          </w:tcPr>
          <w:p w14:paraId="2B8E1E76" w14:textId="77777777" w:rsidR="003334A3" w:rsidRPr="00BB6DFC" w:rsidRDefault="003334A3" w:rsidP="0070459C">
            <w:pPr>
              <w:rPr>
                <w:rFonts w:cs="Arial"/>
                <w:color w:val="FFFFFF"/>
                <w:sz w:val="22"/>
                <w:szCs w:val="22"/>
                <w:lang w:eastAsia="en-GB"/>
              </w:rPr>
            </w:pPr>
            <w:r w:rsidRPr="00BB6DFC">
              <w:rPr>
                <w:rFonts w:cs="Arial"/>
                <w:color w:val="FFFFFF"/>
                <w:sz w:val="22"/>
                <w:szCs w:val="22"/>
                <w:lang w:eastAsia="en-GB"/>
              </w:rPr>
              <w:t> </w:t>
            </w:r>
          </w:p>
        </w:tc>
        <w:tc>
          <w:tcPr>
            <w:tcW w:w="852" w:type="dxa"/>
            <w:tcBorders>
              <w:left w:val="nil"/>
              <w:bottom w:val="nil"/>
              <w:right w:val="nil"/>
            </w:tcBorders>
            <w:shd w:val="clear" w:color="000000" w:fill="000000"/>
            <w:vAlign w:val="center"/>
            <w:hideMark/>
          </w:tcPr>
          <w:p w14:paraId="063362CC" w14:textId="77777777" w:rsidR="003334A3" w:rsidRPr="00BB6DFC" w:rsidRDefault="003334A3" w:rsidP="0070459C">
            <w:pPr>
              <w:jc w:val="center"/>
              <w:rPr>
                <w:rFonts w:cs="Arial"/>
                <w:b/>
                <w:bCs/>
                <w:color w:val="FFFFFF"/>
                <w:sz w:val="22"/>
                <w:szCs w:val="22"/>
                <w:lang w:eastAsia="en-GB"/>
              </w:rPr>
            </w:pPr>
            <w:r w:rsidRPr="00BB6DFC">
              <w:rPr>
                <w:rFonts w:cs="Arial"/>
                <w:b/>
                <w:bCs/>
                <w:color w:val="FFFFFF"/>
                <w:sz w:val="22"/>
                <w:szCs w:val="22"/>
                <w:lang w:eastAsia="en-GB"/>
              </w:rPr>
              <w:t>Gross Exp</w:t>
            </w:r>
          </w:p>
        </w:tc>
        <w:tc>
          <w:tcPr>
            <w:tcW w:w="987" w:type="dxa"/>
            <w:tcBorders>
              <w:left w:val="nil"/>
              <w:bottom w:val="nil"/>
              <w:right w:val="nil"/>
            </w:tcBorders>
            <w:shd w:val="clear" w:color="000000" w:fill="000000"/>
            <w:vAlign w:val="center"/>
            <w:hideMark/>
          </w:tcPr>
          <w:p w14:paraId="7C61DBFC" w14:textId="77777777" w:rsidR="003334A3" w:rsidRPr="00BB6DFC" w:rsidRDefault="003334A3" w:rsidP="0070459C">
            <w:pPr>
              <w:jc w:val="center"/>
              <w:rPr>
                <w:rFonts w:cs="Arial"/>
                <w:b/>
                <w:bCs/>
                <w:color w:val="FFFFFF"/>
                <w:sz w:val="22"/>
                <w:szCs w:val="22"/>
                <w:lang w:eastAsia="en-GB"/>
              </w:rPr>
            </w:pPr>
            <w:r w:rsidRPr="00BB6DFC">
              <w:rPr>
                <w:rFonts w:cs="Arial"/>
                <w:b/>
                <w:bCs/>
                <w:color w:val="FFFFFF"/>
                <w:sz w:val="22"/>
                <w:szCs w:val="22"/>
                <w:lang w:eastAsia="en-GB"/>
              </w:rPr>
              <w:t>Gross Income</w:t>
            </w:r>
          </w:p>
        </w:tc>
        <w:tc>
          <w:tcPr>
            <w:tcW w:w="850" w:type="dxa"/>
            <w:tcBorders>
              <w:left w:val="nil"/>
              <w:bottom w:val="nil"/>
              <w:right w:val="nil"/>
            </w:tcBorders>
            <w:shd w:val="clear" w:color="000000" w:fill="000000"/>
            <w:vAlign w:val="center"/>
            <w:hideMark/>
          </w:tcPr>
          <w:p w14:paraId="5141555F" w14:textId="77777777" w:rsidR="003334A3" w:rsidRPr="00BB6DFC" w:rsidRDefault="003334A3" w:rsidP="0070459C">
            <w:pPr>
              <w:jc w:val="center"/>
              <w:rPr>
                <w:rFonts w:cs="Arial"/>
                <w:b/>
                <w:bCs/>
                <w:color w:val="FFFFFF"/>
                <w:sz w:val="22"/>
                <w:szCs w:val="22"/>
                <w:lang w:eastAsia="en-GB"/>
              </w:rPr>
            </w:pPr>
            <w:r w:rsidRPr="00BB6DFC">
              <w:rPr>
                <w:rFonts w:cs="Arial"/>
                <w:b/>
                <w:bCs/>
                <w:color w:val="FFFFFF"/>
                <w:sz w:val="22"/>
                <w:szCs w:val="22"/>
                <w:lang w:eastAsia="en-GB"/>
              </w:rPr>
              <w:t>Net Exp</w:t>
            </w:r>
          </w:p>
        </w:tc>
        <w:tc>
          <w:tcPr>
            <w:tcW w:w="4678" w:type="dxa"/>
            <w:tcBorders>
              <w:left w:val="nil"/>
              <w:bottom w:val="nil"/>
              <w:right w:val="nil"/>
            </w:tcBorders>
            <w:shd w:val="clear" w:color="000000" w:fill="000000"/>
            <w:noWrap/>
            <w:vAlign w:val="center"/>
            <w:hideMark/>
          </w:tcPr>
          <w:p w14:paraId="5274FD0B" w14:textId="77777777" w:rsidR="003334A3" w:rsidRPr="00BB6DFC" w:rsidRDefault="003334A3" w:rsidP="0070459C">
            <w:pPr>
              <w:jc w:val="center"/>
              <w:rPr>
                <w:rFonts w:cs="Arial"/>
                <w:b/>
                <w:bCs/>
                <w:color w:val="FFFFFF"/>
                <w:sz w:val="22"/>
                <w:szCs w:val="22"/>
                <w:lang w:eastAsia="en-GB"/>
              </w:rPr>
            </w:pPr>
            <w:r w:rsidRPr="00BB6DFC">
              <w:rPr>
                <w:rFonts w:cs="Arial"/>
                <w:b/>
                <w:bCs/>
                <w:color w:val="FFFFFF"/>
                <w:sz w:val="22"/>
                <w:szCs w:val="22"/>
                <w:lang w:eastAsia="en-GB"/>
              </w:rPr>
              <w:t> </w:t>
            </w:r>
          </w:p>
        </w:tc>
        <w:tc>
          <w:tcPr>
            <w:tcW w:w="852" w:type="dxa"/>
            <w:tcBorders>
              <w:left w:val="nil"/>
              <w:bottom w:val="nil"/>
              <w:right w:val="nil"/>
            </w:tcBorders>
            <w:shd w:val="clear" w:color="000000" w:fill="000000"/>
            <w:vAlign w:val="center"/>
            <w:hideMark/>
          </w:tcPr>
          <w:p w14:paraId="6D1C7F89" w14:textId="77777777" w:rsidR="003334A3" w:rsidRPr="00BB6DFC" w:rsidRDefault="003334A3" w:rsidP="0070459C">
            <w:pPr>
              <w:jc w:val="center"/>
              <w:rPr>
                <w:rFonts w:cs="Arial"/>
                <w:b/>
                <w:bCs/>
                <w:color w:val="FFFFFF"/>
                <w:sz w:val="22"/>
                <w:szCs w:val="22"/>
                <w:lang w:eastAsia="en-GB"/>
              </w:rPr>
            </w:pPr>
            <w:r w:rsidRPr="00BB6DFC">
              <w:rPr>
                <w:rFonts w:cs="Arial"/>
                <w:b/>
                <w:bCs/>
                <w:color w:val="FFFFFF"/>
                <w:sz w:val="22"/>
                <w:szCs w:val="22"/>
                <w:lang w:eastAsia="en-GB"/>
              </w:rPr>
              <w:t>Gross Exp</w:t>
            </w:r>
          </w:p>
        </w:tc>
        <w:tc>
          <w:tcPr>
            <w:tcW w:w="990" w:type="dxa"/>
            <w:tcBorders>
              <w:left w:val="nil"/>
              <w:bottom w:val="nil"/>
              <w:right w:val="nil"/>
            </w:tcBorders>
            <w:shd w:val="clear" w:color="000000" w:fill="000000"/>
            <w:vAlign w:val="center"/>
            <w:hideMark/>
          </w:tcPr>
          <w:p w14:paraId="7955A43A" w14:textId="77777777" w:rsidR="003334A3" w:rsidRPr="00BB6DFC" w:rsidRDefault="003334A3" w:rsidP="0070459C">
            <w:pPr>
              <w:jc w:val="center"/>
              <w:rPr>
                <w:rFonts w:cs="Arial"/>
                <w:b/>
                <w:bCs/>
                <w:color w:val="FFFFFF"/>
                <w:sz w:val="22"/>
                <w:szCs w:val="22"/>
                <w:lang w:eastAsia="en-GB"/>
              </w:rPr>
            </w:pPr>
            <w:r w:rsidRPr="00BB6DFC">
              <w:rPr>
                <w:rFonts w:cs="Arial"/>
                <w:b/>
                <w:bCs/>
                <w:color w:val="FFFFFF"/>
                <w:sz w:val="22"/>
                <w:szCs w:val="22"/>
                <w:lang w:eastAsia="en-GB"/>
              </w:rPr>
              <w:t>Gross Income</w:t>
            </w:r>
          </w:p>
        </w:tc>
        <w:tc>
          <w:tcPr>
            <w:tcW w:w="730" w:type="dxa"/>
            <w:tcBorders>
              <w:left w:val="nil"/>
              <w:bottom w:val="nil"/>
              <w:right w:val="nil"/>
            </w:tcBorders>
            <w:shd w:val="clear" w:color="000000" w:fill="000000"/>
            <w:vAlign w:val="center"/>
            <w:hideMark/>
          </w:tcPr>
          <w:p w14:paraId="658A2FD7" w14:textId="77777777" w:rsidR="003334A3" w:rsidRPr="00BB6DFC" w:rsidRDefault="003334A3" w:rsidP="0070459C">
            <w:pPr>
              <w:jc w:val="center"/>
              <w:rPr>
                <w:rFonts w:cs="Arial"/>
                <w:b/>
                <w:bCs/>
                <w:color w:val="FFFFFF"/>
                <w:sz w:val="22"/>
                <w:szCs w:val="22"/>
                <w:lang w:eastAsia="en-GB"/>
              </w:rPr>
            </w:pPr>
            <w:r w:rsidRPr="00BB6DFC">
              <w:rPr>
                <w:rFonts w:cs="Arial"/>
                <w:b/>
                <w:bCs/>
                <w:color w:val="FFFFFF"/>
                <w:sz w:val="22"/>
                <w:szCs w:val="22"/>
                <w:lang w:eastAsia="en-GB"/>
              </w:rPr>
              <w:t>Net Exp</w:t>
            </w:r>
          </w:p>
        </w:tc>
        <w:tc>
          <w:tcPr>
            <w:tcW w:w="278" w:type="dxa"/>
            <w:tcBorders>
              <w:left w:val="nil"/>
              <w:bottom w:val="nil"/>
              <w:right w:val="single" w:sz="4" w:space="0" w:color="auto"/>
            </w:tcBorders>
            <w:shd w:val="clear" w:color="000000" w:fill="000000"/>
            <w:noWrap/>
            <w:vAlign w:val="center"/>
            <w:hideMark/>
          </w:tcPr>
          <w:p w14:paraId="015A452B" w14:textId="77777777" w:rsidR="003334A3" w:rsidRPr="00BB6DFC" w:rsidRDefault="003334A3" w:rsidP="0070459C">
            <w:pPr>
              <w:rPr>
                <w:rFonts w:cs="Arial"/>
                <w:color w:val="FFFFFF"/>
                <w:sz w:val="22"/>
                <w:szCs w:val="22"/>
                <w:lang w:eastAsia="en-GB"/>
              </w:rPr>
            </w:pPr>
            <w:r w:rsidRPr="00BB6DFC">
              <w:rPr>
                <w:rFonts w:cs="Arial"/>
                <w:color w:val="FFFFFF"/>
                <w:sz w:val="22"/>
                <w:szCs w:val="22"/>
                <w:lang w:eastAsia="en-GB"/>
              </w:rPr>
              <w:t> </w:t>
            </w:r>
          </w:p>
        </w:tc>
      </w:tr>
      <w:tr w:rsidR="00E46377" w:rsidRPr="000062BC" w14:paraId="63ADE656" w14:textId="77777777" w:rsidTr="008F5F09">
        <w:trPr>
          <w:trHeight w:val="280"/>
        </w:trPr>
        <w:tc>
          <w:tcPr>
            <w:tcW w:w="278" w:type="dxa"/>
            <w:tcBorders>
              <w:top w:val="nil"/>
              <w:left w:val="single" w:sz="4" w:space="0" w:color="auto"/>
              <w:bottom w:val="single" w:sz="4" w:space="0" w:color="auto"/>
              <w:right w:val="nil"/>
            </w:tcBorders>
            <w:shd w:val="clear" w:color="000000" w:fill="000000"/>
            <w:noWrap/>
            <w:vAlign w:val="center"/>
            <w:hideMark/>
          </w:tcPr>
          <w:p w14:paraId="77B615DD" w14:textId="77777777" w:rsidR="003334A3" w:rsidRPr="00BB6DFC" w:rsidRDefault="003334A3" w:rsidP="0070459C">
            <w:pPr>
              <w:rPr>
                <w:rFonts w:cs="Arial"/>
                <w:color w:val="FFFFFF"/>
                <w:sz w:val="22"/>
                <w:szCs w:val="22"/>
                <w:lang w:eastAsia="en-GB"/>
              </w:rPr>
            </w:pPr>
            <w:r w:rsidRPr="00BB6DFC">
              <w:rPr>
                <w:rFonts w:cs="Arial"/>
                <w:color w:val="FFFFFF"/>
                <w:sz w:val="22"/>
                <w:szCs w:val="22"/>
                <w:lang w:eastAsia="en-GB"/>
              </w:rPr>
              <w:t> </w:t>
            </w:r>
          </w:p>
        </w:tc>
        <w:tc>
          <w:tcPr>
            <w:tcW w:w="852" w:type="dxa"/>
            <w:tcBorders>
              <w:top w:val="nil"/>
              <w:left w:val="nil"/>
              <w:bottom w:val="single" w:sz="4" w:space="0" w:color="auto"/>
              <w:right w:val="nil"/>
            </w:tcBorders>
            <w:shd w:val="clear" w:color="000000" w:fill="000000"/>
            <w:noWrap/>
            <w:vAlign w:val="center"/>
            <w:hideMark/>
          </w:tcPr>
          <w:p w14:paraId="1F71C722" w14:textId="77777777" w:rsidR="003334A3" w:rsidRPr="00BB6DFC" w:rsidRDefault="003334A3" w:rsidP="0070459C">
            <w:pPr>
              <w:jc w:val="center"/>
              <w:rPr>
                <w:rFonts w:cs="Arial"/>
                <w:b/>
                <w:bCs/>
                <w:color w:val="FFFFFF"/>
                <w:sz w:val="22"/>
                <w:szCs w:val="22"/>
                <w:lang w:eastAsia="en-GB"/>
              </w:rPr>
            </w:pPr>
            <w:r w:rsidRPr="00BB6DFC">
              <w:rPr>
                <w:rFonts w:cs="Arial"/>
                <w:b/>
                <w:bCs/>
                <w:color w:val="FFFFFF"/>
                <w:sz w:val="22"/>
                <w:szCs w:val="22"/>
                <w:lang w:eastAsia="en-GB"/>
              </w:rPr>
              <w:t>£000</w:t>
            </w:r>
          </w:p>
        </w:tc>
        <w:tc>
          <w:tcPr>
            <w:tcW w:w="987" w:type="dxa"/>
            <w:tcBorders>
              <w:top w:val="nil"/>
              <w:left w:val="nil"/>
              <w:bottom w:val="single" w:sz="4" w:space="0" w:color="auto"/>
              <w:right w:val="nil"/>
            </w:tcBorders>
            <w:shd w:val="clear" w:color="000000" w:fill="000000"/>
            <w:noWrap/>
            <w:vAlign w:val="center"/>
            <w:hideMark/>
          </w:tcPr>
          <w:p w14:paraId="6AF122F7" w14:textId="77777777" w:rsidR="003334A3" w:rsidRPr="00BB6DFC" w:rsidRDefault="003334A3" w:rsidP="0070459C">
            <w:pPr>
              <w:jc w:val="center"/>
              <w:rPr>
                <w:rFonts w:cs="Arial"/>
                <w:b/>
                <w:bCs/>
                <w:color w:val="FFFFFF"/>
                <w:sz w:val="22"/>
                <w:szCs w:val="22"/>
                <w:lang w:eastAsia="en-GB"/>
              </w:rPr>
            </w:pPr>
            <w:r w:rsidRPr="00BB6DFC">
              <w:rPr>
                <w:rFonts w:cs="Arial"/>
                <w:b/>
                <w:bCs/>
                <w:color w:val="FFFFFF"/>
                <w:sz w:val="22"/>
                <w:szCs w:val="22"/>
                <w:lang w:eastAsia="en-GB"/>
              </w:rPr>
              <w:t>£000</w:t>
            </w:r>
          </w:p>
        </w:tc>
        <w:tc>
          <w:tcPr>
            <w:tcW w:w="850" w:type="dxa"/>
            <w:tcBorders>
              <w:top w:val="nil"/>
              <w:left w:val="nil"/>
              <w:bottom w:val="single" w:sz="4" w:space="0" w:color="auto"/>
              <w:right w:val="nil"/>
            </w:tcBorders>
            <w:shd w:val="clear" w:color="000000" w:fill="000000"/>
            <w:noWrap/>
            <w:vAlign w:val="center"/>
            <w:hideMark/>
          </w:tcPr>
          <w:p w14:paraId="3FD73FBD" w14:textId="77777777" w:rsidR="003334A3" w:rsidRPr="00BB6DFC" w:rsidRDefault="003334A3" w:rsidP="0070459C">
            <w:pPr>
              <w:jc w:val="center"/>
              <w:rPr>
                <w:rFonts w:cs="Arial"/>
                <w:b/>
                <w:bCs/>
                <w:color w:val="FFFFFF"/>
                <w:sz w:val="22"/>
                <w:szCs w:val="22"/>
                <w:lang w:eastAsia="en-GB"/>
              </w:rPr>
            </w:pPr>
            <w:r w:rsidRPr="00BB6DFC">
              <w:rPr>
                <w:rFonts w:cs="Arial"/>
                <w:b/>
                <w:bCs/>
                <w:color w:val="FFFFFF"/>
                <w:sz w:val="22"/>
                <w:szCs w:val="22"/>
                <w:lang w:eastAsia="en-GB"/>
              </w:rPr>
              <w:t>£000</w:t>
            </w:r>
          </w:p>
        </w:tc>
        <w:tc>
          <w:tcPr>
            <w:tcW w:w="4678" w:type="dxa"/>
            <w:tcBorders>
              <w:top w:val="nil"/>
              <w:left w:val="nil"/>
              <w:bottom w:val="single" w:sz="4" w:space="0" w:color="auto"/>
              <w:right w:val="nil"/>
            </w:tcBorders>
            <w:shd w:val="clear" w:color="000000" w:fill="000000"/>
            <w:noWrap/>
            <w:vAlign w:val="center"/>
            <w:hideMark/>
          </w:tcPr>
          <w:p w14:paraId="3FB4FF9D" w14:textId="77777777" w:rsidR="003334A3" w:rsidRPr="00BB6DFC" w:rsidRDefault="003334A3" w:rsidP="0070459C">
            <w:pPr>
              <w:jc w:val="center"/>
              <w:rPr>
                <w:rFonts w:cs="Arial"/>
                <w:b/>
                <w:bCs/>
                <w:color w:val="FFFFFF"/>
                <w:sz w:val="22"/>
                <w:szCs w:val="22"/>
                <w:lang w:eastAsia="en-GB"/>
              </w:rPr>
            </w:pPr>
            <w:r w:rsidRPr="00BB6DFC">
              <w:rPr>
                <w:rFonts w:cs="Arial"/>
                <w:b/>
                <w:bCs/>
                <w:color w:val="FFFFFF"/>
                <w:sz w:val="22"/>
                <w:szCs w:val="22"/>
                <w:lang w:eastAsia="en-GB"/>
              </w:rPr>
              <w:t> </w:t>
            </w:r>
          </w:p>
        </w:tc>
        <w:tc>
          <w:tcPr>
            <w:tcW w:w="852" w:type="dxa"/>
            <w:tcBorders>
              <w:top w:val="nil"/>
              <w:left w:val="nil"/>
              <w:bottom w:val="single" w:sz="4" w:space="0" w:color="auto"/>
              <w:right w:val="nil"/>
            </w:tcBorders>
            <w:shd w:val="clear" w:color="000000" w:fill="000000"/>
            <w:noWrap/>
            <w:vAlign w:val="center"/>
            <w:hideMark/>
          </w:tcPr>
          <w:p w14:paraId="1DBF0E97" w14:textId="77777777" w:rsidR="003334A3" w:rsidRPr="00BB6DFC" w:rsidRDefault="003334A3" w:rsidP="0070459C">
            <w:pPr>
              <w:jc w:val="center"/>
              <w:rPr>
                <w:rFonts w:cs="Arial"/>
                <w:b/>
                <w:bCs/>
                <w:color w:val="FFFFFF"/>
                <w:sz w:val="22"/>
                <w:szCs w:val="22"/>
                <w:lang w:eastAsia="en-GB"/>
              </w:rPr>
            </w:pPr>
            <w:r w:rsidRPr="00BB6DFC">
              <w:rPr>
                <w:rFonts w:cs="Arial"/>
                <w:b/>
                <w:bCs/>
                <w:color w:val="FFFFFF"/>
                <w:sz w:val="22"/>
                <w:szCs w:val="22"/>
                <w:lang w:eastAsia="en-GB"/>
              </w:rPr>
              <w:t>£000</w:t>
            </w:r>
          </w:p>
        </w:tc>
        <w:tc>
          <w:tcPr>
            <w:tcW w:w="990" w:type="dxa"/>
            <w:tcBorders>
              <w:top w:val="nil"/>
              <w:left w:val="nil"/>
              <w:bottom w:val="single" w:sz="4" w:space="0" w:color="auto"/>
              <w:right w:val="nil"/>
            </w:tcBorders>
            <w:shd w:val="clear" w:color="000000" w:fill="000000"/>
            <w:noWrap/>
            <w:vAlign w:val="center"/>
            <w:hideMark/>
          </w:tcPr>
          <w:p w14:paraId="459F878E" w14:textId="77777777" w:rsidR="003334A3" w:rsidRPr="00BB6DFC" w:rsidRDefault="003334A3" w:rsidP="0070459C">
            <w:pPr>
              <w:jc w:val="center"/>
              <w:rPr>
                <w:rFonts w:cs="Arial"/>
                <w:b/>
                <w:bCs/>
                <w:color w:val="FFFFFF"/>
                <w:sz w:val="22"/>
                <w:szCs w:val="22"/>
                <w:lang w:eastAsia="en-GB"/>
              </w:rPr>
            </w:pPr>
            <w:r w:rsidRPr="00BB6DFC">
              <w:rPr>
                <w:rFonts w:cs="Arial"/>
                <w:b/>
                <w:bCs/>
                <w:color w:val="FFFFFF"/>
                <w:sz w:val="22"/>
                <w:szCs w:val="22"/>
                <w:lang w:eastAsia="en-GB"/>
              </w:rPr>
              <w:t>£000</w:t>
            </w:r>
          </w:p>
        </w:tc>
        <w:tc>
          <w:tcPr>
            <w:tcW w:w="730" w:type="dxa"/>
            <w:tcBorders>
              <w:top w:val="nil"/>
              <w:left w:val="nil"/>
              <w:bottom w:val="single" w:sz="4" w:space="0" w:color="auto"/>
              <w:right w:val="nil"/>
            </w:tcBorders>
            <w:shd w:val="clear" w:color="000000" w:fill="000000"/>
            <w:noWrap/>
            <w:vAlign w:val="center"/>
            <w:hideMark/>
          </w:tcPr>
          <w:p w14:paraId="14201E1E" w14:textId="77777777" w:rsidR="003334A3" w:rsidRPr="000062BC" w:rsidRDefault="003334A3" w:rsidP="0070459C">
            <w:pPr>
              <w:jc w:val="center"/>
              <w:rPr>
                <w:rFonts w:cs="Arial"/>
                <w:b/>
                <w:bCs/>
                <w:color w:val="FFFFFF"/>
                <w:sz w:val="22"/>
                <w:szCs w:val="22"/>
                <w:lang w:eastAsia="en-GB"/>
              </w:rPr>
            </w:pPr>
            <w:r w:rsidRPr="00BB6DFC">
              <w:rPr>
                <w:rFonts w:cs="Arial"/>
                <w:b/>
                <w:bCs/>
                <w:color w:val="FFFFFF"/>
                <w:sz w:val="22"/>
                <w:szCs w:val="22"/>
                <w:lang w:eastAsia="en-GB"/>
              </w:rPr>
              <w:t>£000</w:t>
            </w:r>
          </w:p>
        </w:tc>
        <w:tc>
          <w:tcPr>
            <w:tcW w:w="278" w:type="dxa"/>
            <w:tcBorders>
              <w:top w:val="nil"/>
              <w:left w:val="nil"/>
              <w:bottom w:val="single" w:sz="4" w:space="0" w:color="auto"/>
              <w:right w:val="single" w:sz="4" w:space="0" w:color="auto"/>
            </w:tcBorders>
            <w:shd w:val="clear" w:color="000000" w:fill="000000"/>
            <w:noWrap/>
            <w:vAlign w:val="center"/>
            <w:hideMark/>
          </w:tcPr>
          <w:p w14:paraId="2F301BF9" w14:textId="77777777" w:rsidR="003334A3" w:rsidRPr="000062BC" w:rsidRDefault="003334A3" w:rsidP="0070459C">
            <w:pPr>
              <w:rPr>
                <w:rFonts w:cs="Arial"/>
                <w:color w:val="FFFFFF"/>
                <w:sz w:val="22"/>
                <w:szCs w:val="22"/>
                <w:lang w:eastAsia="en-GB"/>
              </w:rPr>
            </w:pPr>
            <w:r w:rsidRPr="000062BC">
              <w:rPr>
                <w:rFonts w:cs="Arial"/>
                <w:color w:val="FFFFFF"/>
                <w:sz w:val="22"/>
                <w:szCs w:val="22"/>
                <w:lang w:eastAsia="en-GB"/>
              </w:rPr>
              <w:t> </w:t>
            </w:r>
          </w:p>
        </w:tc>
      </w:tr>
      <w:tr w:rsidR="00E46377" w:rsidRPr="000062BC" w14:paraId="0ECF3E45" w14:textId="77777777" w:rsidTr="008F5F09">
        <w:trPr>
          <w:trHeight w:val="280"/>
        </w:trPr>
        <w:tc>
          <w:tcPr>
            <w:tcW w:w="278" w:type="dxa"/>
            <w:tcBorders>
              <w:top w:val="single" w:sz="4" w:space="0" w:color="auto"/>
              <w:left w:val="single" w:sz="8" w:space="0" w:color="auto"/>
              <w:bottom w:val="nil"/>
              <w:right w:val="nil"/>
            </w:tcBorders>
            <w:shd w:val="clear" w:color="000000" w:fill="FFFFFF"/>
            <w:noWrap/>
            <w:vAlign w:val="center"/>
            <w:hideMark/>
          </w:tcPr>
          <w:p w14:paraId="216A6B01" w14:textId="77777777" w:rsidR="003334A3" w:rsidRPr="000062BC" w:rsidRDefault="003334A3" w:rsidP="0070459C">
            <w:pPr>
              <w:rPr>
                <w:rFonts w:cs="Arial"/>
                <w:sz w:val="22"/>
                <w:szCs w:val="22"/>
                <w:lang w:eastAsia="en-GB"/>
              </w:rPr>
            </w:pPr>
            <w:r w:rsidRPr="000062BC">
              <w:rPr>
                <w:rFonts w:cs="Arial"/>
                <w:sz w:val="22"/>
                <w:szCs w:val="22"/>
                <w:lang w:eastAsia="en-GB"/>
              </w:rPr>
              <w:t> </w:t>
            </w:r>
          </w:p>
        </w:tc>
        <w:tc>
          <w:tcPr>
            <w:tcW w:w="852" w:type="dxa"/>
            <w:tcBorders>
              <w:top w:val="single" w:sz="4" w:space="0" w:color="auto"/>
              <w:left w:val="nil"/>
              <w:bottom w:val="nil"/>
              <w:right w:val="nil"/>
            </w:tcBorders>
            <w:shd w:val="clear" w:color="000000" w:fill="FFFFFF"/>
            <w:noWrap/>
            <w:vAlign w:val="center"/>
            <w:hideMark/>
          </w:tcPr>
          <w:p w14:paraId="0A97BF36" w14:textId="77777777" w:rsidR="003334A3" w:rsidRPr="000062BC" w:rsidRDefault="003334A3" w:rsidP="0070459C">
            <w:pPr>
              <w:rPr>
                <w:rFonts w:cs="Arial"/>
                <w:sz w:val="22"/>
                <w:szCs w:val="22"/>
                <w:lang w:eastAsia="en-GB"/>
              </w:rPr>
            </w:pPr>
            <w:r w:rsidRPr="000062BC">
              <w:rPr>
                <w:rFonts w:cs="Arial"/>
                <w:sz w:val="22"/>
                <w:szCs w:val="22"/>
                <w:lang w:eastAsia="en-GB"/>
              </w:rPr>
              <w:t> </w:t>
            </w:r>
          </w:p>
        </w:tc>
        <w:tc>
          <w:tcPr>
            <w:tcW w:w="987" w:type="dxa"/>
            <w:tcBorders>
              <w:top w:val="single" w:sz="4" w:space="0" w:color="auto"/>
              <w:left w:val="nil"/>
              <w:bottom w:val="nil"/>
              <w:right w:val="nil"/>
            </w:tcBorders>
            <w:shd w:val="clear" w:color="000000" w:fill="FFFFFF"/>
            <w:noWrap/>
            <w:vAlign w:val="center"/>
            <w:hideMark/>
          </w:tcPr>
          <w:p w14:paraId="7A8F36C8" w14:textId="77777777" w:rsidR="003334A3" w:rsidRPr="000062BC" w:rsidRDefault="003334A3" w:rsidP="0070459C">
            <w:pPr>
              <w:rPr>
                <w:rFonts w:cs="Arial"/>
                <w:sz w:val="22"/>
                <w:szCs w:val="22"/>
                <w:lang w:eastAsia="en-GB"/>
              </w:rPr>
            </w:pPr>
            <w:r w:rsidRPr="000062BC">
              <w:rPr>
                <w:rFonts w:cs="Arial"/>
                <w:sz w:val="22"/>
                <w:szCs w:val="22"/>
                <w:lang w:eastAsia="en-GB"/>
              </w:rPr>
              <w:t> </w:t>
            </w:r>
          </w:p>
        </w:tc>
        <w:tc>
          <w:tcPr>
            <w:tcW w:w="850" w:type="dxa"/>
            <w:tcBorders>
              <w:top w:val="single" w:sz="4" w:space="0" w:color="auto"/>
              <w:left w:val="nil"/>
              <w:bottom w:val="nil"/>
              <w:right w:val="nil"/>
            </w:tcBorders>
            <w:shd w:val="clear" w:color="000000" w:fill="FFFFFF"/>
            <w:noWrap/>
            <w:vAlign w:val="center"/>
            <w:hideMark/>
          </w:tcPr>
          <w:p w14:paraId="63359163" w14:textId="77777777" w:rsidR="003334A3" w:rsidRPr="000062BC" w:rsidRDefault="003334A3" w:rsidP="0070459C">
            <w:pPr>
              <w:rPr>
                <w:rFonts w:cs="Arial"/>
                <w:sz w:val="22"/>
                <w:szCs w:val="22"/>
                <w:lang w:eastAsia="en-GB"/>
              </w:rPr>
            </w:pPr>
            <w:r w:rsidRPr="000062BC">
              <w:rPr>
                <w:rFonts w:cs="Arial"/>
                <w:sz w:val="22"/>
                <w:szCs w:val="22"/>
                <w:lang w:eastAsia="en-GB"/>
              </w:rPr>
              <w:t> </w:t>
            </w:r>
          </w:p>
        </w:tc>
        <w:tc>
          <w:tcPr>
            <w:tcW w:w="4678" w:type="dxa"/>
            <w:tcBorders>
              <w:top w:val="single" w:sz="4" w:space="0" w:color="auto"/>
              <w:left w:val="nil"/>
              <w:bottom w:val="nil"/>
              <w:right w:val="nil"/>
            </w:tcBorders>
            <w:shd w:val="clear" w:color="000000" w:fill="FFFFFF"/>
            <w:noWrap/>
            <w:vAlign w:val="center"/>
            <w:hideMark/>
          </w:tcPr>
          <w:p w14:paraId="19177130" w14:textId="77777777" w:rsidR="003334A3" w:rsidRPr="000062BC" w:rsidRDefault="003334A3" w:rsidP="0070459C">
            <w:pPr>
              <w:rPr>
                <w:rFonts w:cs="Arial"/>
                <w:sz w:val="22"/>
                <w:szCs w:val="22"/>
                <w:lang w:eastAsia="en-GB"/>
              </w:rPr>
            </w:pPr>
            <w:r w:rsidRPr="000062BC">
              <w:rPr>
                <w:rFonts w:cs="Arial"/>
                <w:sz w:val="22"/>
                <w:szCs w:val="22"/>
                <w:lang w:eastAsia="en-GB"/>
              </w:rPr>
              <w:t> </w:t>
            </w:r>
          </w:p>
        </w:tc>
        <w:tc>
          <w:tcPr>
            <w:tcW w:w="852" w:type="dxa"/>
            <w:tcBorders>
              <w:top w:val="single" w:sz="4" w:space="0" w:color="auto"/>
              <w:left w:val="nil"/>
              <w:bottom w:val="nil"/>
              <w:right w:val="nil"/>
            </w:tcBorders>
            <w:shd w:val="clear" w:color="000000" w:fill="FFFFFF"/>
            <w:noWrap/>
            <w:vAlign w:val="center"/>
            <w:hideMark/>
          </w:tcPr>
          <w:p w14:paraId="335DF955" w14:textId="77777777" w:rsidR="003334A3" w:rsidRPr="000062BC" w:rsidRDefault="003334A3" w:rsidP="0070459C">
            <w:pPr>
              <w:rPr>
                <w:rFonts w:cs="Arial"/>
                <w:sz w:val="22"/>
                <w:szCs w:val="22"/>
                <w:lang w:eastAsia="en-GB"/>
              </w:rPr>
            </w:pPr>
            <w:r w:rsidRPr="000062BC">
              <w:rPr>
                <w:rFonts w:cs="Arial"/>
                <w:sz w:val="22"/>
                <w:szCs w:val="22"/>
                <w:lang w:eastAsia="en-GB"/>
              </w:rPr>
              <w:t> </w:t>
            </w:r>
          </w:p>
        </w:tc>
        <w:tc>
          <w:tcPr>
            <w:tcW w:w="990" w:type="dxa"/>
            <w:tcBorders>
              <w:top w:val="single" w:sz="4" w:space="0" w:color="auto"/>
              <w:left w:val="nil"/>
              <w:bottom w:val="nil"/>
              <w:right w:val="nil"/>
            </w:tcBorders>
            <w:shd w:val="clear" w:color="000000" w:fill="FFFFFF"/>
            <w:noWrap/>
            <w:vAlign w:val="center"/>
            <w:hideMark/>
          </w:tcPr>
          <w:p w14:paraId="373302E1" w14:textId="77777777" w:rsidR="003334A3" w:rsidRPr="000062BC" w:rsidRDefault="003334A3" w:rsidP="0070459C">
            <w:pPr>
              <w:rPr>
                <w:rFonts w:cs="Arial"/>
                <w:sz w:val="22"/>
                <w:szCs w:val="22"/>
                <w:lang w:eastAsia="en-GB"/>
              </w:rPr>
            </w:pPr>
            <w:r w:rsidRPr="000062BC">
              <w:rPr>
                <w:rFonts w:cs="Arial"/>
                <w:sz w:val="22"/>
                <w:szCs w:val="22"/>
                <w:lang w:eastAsia="en-GB"/>
              </w:rPr>
              <w:t> </w:t>
            </w:r>
          </w:p>
        </w:tc>
        <w:tc>
          <w:tcPr>
            <w:tcW w:w="730" w:type="dxa"/>
            <w:tcBorders>
              <w:top w:val="single" w:sz="4" w:space="0" w:color="auto"/>
              <w:left w:val="nil"/>
              <w:bottom w:val="nil"/>
              <w:right w:val="nil"/>
            </w:tcBorders>
            <w:shd w:val="clear" w:color="000000" w:fill="FFFFFF"/>
            <w:noWrap/>
            <w:vAlign w:val="center"/>
            <w:hideMark/>
          </w:tcPr>
          <w:p w14:paraId="3B0232C7" w14:textId="77777777" w:rsidR="003334A3" w:rsidRPr="000062BC" w:rsidRDefault="003334A3" w:rsidP="0070459C">
            <w:pPr>
              <w:rPr>
                <w:rFonts w:cs="Arial"/>
                <w:sz w:val="22"/>
                <w:szCs w:val="22"/>
                <w:lang w:eastAsia="en-GB"/>
              </w:rPr>
            </w:pPr>
            <w:r w:rsidRPr="000062BC">
              <w:rPr>
                <w:rFonts w:cs="Arial"/>
                <w:sz w:val="22"/>
                <w:szCs w:val="22"/>
                <w:lang w:eastAsia="en-GB"/>
              </w:rPr>
              <w:t> </w:t>
            </w:r>
          </w:p>
        </w:tc>
        <w:tc>
          <w:tcPr>
            <w:tcW w:w="278" w:type="dxa"/>
            <w:tcBorders>
              <w:top w:val="single" w:sz="4" w:space="0" w:color="auto"/>
              <w:left w:val="nil"/>
              <w:bottom w:val="nil"/>
              <w:right w:val="single" w:sz="8" w:space="0" w:color="auto"/>
            </w:tcBorders>
            <w:shd w:val="clear" w:color="000000" w:fill="FFFFFF"/>
            <w:noWrap/>
            <w:vAlign w:val="center"/>
            <w:hideMark/>
          </w:tcPr>
          <w:p w14:paraId="5E62C93E" w14:textId="77777777" w:rsidR="003334A3" w:rsidRPr="000062BC" w:rsidRDefault="003334A3" w:rsidP="0070459C">
            <w:pPr>
              <w:rPr>
                <w:rFonts w:cs="Arial"/>
                <w:sz w:val="22"/>
                <w:szCs w:val="22"/>
                <w:lang w:eastAsia="en-GB"/>
              </w:rPr>
            </w:pPr>
            <w:r w:rsidRPr="000062BC">
              <w:rPr>
                <w:rFonts w:cs="Arial"/>
                <w:sz w:val="22"/>
                <w:szCs w:val="22"/>
                <w:lang w:eastAsia="en-GB"/>
              </w:rPr>
              <w:t> </w:t>
            </w:r>
          </w:p>
        </w:tc>
      </w:tr>
      <w:tr w:rsidR="00E46377" w:rsidRPr="000062BC" w14:paraId="570C89B2" w14:textId="77777777" w:rsidTr="008F5F09">
        <w:trPr>
          <w:trHeight w:val="280"/>
        </w:trPr>
        <w:tc>
          <w:tcPr>
            <w:tcW w:w="278" w:type="dxa"/>
            <w:tcBorders>
              <w:top w:val="nil"/>
              <w:left w:val="single" w:sz="8" w:space="0" w:color="auto"/>
              <w:bottom w:val="nil"/>
              <w:right w:val="nil"/>
            </w:tcBorders>
            <w:shd w:val="clear" w:color="000000" w:fill="FFFFFF"/>
            <w:noWrap/>
            <w:vAlign w:val="center"/>
            <w:hideMark/>
          </w:tcPr>
          <w:p w14:paraId="3F94A260" w14:textId="77777777" w:rsidR="003334A3" w:rsidRPr="000062BC" w:rsidRDefault="003334A3" w:rsidP="0070459C">
            <w:pPr>
              <w:rPr>
                <w:rFonts w:cs="Arial"/>
                <w:sz w:val="22"/>
                <w:szCs w:val="22"/>
                <w:lang w:eastAsia="en-GB"/>
              </w:rPr>
            </w:pPr>
            <w:r w:rsidRPr="000062BC">
              <w:rPr>
                <w:rFonts w:cs="Arial"/>
                <w:sz w:val="22"/>
                <w:szCs w:val="22"/>
                <w:lang w:eastAsia="en-GB"/>
              </w:rPr>
              <w:t> </w:t>
            </w:r>
          </w:p>
        </w:tc>
        <w:tc>
          <w:tcPr>
            <w:tcW w:w="852" w:type="dxa"/>
            <w:tcBorders>
              <w:top w:val="nil"/>
              <w:left w:val="nil"/>
              <w:bottom w:val="nil"/>
              <w:right w:val="nil"/>
            </w:tcBorders>
            <w:shd w:val="clear" w:color="000000" w:fill="FFFFFF"/>
            <w:vAlign w:val="center"/>
            <w:hideMark/>
          </w:tcPr>
          <w:p w14:paraId="44261763" w14:textId="7CB9320D" w:rsidR="003334A3" w:rsidRPr="000062BC" w:rsidRDefault="00BB6DFC" w:rsidP="0070459C">
            <w:pPr>
              <w:jc w:val="right"/>
              <w:rPr>
                <w:rFonts w:cs="Arial"/>
                <w:sz w:val="22"/>
                <w:szCs w:val="22"/>
                <w:lang w:eastAsia="en-GB"/>
              </w:rPr>
            </w:pPr>
            <w:r>
              <w:rPr>
                <w:rFonts w:cs="Arial"/>
                <w:sz w:val="22"/>
                <w:szCs w:val="22"/>
                <w:lang w:eastAsia="en-GB"/>
              </w:rPr>
              <w:t>2,260</w:t>
            </w:r>
          </w:p>
        </w:tc>
        <w:tc>
          <w:tcPr>
            <w:tcW w:w="987" w:type="dxa"/>
            <w:tcBorders>
              <w:top w:val="nil"/>
              <w:left w:val="nil"/>
              <w:bottom w:val="nil"/>
              <w:right w:val="nil"/>
            </w:tcBorders>
            <w:shd w:val="clear" w:color="000000" w:fill="FFFFFF"/>
            <w:vAlign w:val="center"/>
            <w:hideMark/>
          </w:tcPr>
          <w:p w14:paraId="045C1AFE" w14:textId="5B25DBAE" w:rsidR="003334A3" w:rsidRPr="000062BC" w:rsidRDefault="003334A3" w:rsidP="0070459C">
            <w:pPr>
              <w:jc w:val="right"/>
              <w:rPr>
                <w:rFonts w:cs="Arial"/>
                <w:sz w:val="22"/>
                <w:szCs w:val="22"/>
                <w:lang w:eastAsia="en-GB"/>
              </w:rPr>
            </w:pPr>
            <w:r w:rsidRPr="000062BC">
              <w:rPr>
                <w:rFonts w:cs="Arial"/>
                <w:sz w:val="22"/>
                <w:szCs w:val="22"/>
                <w:lang w:eastAsia="en-GB"/>
              </w:rPr>
              <w:t>(</w:t>
            </w:r>
            <w:r w:rsidR="00BB6DFC">
              <w:rPr>
                <w:rFonts w:cs="Arial"/>
                <w:sz w:val="22"/>
                <w:szCs w:val="22"/>
                <w:lang w:eastAsia="en-GB"/>
              </w:rPr>
              <w:t>1,783</w:t>
            </w:r>
            <w:r w:rsidRPr="000062BC">
              <w:rPr>
                <w:rFonts w:cs="Arial"/>
                <w:sz w:val="22"/>
                <w:szCs w:val="22"/>
                <w:lang w:eastAsia="en-GB"/>
              </w:rPr>
              <w:t>)</w:t>
            </w:r>
          </w:p>
        </w:tc>
        <w:tc>
          <w:tcPr>
            <w:tcW w:w="850" w:type="dxa"/>
            <w:tcBorders>
              <w:top w:val="nil"/>
              <w:left w:val="nil"/>
              <w:bottom w:val="nil"/>
              <w:right w:val="nil"/>
            </w:tcBorders>
            <w:shd w:val="clear" w:color="000000" w:fill="FFFFFF"/>
            <w:noWrap/>
            <w:vAlign w:val="center"/>
            <w:hideMark/>
          </w:tcPr>
          <w:p w14:paraId="5C843692" w14:textId="099B0D7E" w:rsidR="003334A3" w:rsidRPr="000062BC" w:rsidRDefault="00BB6DFC" w:rsidP="0070459C">
            <w:pPr>
              <w:jc w:val="right"/>
              <w:rPr>
                <w:rFonts w:cs="Arial"/>
                <w:sz w:val="22"/>
                <w:szCs w:val="22"/>
                <w:lang w:eastAsia="en-GB"/>
              </w:rPr>
            </w:pPr>
            <w:r>
              <w:rPr>
                <w:rFonts w:cs="Arial"/>
                <w:sz w:val="22"/>
                <w:szCs w:val="22"/>
                <w:lang w:eastAsia="en-GB"/>
              </w:rPr>
              <w:t>477</w:t>
            </w:r>
          </w:p>
        </w:tc>
        <w:tc>
          <w:tcPr>
            <w:tcW w:w="4678" w:type="dxa"/>
            <w:tcBorders>
              <w:top w:val="nil"/>
              <w:left w:val="nil"/>
              <w:bottom w:val="nil"/>
              <w:right w:val="nil"/>
            </w:tcBorders>
            <w:shd w:val="clear" w:color="000000" w:fill="FFFFFF"/>
            <w:vAlign w:val="center"/>
            <w:hideMark/>
          </w:tcPr>
          <w:p w14:paraId="572E7700" w14:textId="77777777" w:rsidR="003334A3" w:rsidRPr="000062BC" w:rsidRDefault="003334A3" w:rsidP="0070459C">
            <w:pPr>
              <w:rPr>
                <w:rFonts w:cs="Arial"/>
                <w:sz w:val="22"/>
                <w:szCs w:val="22"/>
                <w:lang w:eastAsia="en-GB"/>
              </w:rPr>
            </w:pPr>
            <w:r w:rsidRPr="000062BC">
              <w:rPr>
                <w:rFonts w:cs="Arial"/>
                <w:sz w:val="22"/>
                <w:szCs w:val="22"/>
                <w:lang w:eastAsia="en-GB"/>
              </w:rPr>
              <w:t>Pension Net Interest Cost</w:t>
            </w:r>
          </w:p>
        </w:tc>
        <w:tc>
          <w:tcPr>
            <w:tcW w:w="852" w:type="dxa"/>
            <w:tcBorders>
              <w:top w:val="nil"/>
              <w:left w:val="nil"/>
              <w:bottom w:val="nil"/>
              <w:right w:val="nil"/>
            </w:tcBorders>
            <w:shd w:val="clear" w:color="000000" w:fill="FFFFFF"/>
            <w:vAlign w:val="center"/>
            <w:hideMark/>
          </w:tcPr>
          <w:p w14:paraId="2C980D6C" w14:textId="1F6B47FA" w:rsidR="003334A3" w:rsidRPr="000062BC" w:rsidRDefault="00E46377" w:rsidP="0070459C">
            <w:pPr>
              <w:jc w:val="right"/>
              <w:rPr>
                <w:rFonts w:cs="Arial"/>
                <w:sz w:val="22"/>
                <w:szCs w:val="22"/>
                <w:lang w:eastAsia="en-GB"/>
              </w:rPr>
            </w:pPr>
            <w:r w:rsidRPr="000062BC">
              <w:rPr>
                <w:rFonts w:cs="Arial"/>
                <w:sz w:val="22"/>
                <w:szCs w:val="22"/>
                <w:lang w:eastAsia="en-GB"/>
              </w:rPr>
              <w:t>2,</w:t>
            </w:r>
            <w:r w:rsidR="00BB6DFC">
              <w:rPr>
                <w:rFonts w:cs="Arial"/>
                <w:sz w:val="22"/>
                <w:szCs w:val="22"/>
                <w:lang w:eastAsia="en-GB"/>
              </w:rPr>
              <w:t>714</w:t>
            </w:r>
          </w:p>
        </w:tc>
        <w:tc>
          <w:tcPr>
            <w:tcW w:w="990" w:type="dxa"/>
            <w:tcBorders>
              <w:top w:val="nil"/>
              <w:left w:val="nil"/>
              <w:bottom w:val="nil"/>
              <w:right w:val="nil"/>
            </w:tcBorders>
            <w:shd w:val="clear" w:color="000000" w:fill="FFFFFF"/>
            <w:vAlign w:val="center"/>
            <w:hideMark/>
          </w:tcPr>
          <w:p w14:paraId="6047BA94" w14:textId="057653DD" w:rsidR="003334A3" w:rsidRPr="000062BC" w:rsidRDefault="003334A3" w:rsidP="0070459C">
            <w:pPr>
              <w:jc w:val="right"/>
              <w:rPr>
                <w:rFonts w:cs="Arial"/>
                <w:sz w:val="22"/>
                <w:szCs w:val="22"/>
                <w:lang w:eastAsia="en-GB"/>
              </w:rPr>
            </w:pPr>
            <w:r w:rsidRPr="000062BC">
              <w:rPr>
                <w:rFonts w:cs="Arial"/>
                <w:sz w:val="22"/>
                <w:szCs w:val="22"/>
                <w:lang w:eastAsia="en-GB"/>
              </w:rPr>
              <w:t>(</w:t>
            </w:r>
            <w:r w:rsidR="00BB6DFC">
              <w:rPr>
                <w:rFonts w:cs="Arial"/>
                <w:sz w:val="22"/>
                <w:szCs w:val="22"/>
                <w:lang w:eastAsia="en-GB"/>
              </w:rPr>
              <w:t>2,971</w:t>
            </w:r>
            <w:r w:rsidRPr="000062BC">
              <w:rPr>
                <w:rFonts w:cs="Arial"/>
                <w:sz w:val="22"/>
                <w:szCs w:val="22"/>
                <w:lang w:eastAsia="en-GB"/>
              </w:rPr>
              <w:t>)</w:t>
            </w:r>
          </w:p>
        </w:tc>
        <w:tc>
          <w:tcPr>
            <w:tcW w:w="730" w:type="dxa"/>
            <w:tcBorders>
              <w:top w:val="nil"/>
              <w:left w:val="nil"/>
              <w:bottom w:val="nil"/>
              <w:right w:val="nil"/>
            </w:tcBorders>
            <w:shd w:val="clear" w:color="000000" w:fill="FFFFFF"/>
            <w:noWrap/>
            <w:vAlign w:val="center"/>
            <w:hideMark/>
          </w:tcPr>
          <w:p w14:paraId="3ACDB182" w14:textId="08628208" w:rsidR="003334A3" w:rsidRPr="000062BC" w:rsidRDefault="00BB6DFC" w:rsidP="0070459C">
            <w:pPr>
              <w:jc w:val="right"/>
              <w:rPr>
                <w:rFonts w:cs="Arial"/>
                <w:sz w:val="22"/>
                <w:szCs w:val="22"/>
                <w:lang w:eastAsia="en-GB"/>
              </w:rPr>
            </w:pPr>
            <w:r>
              <w:rPr>
                <w:rFonts w:cs="Arial"/>
                <w:sz w:val="22"/>
                <w:szCs w:val="22"/>
                <w:lang w:eastAsia="en-GB"/>
              </w:rPr>
              <w:t>(257)</w:t>
            </w:r>
          </w:p>
        </w:tc>
        <w:tc>
          <w:tcPr>
            <w:tcW w:w="278" w:type="dxa"/>
            <w:tcBorders>
              <w:top w:val="nil"/>
              <w:left w:val="nil"/>
              <w:bottom w:val="nil"/>
              <w:right w:val="single" w:sz="8" w:space="0" w:color="auto"/>
            </w:tcBorders>
            <w:shd w:val="clear" w:color="000000" w:fill="FFFFFF"/>
            <w:noWrap/>
            <w:vAlign w:val="center"/>
            <w:hideMark/>
          </w:tcPr>
          <w:p w14:paraId="001F97BB" w14:textId="77777777" w:rsidR="003334A3" w:rsidRPr="000062BC" w:rsidRDefault="003334A3" w:rsidP="0070459C">
            <w:pPr>
              <w:rPr>
                <w:rFonts w:cs="Arial"/>
                <w:sz w:val="22"/>
                <w:szCs w:val="22"/>
                <w:lang w:eastAsia="en-GB"/>
              </w:rPr>
            </w:pPr>
            <w:r w:rsidRPr="000062BC">
              <w:rPr>
                <w:rFonts w:cs="Arial"/>
                <w:sz w:val="22"/>
                <w:szCs w:val="22"/>
                <w:lang w:eastAsia="en-GB"/>
              </w:rPr>
              <w:t> </w:t>
            </w:r>
          </w:p>
        </w:tc>
      </w:tr>
      <w:tr w:rsidR="00E46377" w:rsidRPr="000062BC" w14:paraId="0F017636" w14:textId="77777777" w:rsidTr="008F5F09">
        <w:trPr>
          <w:trHeight w:val="280"/>
        </w:trPr>
        <w:tc>
          <w:tcPr>
            <w:tcW w:w="278" w:type="dxa"/>
            <w:tcBorders>
              <w:top w:val="nil"/>
              <w:left w:val="single" w:sz="8" w:space="0" w:color="auto"/>
              <w:bottom w:val="nil"/>
              <w:right w:val="nil"/>
            </w:tcBorders>
            <w:shd w:val="clear" w:color="000000" w:fill="FFFFFF"/>
            <w:noWrap/>
            <w:vAlign w:val="center"/>
            <w:hideMark/>
          </w:tcPr>
          <w:p w14:paraId="170B4450" w14:textId="77777777" w:rsidR="003334A3" w:rsidRPr="000062BC" w:rsidRDefault="003334A3" w:rsidP="0070459C">
            <w:pPr>
              <w:rPr>
                <w:rFonts w:cs="Arial"/>
                <w:sz w:val="22"/>
                <w:szCs w:val="22"/>
                <w:lang w:eastAsia="en-GB"/>
              </w:rPr>
            </w:pPr>
            <w:r w:rsidRPr="000062BC">
              <w:rPr>
                <w:rFonts w:cs="Arial"/>
                <w:sz w:val="22"/>
                <w:szCs w:val="22"/>
                <w:lang w:eastAsia="en-GB"/>
              </w:rPr>
              <w:t> </w:t>
            </w:r>
          </w:p>
        </w:tc>
        <w:tc>
          <w:tcPr>
            <w:tcW w:w="852" w:type="dxa"/>
            <w:tcBorders>
              <w:top w:val="nil"/>
              <w:left w:val="nil"/>
              <w:bottom w:val="nil"/>
              <w:right w:val="nil"/>
            </w:tcBorders>
            <w:shd w:val="clear" w:color="000000" w:fill="FFFFFF"/>
            <w:noWrap/>
            <w:vAlign w:val="center"/>
            <w:hideMark/>
          </w:tcPr>
          <w:p w14:paraId="26488057" w14:textId="77777777" w:rsidR="003334A3" w:rsidRPr="000062BC" w:rsidRDefault="003334A3" w:rsidP="0070459C">
            <w:pPr>
              <w:jc w:val="right"/>
              <w:rPr>
                <w:rFonts w:cs="Arial"/>
                <w:sz w:val="22"/>
                <w:szCs w:val="22"/>
                <w:lang w:eastAsia="en-GB"/>
              </w:rPr>
            </w:pPr>
            <w:r w:rsidRPr="000062BC">
              <w:rPr>
                <w:rFonts w:cs="Arial"/>
                <w:sz w:val="22"/>
                <w:szCs w:val="22"/>
                <w:lang w:eastAsia="en-GB"/>
              </w:rPr>
              <w:t>0</w:t>
            </w:r>
          </w:p>
        </w:tc>
        <w:tc>
          <w:tcPr>
            <w:tcW w:w="987" w:type="dxa"/>
            <w:tcBorders>
              <w:top w:val="nil"/>
              <w:left w:val="nil"/>
              <w:bottom w:val="nil"/>
              <w:right w:val="nil"/>
            </w:tcBorders>
            <w:shd w:val="clear" w:color="000000" w:fill="FFFFFF"/>
            <w:noWrap/>
            <w:vAlign w:val="center"/>
            <w:hideMark/>
          </w:tcPr>
          <w:p w14:paraId="467043D3" w14:textId="34712F6C" w:rsidR="003334A3" w:rsidRPr="000062BC" w:rsidRDefault="003334A3" w:rsidP="0070459C">
            <w:pPr>
              <w:jc w:val="right"/>
              <w:rPr>
                <w:rFonts w:cs="Arial"/>
                <w:sz w:val="22"/>
                <w:szCs w:val="22"/>
                <w:lang w:eastAsia="en-GB"/>
              </w:rPr>
            </w:pPr>
            <w:r w:rsidRPr="000062BC">
              <w:rPr>
                <w:rFonts w:cs="Arial"/>
                <w:sz w:val="22"/>
                <w:szCs w:val="22"/>
                <w:lang w:eastAsia="en-GB"/>
              </w:rPr>
              <w:t>(</w:t>
            </w:r>
            <w:r w:rsidR="00BB6DFC">
              <w:rPr>
                <w:rFonts w:cs="Arial"/>
                <w:sz w:val="22"/>
                <w:szCs w:val="22"/>
                <w:lang w:eastAsia="en-GB"/>
              </w:rPr>
              <w:t>102</w:t>
            </w:r>
            <w:r w:rsidRPr="000062BC">
              <w:rPr>
                <w:rFonts w:cs="Arial"/>
                <w:sz w:val="22"/>
                <w:szCs w:val="22"/>
                <w:lang w:eastAsia="en-GB"/>
              </w:rPr>
              <w:t>)</w:t>
            </w:r>
          </w:p>
        </w:tc>
        <w:tc>
          <w:tcPr>
            <w:tcW w:w="850" w:type="dxa"/>
            <w:tcBorders>
              <w:top w:val="nil"/>
              <w:left w:val="nil"/>
              <w:bottom w:val="nil"/>
              <w:right w:val="nil"/>
            </w:tcBorders>
            <w:shd w:val="clear" w:color="000000" w:fill="FFFFFF"/>
            <w:noWrap/>
            <w:vAlign w:val="center"/>
            <w:hideMark/>
          </w:tcPr>
          <w:p w14:paraId="5BE6D4A9" w14:textId="42DD39E3" w:rsidR="003334A3" w:rsidRPr="000062BC" w:rsidRDefault="003334A3" w:rsidP="0070459C">
            <w:pPr>
              <w:jc w:val="right"/>
              <w:rPr>
                <w:rFonts w:cs="Arial"/>
                <w:sz w:val="22"/>
                <w:szCs w:val="22"/>
                <w:lang w:eastAsia="en-GB"/>
              </w:rPr>
            </w:pPr>
            <w:r w:rsidRPr="000062BC">
              <w:rPr>
                <w:rFonts w:cs="Arial"/>
                <w:sz w:val="22"/>
                <w:szCs w:val="22"/>
                <w:lang w:eastAsia="en-GB"/>
              </w:rPr>
              <w:t>(</w:t>
            </w:r>
            <w:r w:rsidR="00BB6DFC">
              <w:rPr>
                <w:rFonts w:cs="Arial"/>
                <w:sz w:val="22"/>
                <w:szCs w:val="22"/>
                <w:lang w:eastAsia="en-GB"/>
              </w:rPr>
              <w:t>102</w:t>
            </w:r>
            <w:r w:rsidRPr="000062BC">
              <w:rPr>
                <w:rFonts w:cs="Arial"/>
                <w:sz w:val="22"/>
                <w:szCs w:val="22"/>
                <w:lang w:eastAsia="en-GB"/>
              </w:rPr>
              <w:t>)</w:t>
            </w:r>
          </w:p>
        </w:tc>
        <w:tc>
          <w:tcPr>
            <w:tcW w:w="4678" w:type="dxa"/>
            <w:tcBorders>
              <w:top w:val="nil"/>
              <w:left w:val="nil"/>
              <w:bottom w:val="nil"/>
              <w:right w:val="nil"/>
            </w:tcBorders>
            <w:shd w:val="clear" w:color="000000" w:fill="FFFFFF"/>
            <w:noWrap/>
            <w:vAlign w:val="center"/>
            <w:hideMark/>
          </w:tcPr>
          <w:p w14:paraId="41793D86" w14:textId="77777777" w:rsidR="003334A3" w:rsidRPr="000062BC" w:rsidRDefault="003334A3" w:rsidP="0070459C">
            <w:pPr>
              <w:rPr>
                <w:rFonts w:cs="Arial"/>
                <w:sz w:val="22"/>
                <w:szCs w:val="22"/>
                <w:lang w:eastAsia="en-GB"/>
              </w:rPr>
            </w:pPr>
            <w:r w:rsidRPr="000062BC">
              <w:rPr>
                <w:rFonts w:cs="Arial"/>
                <w:sz w:val="22"/>
                <w:szCs w:val="22"/>
                <w:lang w:eastAsia="en-GB"/>
              </w:rPr>
              <w:t>Interest receivable</w:t>
            </w:r>
          </w:p>
        </w:tc>
        <w:tc>
          <w:tcPr>
            <w:tcW w:w="852" w:type="dxa"/>
            <w:tcBorders>
              <w:top w:val="nil"/>
              <w:left w:val="nil"/>
              <w:bottom w:val="nil"/>
              <w:right w:val="nil"/>
            </w:tcBorders>
            <w:shd w:val="clear" w:color="000000" w:fill="FFFFFF"/>
            <w:noWrap/>
            <w:vAlign w:val="center"/>
            <w:hideMark/>
          </w:tcPr>
          <w:p w14:paraId="633A0742" w14:textId="77777777" w:rsidR="003334A3" w:rsidRPr="000062BC" w:rsidRDefault="003334A3" w:rsidP="0070459C">
            <w:pPr>
              <w:jc w:val="right"/>
              <w:rPr>
                <w:rFonts w:cs="Arial"/>
                <w:sz w:val="22"/>
                <w:szCs w:val="22"/>
                <w:lang w:eastAsia="en-GB"/>
              </w:rPr>
            </w:pPr>
            <w:r w:rsidRPr="000062BC">
              <w:rPr>
                <w:rFonts w:cs="Arial"/>
                <w:sz w:val="22"/>
                <w:szCs w:val="22"/>
                <w:lang w:eastAsia="en-GB"/>
              </w:rPr>
              <w:t>0</w:t>
            </w:r>
          </w:p>
        </w:tc>
        <w:tc>
          <w:tcPr>
            <w:tcW w:w="990" w:type="dxa"/>
            <w:tcBorders>
              <w:top w:val="nil"/>
              <w:left w:val="nil"/>
              <w:bottom w:val="nil"/>
              <w:right w:val="nil"/>
            </w:tcBorders>
            <w:shd w:val="clear" w:color="000000" w:fill="FFFFFF"/>
            <w:vAlign w:val="center"/>
            <w:hideMark/>
          </w:tcPr>
          <w:p w14:paraId="4435570D" w14:textId="029ECE17" w:rsidR="003334A3" w:rsidRPr="000062BC" w:rsidRDefault="003334A3" w:rsidP="0070459C">
            <w:pPr>
              <w:jc w:val="right"/>
              <w:rPr>
                <w:rFonts w:cs="Arial"/>
                <w:sz w:val="22"/>
                <w:szCs w:val="22"/>
                <w:lang w:eastAsia="en-GB"/>
              </w:rPr>
            </w:pPr>
            <w:r w:rsidRPr="000062BC">
              <w:rPr>
                <w:rFonts w:cs="Arial"/>
                <w:sz w:val="22"/>
                <w:szCs w:val="22"/>
                <w:lang w:eastAsia="en-GB"/>
              </w:rPr>
              <w:t>(</w:t>
            </w:r>
            <w:r w:rsidR="00BB6DFC">
              <w:rPr>
                <w:rFonts w:cs="Arial"/>
                <w:sz w:val="22"/>
                <w:szCs w:val="22"/>
                <w:lang w:eastAsia="en-GB"/>
              </w:rPr>
              <w:t>217</w:t>
            </w:r>
            <w:r w:rsidRPr="000062BC">
              <w:rPr>
                <w:rFonts w:cs="Arial"/>
                <w:sz w:val="22"/>
                <w:szCs w:val="22"/>
                <w:lang w:eastAsia="en-GB"/>
              </w:rPr>
              <w:t>)</w:t>
            </w:r>
          </w:p>
        </w:tc>
        <w:tc>
          <w:tcPr>
            <w:tcW w:w="730" w:type="dxa"/>
            <w:tcBorders>
              <w:top w:val="nil"/>
              <w:left w:val="nil"/>
              <w:bottom w:val="nil"/>
              <w:right w:val="nil"/>
            </w:tcBorders>
            <w:shd w:val="clear" w:color="000000" w:fill="FFFFFF"/>
            <w:vAlign w:val="center"/>
            <w:hideMark/>
          </w:tcPr>
          <w:p w14:paraId="4D597306" w14:textId="0BF18B1C" w:rsidR="003334A3" w:rsidRPr="000062BC" w:rsidRDefault="003334A3" w:rsidP="0070459C">
            <w:pPr>
              <w:jc w:val="right"/>
              <w:rPr>
                <w:rFonts w:cs="Arial"/>
                <w:sz w:val="22"/>
                <w:szCs w:val="22"/>
                <w:lang w:eastAsia="en-GB"/>
              </w:rPr>
            </w:pPr>
            <w:r w:rsidRPr="000062BC">
              <w:rPr>
                <w:rFonts w:cs="Arial"/>
                <w:sz w:val="22"/>
                <w:szCs w:val="22"/>
                <w:lang w:eastAsia="en-GB"/>
              </w:rPr>
              <w:t>(</w:t>
            </w:r>
            <w:r w:rsidR="00BB6DFC">
              <w:rPr>
                <w:rFonts w:cs="Arial"/>
                <w:sz w:val="22"/>
                <w:szCs w:val="22"/>
                <w:lang w:eastAsia="en-GB"/>
              </w:rPr>
              <w:t>217</w:t>
            </w:r>
            <w:r w:rsidRPr="000062BC">
              <w:rPr>
                <w:rFonts w:cs="Arial"/>
                <w:sz w:val="22"/>
                <w:szCs w:val="22"/>
                <w:lang w:eastAsia="en-GB"/>
              </w:rPr>
              <w:t>)</w:t>
            </w:r>
          </w:p>
        </w:tc>
        <w:tc>
          <w:tcPr>
            <w:tcW w:w="278" w:type="dxa"/>
            <w:tcBorders>
              <w:top w:val="nil"/>
              <w:left w:val="nil"/>
              <w:bottom w:val="nil"/>
              <w:right w:val="single" w:sz="8" w:space="0" w:color="auto"/>
            </w:tcBorders>
            <w:shd w:val="clear" w:color="000000" w:fill="FFFFFF"/>
            <w:noWrap/>
            <w:vAlign w:val="center"/>
            <w:hideMark/>
          </w:tcPr>
          <w:p w14:paraId="7B9E9D32" w14:textId="77777777" w:rsidR="003334A3" w:rsidRPr="000062BC" w:rsidRDefault="003334A3" w:rsidP="0070459C">
            <w:pPr>
              <w:rPr>
                <w:rFonts w:cs="Arial"/>
                <w:sz w:val="22"/>
                <w:szCs w:val="22"/>
                <w:lang w:eastAsia="en-GB"/>
              </w:rPr>
            </w:pPr>
            <w:r w:rsidRPr="000062BC">
              <w:rPr>
                <w:rFonts w:cs="Arial"/>
                <w:sz w:val="22"/>
                <w:szCs w:val="22"/>
                <w:lang w:eastAsia="en-GB"/>
              </w:rPr>
              <w:t> </w:t>
            </w:r>
          </w:p>
        </w:tc>
      </w:tr>
      <w:tr w:rsidR="00E46377" w:rsidRPr="000062BC" w14:paraId="7924549F" w14:textId="77777777" w:rsidTr="008F5F09">
        <w:trPr>
          <w:trHeight w:val="560"/>
        </w:trPr>
        <w:tc>
          <w:tcPr>
            <w:tcW w:w="278" w:type="dxa"/>
            <w:tcBorders>
              <w:top w:val="nil"/>
              <w:left w:val="single" w:sz="8" w:space="0" w:color="auto"/>
              <w:bottom w:val="nil"/>
              <w:right w:val="nil"/>
            </w:tcBorders>
            <w:shd w:val="clear" w:color="000000" w:fill="FFFFFF"/>
            <w:noWrap/>
            <w:vAlign w:val="center"/>
            <w:hideMark/>
          </w:tcPr>
          <w:p w14:paraId="4620B096" w14:textId="77777777" w:rsidR="003334A3" w:rsidRPr="000062BC" w:rsidRDefault="003334A3" w:rsidP="0070459C">
            <w:pPr>
              <w:rPr>
                <w:rFonts w:cs="Arial"/>
                <w:sz w:val="22"/>
                <w:szCs w:val="22"/>
                <w:lang w:eastAsia="en-GB"/>
              </w:rPr>
            </w:pPr>
            <w:r w:rsidRPr="000062BC">
              <w:rPr>
                <w:rFonts w:cs="Arial"/>
                <w:sz w:val="22"/>
                <w:szCs w:val="22"/>
                <w:lang w:eastAsia="en-GB"/>
              </w:rPr>
              <w:t> </w:t>
            </w:r>
          </w:p>
        </w:tc>
        <w:tc>
          <w:tcPr>
            <w:tcW w:w="852" w:type="dxa"/>
            <w:tcBorders>
              <w:top w:val="nil"/>
              <w:left w:val="nil"/>
              <w:bottom w:val="nil"/>
              <w:right w:val="nil"/>
            </w:tcBorders>
            <w:shd w:val="clear" w:color="000000" w:fill="FFFFFF"/>
            <w:vAlign w:val="center"/>
            <w:hideMark/>
          </w:tcPr>
          <w:p w14:paraId="6F234275" w14:textId="336850D8" w:rsidR="003334A3" w:rsidRPr="000062BC" w:rsidRDefault="00BB6DFC" w:rsidP="0070459C">
            <w:pPr>
              <w:jc w:val="right"/>
              <w:rPr>
                <w:rFonts w:cs="Arial"/>
                <w:sz w:val="22"/>
                <w:szCs w:val="22"/>
                <w:lang w:eastAsia="en-GB"/>
              </w:rPr>
            </w:pPr>
            <w:r>
              <w:rPr>
                <w:rFonts w:cs="Arial"/>
                <w:sz w:val="22"/>
                <w:szCs w:val="22"/>
                <w:lang w:eastAsia="en-GB"/>
              </w:rPr>
              <w:t>1,624</w:t>
            </w:r>
          </w:p>
        </w:tc>
        <w:tc>
          <w:tcPr>
            <w:tcW w:w="987" w:type="dxa"/>
            <w:tcBorders>
              <w:top w:val="nil"/>
              <w:left w:val="nil"/>
              <w:bottom w:val="nil"/>
              <w:right w:val="nil"/>
            </w:tcBorders>
            <w:shd w:val="clear" w:color="000000" w:fill="FFFFFF"/>
            <w:vAlign w:val="center"/>
            <w:hideMark/>
          </w:tcPr>
          <w:p w14:paraId="36B965C9" w14:textId="7D16C980" w:rsidR="003334A3" w:rsidRPr="000062BC" w:rsidRDefault="003334A3" w:rsidP="0070459C">
            <w:pPr>
              <w:jc w:val="right"/>
              <w:rPr>
                <w:rFonts w:cs="Arial"/>
                <w:sz w:val="22"/>
                <w:szCs w:val="22"/>
                <w:lang w:eastAsia="en-GB"/>
              </w:rPr>
            </w:pPr>
            <w:r w:rsidRPr="000062BC">
              <w:rPr>
                <w:rFonts w:cs="Arial"/>
                <w:sz w:val="22"/>
                <w:szCs w:val="22"/>
                <w:lang w:eastAsia="en-GB"/>
              </w:rPr>
              <w:t>(</w:t>
            </w:r>
            <w:r w:rsidR="00BB6DFC">
              <w:rPr>
                <w:rFonts w:cs="Arial"/>
                <w:sz w:val="22"/>
                <w:szCs w:val="22"/>
                <w:lang w:eastAsia="en-GB"/>
              </w:rPr>
              <w:t>1,771</w:t>
            </w:r>
            <w:r w:rsidRPr="000062BC">
              <w:rPr>
                <w:rFonts w:cs="Arial"/>
                <w:sz w:val="22"/>
                <w:szCs w:val="22"/>
                <w:lang w:eastAsia="en-GB"/>
              </w:rPr>
              <w:t>)</w:t>
            </w:r>
          </w:p>
        </w:tc>
        <w:tc>
          <w:tcPr>
            <w:tcW w:w="850" w:type="dxa"/>
            <w:tcBorders>
              <w:top w:val="nil"/>
              <w:left w:val="nil"/>
              <w:bottom w:val="nil"/>
              <w:right w:val="nil"/>
            </w:tcBorders>
            <w:shd w:val="clear" w:color="000000" w:fill="FFFFFF"/>
            <w:noWrap/>
            <w:vAlign w:val="center"/>
            <w:hideMark/>
          </w:tcPr>
          <w:p w14:paraId="01829D6D" w14:textId="16695596" w:rsidR="003334A3" w:rsidRPr="000062BC" w:rsidRDefault="003334A3" w:rsidP="0070459C">
            <w:pPr>
              <w:jc w:val="right"/>
              <w:rPr>
                <w:rFonts w:cs="Arial"/>
                <w:sz w:val="22"/>
                <w:szCs w:val="22"/>
                <w:lang w:eastAsia="en-GB"/>
              </w:rPr>
            </w:pPr>
            <w:r w:rsidRPr="000062BC">
              <w:rPr>
                <w:rFonts w:cs="Arial"/>
                <w:sz w:val="22"/>
                <w:szCs w:val="22"/>
                <w:lang w:eastAsia="en-GB"/>
              </w:rPr>
              <w:t>(</w:t>
            </w:r>
            <w:r w:rsidR="00BB6DFC">
              <w:rPr>
                <w:rFonts w:cs="Arial"/>
                <w:sz w:val="22"/>
                <w:szCs w:val="22"/>
                <w:lang w:eastAsia="en-GB"/>
              </w:rPr>
              <w:t>146</w:t>
            </w:r>
            <w:r w:rsidRPr="000062BC">
              <w:rPr>
                <w:rFonts w:cs="Arial"/>
                <w:sz w:val="22"/>
                <w:szCs w:val="22"/>
                <w:lang w:eastAsia="en-GB"/>
              </w:rPr>
              <w:t>)</w:t>
            </w:r>
          </w:p>
        </w:tc>
        <w:tc>
          <w:tcPr>
            <w:tcW w:w="4678" w:type="dxa"/>
            <w:tcBorders>
              <w:top w:val="nil"/>
              <w:left w:val="nil"/>
              <w:bottom w:val="nil"/>
              <w:right w:val="nil"/>
            </w:tcBorders>
            <w:shd w:val="clear" w:color="000000" w:fill="FFFFFF"/>
            <w:vAlign w:val="center"/>
            <w:hideMark/>
          </w:tcPr>
          <w:p w14:paraId="0ADE0411" w14:textId="77777777" w:rsidR="003334A3" w:rsidRPr="000062BC" w:rsidRDefault="003334A3" w:rsidP="0070459C">
            <w:pPr>
              <w:rPr>
                <w:rFonts w:cs="Arial"/>
                <w:sz w:val="22"/>
                <w:szCs w:val="22"/>
                <w:lang w:eastAsia="en-GB"/>
              </w:rPr>
            </w:pPr>
            <w:r w:rsidRPr="000062BC">
              <w:rPr>
                <w:rFonts w:cs="Arial"/>
                <w:sz w:val="22"/>
                <w:szCs w:val="22"/>
                <w:lang w:eastAsia="en-GB"/>
              </w:rPr>
              <w:t xml:space="preserve">Income &amp; expenditure on investment properties and changes to their fair value </w:t>
            </w:r>
          </w:p>
        </w:tc>
        <w:tc>
          <w:tcPr>
            <w:tcW w:w="852" w:type="dxa"/>
            <w:tcBorders>
              <w:top w:val="nil"/>
              <w:left w:val="nil"/>
              <w:bottom w:val="nil"/>
              <w:right w:val="nil"/>
            </w:tcBorders>
            <w:shd w:val="clear" w:color="000000" w:fill="FFFFFF"/>
            <w:vAlign w:val="center"/>
            <w:hideMark/>
          </w:tcPr>
          <w:p w14:paraId="024EACC3" w14:textId="4666C105" w:rsidR="003334A3" w:rsidRPr="000062BC" w:rsidRDefault="00BB6DFC" w:rsidP="0070459C">
            <w:pPr>
              <w:jc w:val="right"/>
              <w:rPr>
                <w:rFonts w:cs="Arial"/>
                <w:sz w:val="22"/>
                <w:szCs w:val="22"/>
                <w:lang w:eastAsia="en-GB"/>
              </w:rPr>
            </w:pPr>
            <w:r>
              <w:rPr>
                <w:rFonts w:cs="Arial"/>
                <w:sz w:val="22"/>
                <w:szCs w:val="22"/>
                <w:lang w:eastAsia="en-GB"/>
              </w:rPr>
              <w:t>212</w:t>
            </w:r>
          </w:p>
        </w:tc>
        <w:tc>
          <w:tcPr>
            <w:tcW w:w="990" w:type="dxa"/>
            <w:tcBorders>
              <w:top w:val="nil"/>
              <w:left w:val="nil"/>
              <w:bottom w:val="nil"/>
              <w:right w:val="nil"/>
            </w:tcBorders>
            <w:shd w:val="clear" w:color="000000" w:fill="FFFFFF"/>
            <w:vAlign w:val="center"/>
            <w:hideMark/>
          </w:tcPr>
          <w:p w14:paraId="1F4676BE" w14:textId="04C1B760" w:rsidR="003334A3" w:rsidRPr="000062BC" w:rsidRDefault="003334A3" w:rsidP="0070459C">
            <w:pPr>
              <w:jc w:val="right"/>
              <w:rPr>
                <w:rFonts w:cs="Arial"/>
                <w:sz w:val="22"/>
                <w:szCs w:val="22"/>
                <w:lang w:eastAsia="en-GB"/>
              </w:rPr>
            </w:pPr>
            <w:r w:rsidRPr="000062BC">
              <w:rPr>
                <w:rFonts w:cs="Arial"/>
                <w:sz w:val="22"/>
                <w:szCs w:val="22"/>
                <w:lang w:eastAsia="en-GB"/>
              </w:rPr>
              <w:t>(</w:t>
            </w:r>
            <w:r w:rsidR="00BB6DFC">
              <w:rPr>
                <w:rFonts w:cs="Arial"/>
                <w:sz w:val="22"/>
                <w:szCs w:val="22"/>
                <w:lang w:eastAsia="en-GB"/>
              </w:rPr>
              <w:t>295</w:t>
            </w:r>
            <w:r w:rsidR="00E46377" w:rsidRPr="000062BC">
              <w:rPr>
                <w:rFonts w:cs="Arial"/>
                <w:sz w:val="22"/>
                <w:szCs w:val="22"/>
                <w:lang w:eastAsia="en-GB"/>
              </w:rPr>
              <w:t>)</w:t>
            </w:r>
          </w:p>
        </w:tc>
        <w:tc>
          <w:tcPr>
            <w:tcW w:w="730" w:type="dxa"/>
            <w:tcBorders>
              <w:top w:val="nil"/>
              <w:left w:val="nil"/>
              <w:bottom w:val="nil"/>
              <w:right w:val="nil"/>
            </w:tcBorders>
            <w:shd w:val="clear" w:color="000000" w:fill="FFFFFF"/>
            <w:noWrap/>
            <w:vAlign w:val="center"/>
            <w:hideMark/>
          </w:tcPr>
          <w:p w14:paraId="6D461434" w14:textId="75B526F2" w:rsidR="003334A3" w:rsidRPr="000062BC" w:rsidRDefault="003334A3" w:rsidP="0070459C">
            <w:pPr>
              <w:jc w:val="right"/>
              <w:rPr>
                <w:rFonts w:cs="Arial"/>
                <w:sz w:val="22"/>
                <w:szCs w:val="22"/>
                <w:lang w:eastAsia="en-GB"/>
              </w:rPr>
            </w:pPr>
            <w:r w:rsidRPr="000062BC">
              <w:rPr>
                <w:rFonts w:cs="Arial"/>
                <w:sz w:val="22"/>
                <w:szCs w:val="22"/>
                <w:lang w:eastAsia="en-GB"/>
              </w:rPr>
              <w:t>(</w:t>
            </w:r>
            <w:r w:rsidR="00BB6DFC">
              <w:rPr>
                <w:rFonts w:cs="Arial"/>
                <w:sz w:val="22"/>
                <w:szCs w:val="22"/>
                <w:lang w:eastAsia="en-GB"/>
              </w:rPr>
              <w:t>83</w:t>
            </w:r>
            <w:r w:rsidRPr="000062BC">
              <w:rPr>
                <w:rFonts w:cs="Arial"/>
                <w:sz w:val="22"/>
                <w:szCs w:val="22"/>
                <w:lang w:eastAsia="en-GB"/>
              </w:rPr>
              <w:t>)</w:t>
            </w:r>
          </w:p>
        </w:tc>
        <w:tc>
          <w:tcPr>
            <w:tcW w:w="278" w:type="dxa"/>
            <w:tcBorders>
              <w:top w:val="nil"/>
              <w:left w:val="nil"/>
              <w:bottom w:val="nil"/>
              <w:right w:val="single" w:sz="8" w:space="0" w:color="auto"/>
            </w:tcBorders>
            <w:shd w:val="clear" w:color="000000" w:fill="FFFFFF"/>
            <w:noWrap/>
            <w:vAlign w:val="center"/>
            <w:hideMark/>
          </w:tcPr>
          <w:p w14:paraId="3481F86E" w14:textId="77777777" w:rsidR="003334A3" w:rsidRPr="000062BC" w:rsidRDefault="003334A3" w:rsidP="0070459C">
            <w:pPr>
              <w:rPr>
                <w:rFonts w:cs="Arial"/>
                <w:sz w:val="22"/>
                <w:szCs w:val="22"/>
                <w:lang w:eastAsia="en-GB"/>
              </w:rPr>
            </w:pPr>
            <w:r w:rsidRPr="000062BC">
              <w:rPr>
                <w:rFonts w:cs="Arial"/>
                <w:sz w:val="22"/>
                <w:szCs w:val="22"/>
                <w:lang w:eastAsia="en-GB"/>
              </w:rPr>
              <w:t> </w:t>
            </w:r>
          </w:p>
        </w:tc>
      </w:tr>
      <w:tr w:rsidR="00E46377" w:rsidRPr="000062BC" w14:paraId="7B00E8A5" w14:textId="77777777" w:rsidTr="008F5F09">
        <w:trPr>
          <w:trHeight w:val="280"/>
        </w:trPr>
        <w:tc>
          <w:tcPr>
            <w:tcW w:w="278" w:type="dxa"/>
            <w:tcBorders>
              <w:top w:val="nil"/>
              <w:left w:val="single" w:sz="8" w:space="0" w:color="auto"/>
              <w:bottom w:val="nil"/>
              <w:right w:val="nil"/>
            </w:tcBorders>
            <w:shd w:val="clear" w:color="000000" w:fill="FFFFFF"/>
            <w:noWrap/>
            <w:vAlign w:val="center"/>
            <w:hideMark/>
          </w:tcPr>
          <w:p w14:paraId="01CF4E9A" w14:textId="77777777" w:rsidR="003334A3" w:rsidRPr="000062BC" w:rsidRDefault="003334A3" w:rsidP="0070459C">
            <w:pPr>
              <w:rPr>
                <w:rFonts w:cs="Arial"/>
                <w:sz w:val="22"/>
                <w:szCs w:val="22"/>
                <w:lang w:eastAsia="en-GB"/>
              </w:rPr>
            </w:pPr>
            <w:r w:rsidRPr="000062BC">
              <w:rPr>
                <w:rFonts w:cs="Arial"/>
                <w:sz w:val="22"/>
                <w:szCs w:val="22"/>
                <w:lang w:eastAsia="en-GB"/>
              </w:rPr>
              <w:t> </w:t>
            </w:r>
          </w:p>
        </w:tc>
        <w:tc>
          <w:tcPr>
            <w:tcW w:w="852" w:type="dxa"/>
            <w:tcBorders>
              <w:top w:val="nil"/>
              <w:left w:val="nil"/>
              <w:bottom w:val="nil"/>
              <w:right w:val="nil"/>
            </w:tcBorders>
            <w:shd w:val="clear" w:color="000000" w:fill="FFFFFF"/>
            <w:vAlign w:val="center"/>
            <w:hideMark/>
          </w:tcPr>
          <w:p w14:paraId="090720B9" w14:textId="457B6ECB" w:rsidR="003334A3" w:rsidRPr="000062BC" w:rsidRDefault="003334A3" w:rsidP="0070459C">
            <w:pPr>
              <w:rPr>
                <w:rFonts w:cs="Arial"/>
                <w:sz w:val="22"/>
                <w:szCs w:val="22"/>
                <w:lang w:eastAsia="en-GB"/>
              </w:rPr>
            </w:pPr>
            <w:r w:rsidRPr="000062BC">
              <w:rPr>
                <w:rFonts w:cs="Arial"/>
                <w:sz w:val="22"/>
                <w:szCs w:val="22"/>
                <w:lang w:eastAsia="en-GB"/>
              </w:rPr>
              <w:t> </w:t>
            </w:r>
            <w:r w:rsidR="00BB6DFC">
              <w:rPr>
                <w:rFonts w:cs="Arial"/>
                <w:sz w:val="22"/>
                <w:szCs w:val="22"/>
                <w:lang w:eastAsia="en-GB"/>
              </w:rPr>
              <w:t xml:space="preserve">     23</w:t>
            </w:r>
          </w:p>
        </w:tc>
        <w:tc>
          <w:tcPr>
            <w:tcW w:w="987" w:type="dxa"/>
            <w:tcBorders>
              <w:top w:val="nil"/>
              <w:left w:val="nil"/>
              <w:bottom w:val="nil"/>
              <w:right w:val="nil"/>
            </w:tcBorders>
            <w:shd w:val="clear" w:color="000000" w:fill="FFFFFF"/>
            <w:vAlign w:val="center"/>
            <w:hideMark/>
          </w:tcPr>
          <w:p w14:paraId="717F0437" w14:textId="7A97EA91" w:rsidR="003334A3" w:rsidRPr="000062BC" w:rsidRDefault="003334A3" w:rsidP="0070459C">
            <w:pPr>
              <w:rPr>
                <w:rFonts w:cs="Arial"/>
                <w:sz w:val="22"/>
                <w:szCs w:val="22"/>
                <w:lang w:eastAsia="en-GB"/>
              </w:rPr>
            </w:pPr>
            <w:r w:rsidRPr="000062BC">
              <w:rPr>
                <w:rFonts w:cs="Arial"/>
                <w:sz w:val="22"/>
                <w:szCs w:val="22"/>
                <w:lang w:eastAsia="en-GB"/>
              </w:rPr>
              <w:t> </w:t>
            </w:r>
            <w:r w:rsidR="00BB6DFC">
              <w:rPr>
                <w:rFonts w:cs="Arial"/>
                <w:sz w:val="22"/>
                <w:szCs w:val="22"/>
                <w:lang w:eastAsia="en-GB"/>
              </w:rPr>
              <w:t xml:space="preserve">      -49</w:t>
            </w:r>
          </w:p>
        </w:tc>
        <w:tc>
          <w:tcPr>
            <w:tcW w:w="850" w:type="dxa"/>
            <w:tcBorders>
              <w:top w:val="nil"/>
              <w:left w:val="nil"/>
              <w:bottom w:val="nil"/>
              <w:right w:val="nil"/>
            </w:tcBorders>
            <w:shd w:val="clear" w:color="000000" w:fill="FFFFFF"/>
            <w:noWrap/>
            <w:vAlign w:val="center"/>
            <w:hideMark/>
          </w:tcPr>
          <w:p w14:paraId="30D1ACDB" w14:textId="4D04A3FC" w:rsidR="003334A3" w:rsidRPr="000062BC" w:rsidRDefault="00BB6DFC" w:rsidP="0070459C">
            <w:pPr>
              <w:rPr>
                <w:rFonts w:cs="Arial"/>
                <w:sz w:val="22"/>
                <w:szCs w:val="22"/>
                <w:lang w:eastAsia="en-GB"/>
              </w:rPr>
            </w:pPr>
            <w:r>
              <w:rPr>
                <w:rFonts w:cs="Arial"/>
                <w:sz w:val="22"/>
                <w:szCs w:val="22"/>
                <w:lang w:eastAsia="en-GB"/>
              </w:rPr>
              <w:t xml:space="preserve">    </w:t>
            </w:r>
            <w:r w:rsidR="003334A3" w:rsidRPr="000062BC">
              <w:rPr>
                <w:rFonts w:cs="Arial"/>
                <w:sz w:val="22"/>
                <w:szCs w:val="22"/>
                <w:lang w:eastAsia="en-GB"/>
              </w:rPr>
              <w:t> </w:t>
            </w:r>
            <w:r>
              <w:rPr>
                <w:rFonts w:cs="Arial"/>
                <w:sz w:val="22"/>
                <w:szCs w:val="22"/>
                <w:lang w:eastAsia="en-GB"/>
              </w:rPr>
              <w:t>-26</w:t>
            </w:r>
          </w:p>
        </w:tc>
        <w:tc>
          <w:tcPr>
            <w:tcW w:w="4678" w:type="dxa"/>
            <w:tcBorders>
              <w:top w:val="nil"/>
              <w:left w:val="nil"/>
              <w:bottom w:val="nil"/>
              <w:right w:val="nil"/>
            </w:tcBorders>
            <w:shd w:val="clear" w:color="000000" w:fill="FFFFFF"/>
            <w:vAlign w:val="center"/>
            <w:hideMark/>
          </w:tcPr>
          <w:p w14:paraId="76E11410" w14:textId="3700DDCF" w:rsidR="003334A3" w:rsidRPr="000062BC" w:rsidRDefault="003334A3" w:rsidP="0070459C">
            <w:pPr>
              <w:rPr>
                <w:rFonts w:cs="Arial"/>
                <w:sz w:val="22"/>
                <w:szCs w:val="22"/>
                <w:lang w:eastAsia="en-GB"/>
              </w:rPr>
            </w:pPr>
            <w:r w:rsidRPr="000062BC">
              <w:rPr>
                <w:rFonts w:cs="Arial"/>
                <w:sz w:val="22"/>
                <w:szCs w:val="22"/>
                <w:lang w:eastAsia="en-GB"/>
              </w:rPr>
              <w:t xml:space="preserve">Net Profit / Loss upon Sale of </w:t>
            </w:r>
            <w:r w:rsidR="008F5F09">
              <w:rPr>
                <w:rFonts w:cs="Arial"/>
                <w:sz w:val="22"/>
                <w:szCs w:val="22"/>
                <w:lang w:eastAsia="en-GB"/>
              </w:rPr>
              <w:t xml:space="preserve"> non IP </w:t>
            </w:r>
            <w:r w:rsidRPr="000062BC">
              <w:rPr>
                <w:rFonts w:cs="Arial"/>
                <w:sz w:val="22"/>
                <w:szCs w:val="22"/>
                <w:lang w:eastAsia="en-GB"/>
              </w:rPr>
              <w:t>Assets</w:t>
            </w:r>
          </w:p>
        </w:tc>
        <w:tc>
          <w:tcPr>
            <w:tcW w:w="852" w:type="dxa"/>
            <w:tcBorders>
              <w:top w:val="nil"/>
              <w:left w:val="nil"/>
              <w:bottom w:val="nil"/>
              <w:right w:val="nil"/>
            </w:tcBorders>
            <w:shd w:val="clear" w:color="000000" w:fill="FFFFFF"/>
            <w:vAlign w:val="center"/>
            <w:hideMark/>
          </w:tcPr>
          <w:p w14:paraId="33CBA718" w14:textId="40C5DC95" w:rsidR="003334A3" w:rsidRPr="000062BC" w:rsidRDefault="003334A3" w:rsidP="0070459C">
            <w:pPr>
              <w:jc w:val="right"/>
              <w:rPr>
                <w:rFonts w:cs="Arial"/>
                <w:sz w:val="22"/>
                <w:szCs w:val="22"/>
                <w:lang w:eastAsia="en-GB"/>
              </w:rPr>
            </w:pPr>
            <w:r w:rsidRPr="000062BC">
              <w:rPr>
                <w:rFonts w:cs="Arial"/>
                <w:sz w:val="22"/>
                <w:szCs w:val="22"/>
                <w:lang w:eastAsia="en-GB"/>
              </w:rPr>
              <w:t> </w:t>
            </w:r>
            <w:r w:rsidR="00BB6DFC">
              <w:rPr>
                <w:rFonts w:cs="Arial"/>
                <w:sz w:val="22"/>
                <w:szCs w:val="22"/>
                <w:lang w:eastAsia="en-GB"/>
              </w:rPr>
              <w:t>0</w:t>
            </w:r>
          </w:p>
        </w:tc>
        <w:tc>
          <w:tcPr>
            <w:tcW w:w="990" w:type="dxa"/>
            <w:tcBorders>
              <w:top w:val="nil"/>
              <w:left w:val="nil"/>
              <w:bottom w:val="nil"/>
              <w:right w:val="nil"/>
            </w:tcBorders>
            <w:shd w:val="clear" w:color="000000" w:fill="FFFFFF"/>
            <w:vAlign w:val="center"/>
            <w:hideMark/>
          </w:tcPr>
          <w:p w14:paraId="26D6122C" w14:textId="564F0C56" w:rsidR="003334A3" w:rsidRPr="000062BC" w:rsidRDefault="003334A3" w:rsidP="0070459C">
            <w:pPr>
              <w:jc w:val="right"/>
              <w:rPr>
                <w:rFonts w:cs="Arial"/>
                <w:sz w:val="22"/>
                <w:szCs w:val="22"/>
                <w:lang w:eastAsia="en-GB"/>
              </w:rPr>
            </w:pPr>
            <w:r w:rsidRPr="000062BC">
              <w:rPr>
                <w:rFonts w:cs="Arial"/>
                <w:sz w:val="22"/>
                <w:szCs w:val="22"/>
                <w:lang w:eastAsia="en-GB"/>
              </w:rPr>
              <w:t> </w:t>
            </w:r>
            <w:r w:rsidR="000062BC" w:rsidRPr="000062BC">
              <w:rPr>
                <w:rFonts w:cs="Arial"/>
                <w:sz w:val="22"/>
                <w:szCs w:val="22"/>
                <w:lang w:eastAsia="en-GB"/>
              </w:rPr>
              <w:t>(</w:t>
            </w:r>
            <w:r w:rsidR="00BB6DFC">
              <w:rPr>
                <w:rFonts w:cs="Arial"/>
                <w:sz w:val="22"/>
                <w:szCs w:val="22"/>
                <w:lang w:eastAsia="en-GB"/>
              </w:rPr>
              <w:t>61</w:t>
            </w:r>
            <w:r w:rsidR="000062BC" w:rsidRPr="000062BC">
              <w:rPr>
                <w:rFonts w:cs="Arial"/>
                <w:sz w:val="22"/>
                <w:szCs w:val="22"/>
                <w:lang w:eastAsia="en-GB"/>
              </w:rPr>
              <w:t>)</w:t>
            </w:r>
          </w:p>
        </w:tc>
        <w:tc>
          <w:tcPr>
            <w:tcW w:w="730" w:type="dxa"/>
            <w:tcBorders>
              <w:top w:val="nil"/>
              <w:left w:val="nil"/>
              <w:bottom w:val="nil"/>
              <w:right w:val="nil"/>
            </w:tcBorders>
            <w:shd w:val="clear" w:color="000000" w:fill="FFFFFF"/>
            <w:noWrap/>
            <w:vAlign w:val="center"/>
            <w:hideMark/>
          </w:tcPr>
          <w:p w14:paraId="7D83DC46" w14:textId="0581181C" w:rsidR="003334A3" w:rsidRPr="000062BC" w:rsidRDefault="003334A3" w:rsidP="0070459C">
            <w:pPr>
              <w:jc w:val="right"/>
              <w:rPr>
                <w:rFonts w:cs="Arial"/>
                <w:sz w:val="22"/>
                <w:szCs w:val="22"/>
                <w:lang w:eastAsia="en-GB"/>
              </w:rPr>
            </w:pPr>
            <w:r w:rsidRPr="000062BC">
              <w:rPr>
                <w:rFonts w:cs="Arial"/>
                <w:sz w:val="22"/>
                <w:szCs w:val="22"/>
                <w:lang w:eastAsia="en-GB"/>
              </w:rPr>
              <w:t> </w:t>
            </w:r>
            <w:r w:rsidR="008F5F09">
              <w:rPr>
                <w:rFonts w:cs="Arial"/>
                <w:sz w:val="22"/>
                <w:szCs w:val="22"/>
                <w:lang w:eastAsia="en-GB"/>
              </w:rPr>
              <w:t>(</w:t>
            </w:r>
            <w:r w:rsidR="00BB6DFC">
              <w:rPr>
                <w:rFonts w:cs="Arial"/>
                <w:sz w:val="22"/>
                <w:szCs w:val="22"/>
                <w:lang w:eastAsia="en-GB"/>
              </w:rPr>
              <w:t>61</w:t>
            </w:r>
            <w:r w:rsidR="008F5F09">
              <w:rPr>
                <w:rFonts w:cs="Arial"/>
                <w:sz w:val="22"/>
                <w:szCs w:val="22"/>
                <w:lang w:eastAsia="en-GB"/>
              </w:rPr>
              <w:t>)</w:t>
            </w:r>
          </w:p>
        </w:tc>
        <w:tc>
          <w:tcPr>
            <w:tcW w:w="278" w:type="dxa"/>
            <w:tcBorders>
              <w:top w:val="nil"/>
              <w:left w:val="nil"/>
              <w:bottom w:val="nil"/>
              <w:right w:val="single" w:sz="8" w:space="0" w:color="auto"/>
            </w:tcBorders>
            <w:shd w:val="clear" w:color="000000" w:fill="FFFFFF"/>
            <w:noWrap/>
            <w:vAlign w:val="center"/>
            <w:hideMark/>
          </w:tcPr>
          <w:p w14:paraId="46A675C5" w14:textId="77777777" w:rsidR="003334A3" w:rsidRPr="000062BC" w:rsidRDefault="003334A3" w:rsidP="0070459C">
            <w:pPr>
              <w:rPr>
                <w:rFonts w:cs="Arial"/>
                <w:sz w:val="22"/>
                <w:szCs w:val="22"/>
                <w:lang w:eastAsia="en-GB"/>
              </w:rPr>
            </w:pPr>
            <w:r w:rsidRPr="000062BC">
              <w:rPr>
                <w:rFonts w:cs="Arial"/>
                <w:sz w:val="22"/>
                <w:szCs w:val="22"/>
                <w:lang w:eastAsia="en-GB"/>
              </w:rPr>
              <w:t> </w:t>
            </w:r>
          </w:p>
        </w:tc>
      </w:tr>
      <w:tr w:rsidR="00E46377" w:rsidRPr="00E46377" w14:paraId="5DE1F917" w14:textId="77777777" w:rsidTr="008F5F09">
        <w:trPr>
          <w:trHeight w:val="290"/>
        </w:trPr>
        <w:tc>
          <w:tcPr>
            <w:tcW w:w="278" w:type="dxa"/>
            <w:tcBorders>
              <w:top w:val="nil"/>
              <w:left w:val="single" w:sz="8" w:space="0" w:color="auto"/>
              <w:bottom w:val="nil"/>
              <w:right w:val="nil"/>
            </w:tcBorders>
            <w:shd w:val="clear" w:color="000000" w:fill="FFFFFF"/>
            <w:noWrap/>
            <w:vAlign w:val="center"/>
            <w:hideMark/>
          </w:tcPr>
          <w:p w14:paraId="6CE9F93A" w14:textId="77777777" w:rsidR="003334A3" w:rsidRPr="000062BC" w:rsidRDefault="003334A3" w:rsidP="0070459C">
            <w:pPr>
              <w:rPr>
                <w:rFonts w:cs="Arial"/>
                <w:sz w:val="22"/>
                <w:szCs w:val="22"/>
                <w:lang w:eastAsia="en-GB"/>
              </w:rPr>
            </w:pPr>
            <w:r w:rsidRPr="000062BC">
              <w:rPr>
                <w:rFonts w:cs="Arial"/>
                <w:sz w:val="22"/>
                <w:szCs w:val="22"/>
                <w:lang w:eastAsia="en-GB"/>
              </w:rPr>
              <w:t> </w:t>
            </w:r>
          </w:p>
        </w:tc>
        <w:tc>
          <w:tcPr>
            <w:tcW w:w="852" w:type="dxa"/>
            <w:tcBorders>
              <w:top w:val="single" w:sz="4" w:space="0" w:color="auto"/>
              <w:left w:val="nil"/>
              <w:bottom w:val="double" w:sz="6" w:space="0" w:color="auto"/>
              <w:right w:val="nil"/>
            </w:tcBorders>
            <w:shd w:val="clear" w:color="000000" w:fill="FFFFFF"/>
            <w:noWrap/>
            <w:vAlign w:val="center"/>
            <w:hideMark/>
          </w:tcPr>
          <w:p w14:paraId="670B0680" w14:textId="63EE3D98" w:rsidR="003334A3" w:rsidRPr="000062BC" w:rsidRDefault="00BB6DFC" w:rsidP="0070459C">
            <w:pPr>
              <w:jc w:val="right"/>
              <w:rPr>
                <w:rFonts w:cs="Arial"/>
                <w:b/>
                <w:bCs/>
                <w:sz w:val="22"/>
                <w:szCs w:val="22"/>
                <w:lang w:eastAsia="en-GB"/>
              </w:rPr>
            </w:pPr>
            <w:r>
              <w:rPr>
                <w:rFonts w:cs="Arial"/>
                <w:b/>
                <w:bCs/>
                <w:sz w:val="22"/>
                <w:szCs w:val="22"/>
                <w:lang w:eastAsia="en-GB"/>
              </w:rPr>
              <w:t>3,907</w:t>
            </w:r>
          </w:p>
        </w:tc>
        <w:tc>
          <w:tcPr>
            <w:tcW w:w="987" w:type="dxa"/>
            <w:tcBorders>
              <w:top w:val="single" w:sz="4" w:space="0" w:color="auto"/>
              <w:left w:val="nil"/>
              <w:bottom w:val="double" w:sz="6" w:space="0" w:color="auto"/>
              <w:right w:val="nil"/>
            </w:tcBorders>
            <w:shd w:val="clear" w:color="000000" w:fill="FFFFFF"/>
            <w:noWrap/>
            <w:vAlign w:val="center"/>
            <w:hideMark/>
          </w:tcPr>
          <w:p w14:paraId="2D055403" w14:textId="4BE60F20" w:rsidR="003334A3" w:rsidRPr="000062BC" w:rsidRDefault="003334A3" w:rsidP="0070459C">
            <w:pPr>
              <w:jc w:val="right"/>
              <w:rPr>
                <w:rFonts w:cs="Arial"/>
                <w:b/>
                <w:bCs/>
                <w:sz w:val="22"/>
                <w:szCs w:val="22"/>
                <w:lang w:eastAsia="en-GB"/>
              </w:rPr>
            </w:pPr>
            <w:r w:rsidRPr="000062BC">
              <w:rPr>
                <w:rFonts w:cs="Arial"/>
                <w:b/>
                <w:bCs/>
                <w:sz w:val="22"/>
                <w:szCs w:val="22"/>
                <w:lang w:eastAsia="en-GB"/>
              </w:rPr>
              <w:t>(</w:t>
            </w:r>
            <w:r w:rsidR="00BB6DFC">
              <w:rPr>
                <w:rFonts w:cs="Arial"/>
                <w:b/>
                <w:bCs/>
                <w:sz w:val="22"/>
                <w:szCs w:val="22"/>
                <w:lang w:eastAsia="en-GB"/>
              </w:rPr>
              <w:t>3,705</w:t>
            </w:r>
            <w:r w:rsidRPr="000062BC">
              <w:rPr>
                <w:rFonts w:cs="Arial"/>
                <w:b/>
                <w:bCs/>
                <w:sz w:val="22"/>
                <w:szCs w:val="22"/>
                <w:lang w:eastAsia="en-GB"/>
              </w:rPr>
              <w:t>)</w:t>
            </w:r>
          </w:p>
        </w:tc>
        <w:tc>
          <w:tcPr>
            <w:tcW w:w="850" w:type="dxa"/>
            <w:tcBorders>
              <w:top w:val="single" w:sz="4" w:space="0" w:color="auto"/>
              <w:left w:val="nil"/>
              <w:bottom w:val="double" w:sz="6" w:space="0" w:color="auto"/>
              <w:right w:val="nil"/>
            </w:tcBorders>
            <w:shd w:val="clear" w:color="000000" w:fill="FFFFFF"/>
            <w:noWrap/>
            <w:vAlign w:val="center"/>
            <w:hideMark/>
          </w:tcPr>
          <w:p w14:paraId="4074C611" w14:textId="53CFCFF8" w:rsidR="003334A3" w:rsidRPr="000062BC" w:rsidRDefault="00E46377" w:rsidP="0070459C">
            <w:pPr>
              <w:jc w:val="right"/>
              <w:rPr>
                <w:rFonts w:cs="Arial"/>
                <w:b/>
                <w:bCs/>
                <w:sz w:val="22"/>
                <w:szCs w:val="22"/>
                <w:lang w:eastAsia="en-GB"/>
              </w:rPr>
            </w:pPr>
            <w:r w:rsidRPr="000062BC">
              <w:rPr>
                <w:rFonts w:cs="Arial"/>
                <w:b/>
                <w:bCs/>
                <w:sz w:val="22"/>
                <w:szCs w:val="22"/>
                <w:lang w:eastAsia="en-GB"/>
              </w:rPr>
              <w:t>(</w:t>
            </w:r>
            <w:r w:rsidR="00BB6DFC">
              <w:rPr>
                <w:rFonts w:cs="Arial"/>
                <w:b/>
                <w:bCs/>
                <w:sz w:val="22"/>
                <w:szCs w:val="22"/>
                <w:lang w:eastAsia="en-GB"/>
              </w:rPr>
              <w:t>203</w:t>
            </w:r>
            <w:r w:rsidRPr="000062BC">
              <w:rPr>
                <w:rFonts w:cs="Arial"/>
                <w:b/>
                <w:bCs/>
                <w:sz w:val="22"/>
                <w:szCs w:val="22"/>
                <w:lang w:eastAsia="en-GB"/>
              </w:rPr>
              <w:t>)</w:t>
            </w:r>
          </w:p>
        </w:tc>
        <w:tc>
          <w:tcPr>
            <w:tcW w:w="4678" w:type="dxa"/>
            <w:tcBorders>
              <w:top w:val="nil"/>
              <w:left w:val="nil"/>
              <w:bottom w:val="nil"/>
              <w:right w:val="nil"/>
            </w:tcBorders>
            <w:shd w:val="clear" w:color="000000" w:fill="FFFFFF"/>
            <w:noWrap/>
            <w:vAlign w:val="center"/>
            <w:hideMark/>
          </w:tcPr>
          <w:p w14:paraId="5ADF3EE2" w14:textId="77777777" w:rsidR="003334A3" w:rsidRPr="000062BC" w:rsidRDefault="003334A3" w:rsidP="0070459C">
            <w:pPr>
              <w:rPr>
                <w:rFonts w:cs="Arial"/>
                <w:b/>
                <w:bCs/>
                <w:sz w:val="22"/>
                <w:szCs w:val="22"/>
                <w:lang w:eastAsia="en-GB"/>
              </w:rPr>
            </w:pPr>
            <w:r w:rsidRPr="000062BC">
              <w:rPr>
                <w:rFonts w:cs="Arial"/>
                <w:b/>
                <w:bCs/>
                <w:sz w:val="22"/>
                <w:szCs w:val="22"/>
                <w:lang w:eastAsia="en-GB"/>
              </w:rPr>
              <w:t>Total</w:t>
            </w:r>
          </w:p>
        </w:tc>
        <w:tc>
          <w:tcPr>
            <w:tcW w:w="852" w:type="dxa"/>
            <w:tcBorders>
              <w:top w:val="single" w:sz="4" w:space="0" w:color="auto"/>
              <w:left w:val="nil"/>
              <w:bottom w:val="double" w:sz="6" w:space="0" w:color="auto"/>
              <w:right w:val="nil"/>
            </w:tcBorders>
            <w:shd w:val="clear" w:color="000000" w:fill="FFFFFF"/>
            <w:noWrap/>
            <w:vAlign w:val="center"/>
            <w:hideMark/>
          </w:tcPr>
          <w:p w14:paraId="417C5398" w14:textId="4AF96F76" w:rsidR="003334A3" w:rsidRPr="000062BC" w:rsidRDefault="00BB6DFC" w:rsidP="0070459C">
            <w:pPr>
              <w:jc w:val="right"/>
              <w:rPr>
                <w:rFonts w:cs="Arial"/>
                <w:b/>
                <w:bCs/>
                <w:sz w:val="22"/>
                <w:szCs w:val="22"/>
                <w:lang w:eastAsia="en-GB"/>
              </w:rPr>
            </w:pPr>
            <w:r>
              <w:rPr>
                <w:rFonts w:cs="Arial"/>
                <w:b/>
                <w:bCs/>
                <w:sz w:val="22"/>
                <w:szCs w:val="22"/>
                <w:lang w:eastAsia="en-GB"/>
              </w:rPr>
              <w:t>2,926</w:t>
            </w:r>
          </w:p>
        </w:tc>
        <w:tc>
          <w:tcPr>
            <w:tcW w:w="990" w:type="dxa"/>
            <w:tcBorders>
              <w:top w:val="single" w:sz="4" w:space="0" w:color="auto"/>
              <w:left w:val="nil"/>
              <w:bottom w:val="double" w:sz="6" w:space="0" w:color="auto"/>
              <w:right w:val="nil"/>
            </w:tcBorders>
            <w:shd w:val="clear" w:color="000000" w:fill="FFFFFF"/>
            <w:noWrap/>
            <w:vAlign w:val="center"/>
            <w:hideMark/>
          </w:tcPr>
          <w:p w14:paraId="599FD2D9" w14:textId="56C75151" w:rsidR="003334A3" w:rsidRPr="000062BC" w:rsidRDefault="003334A3" w:rsidP="0070459C">
            <w:pPr>
              <w:jc w:val="right"/>
              <w:rPr>
                <w:rFonts w:cs="Arial"/>
                <w:b/>
                <w:bCs/>
                <w:sz w:val="22"/>
                <w:szCs w:val="22"/>
                <w:lang w:eastAsia="en-GB"/>
              </w:rPr>
            </w:pPr>
            <w:r w:rsidRPr="000062BC">
              <w:rPr>
                <w:rFonts w:cs="Arial"/>
                <w:b/>
                <w:bCs/>
                <w:sz w:val="22"/>
                <w:szCs w:val="22"/>
                <w:lang w:eastAsia="en-GB"/>
              </w:rPr>
              <w:t>(</w:t>
            </w:r>
            <w:r w:rsidR="00BB6DFC">
              <w:rPr>
                <w:rFonts w:cs="Arial"/>
                <w:b/>
                <w:bCs/>
                <w:sz w:val="22"/>
                <w:szCs w:val="22"/>
                <w:lang w:eastAsia="en-GB"/>
              </w:rPr>
              <w:t>3,544</w:t>
            </w:r>
            <w:r w:rsidRPr="000062BC">
              <w:rPr>
                <w:rFonts w:cs="Arial"/>
                <w:b/>
                <w:bCs/>
                <w:sz w:val="22"/>
                <w:szCs w:val="22"/>
                <w:lang w:eastAsia="en-GB"/>
              </w:rPr>
              <w:t>)</w:t>
            </w:r>
          </w:p>
        </w:tc>
        <w:tc>
          <w:tcPr>
            <w:tcW w:w="730" w:type="dxa"/>
            <w:tcBorders>
              <w:top w:val="single" w:sz="4" w:space="0" w:color="auto"/>
              <w:left w:val="nil"/>
              <w:bottom w:val="double" w:sz="6" w:space="0" w:color="auto"/>
              <w:right w:val="nil"/>
            </w:tcBorders>
            <w:shd w:val="clear" w:color="000000" w:fill="FFFFFF"/>
            <w:noWrap/>
            <w:vAlign w:val="center"/>
            <w:hideMark/>
          </w:tcPr>
          <w:p w14:paraId="6368A67F" w14:textId="345722EC" w:rsidR="003334A3" w:rsidRPr="00E46377" w:rsidRDefault="003334A3" w:rsidP="0070459C">
            <w:pPr>
              <w:jc w:val="right"/>
              <w:rPr>
                <w:rFonts w:cs="Arial"/>
                <w:b/>
                <w:bCs/>
                <w:sz w:val="22"/>
                <w:szCs w:val="22"/>
                <w:lang w:eastAsia="en-GB"/>
              </w:rPr>
            </w:pPr>
            <w:r w:rsidRPr="000062BC">
              <w:rPr>
                <w:rFonts w:cs="Arial"/>
                <w:b/>
                <w:bCs/>
                <w:sz w:val="22"/>
                <w:szCs w:val="22"/>
                <w:lang w:eastAsia="en-GB"/>
              </w:rPr>
              <w:t>(</w:t>
            </w:r>
            <w:r w:rsidR="00BB6DFC">
              <w:rPr>
                <w:rFonts w:cs="Arial"/>
                <w:b/>
                <w:bCs/>
                <w:sz w:val="22"/>
                <w:szCs w:val="22"/>
                <w:lang w:eastAsia="en-GB"/>
              </w:rPr>
              <w:t>618</w:t>
            </w:r>
            <w:r w:rsidRPr="000062BC">
              <w:rPr>
                <w:rFonts w:cs="Arial"/>
                <w:b/>
                <w:bCs/>
                <w:sz w:val="22"/>
                <w:szCs w:val="22"/>
                <w:lang w:eastAsia="en-GB"/>
              </w:rPr>
              <w:t>)</w:t>
            </w:r>
          </w:p>
        </w:tc>
        <w:tc>
          <w:tcPr>
            <w:tcW w:w="278" w:type="dxa"/>
            <w:tcBorders>
              <w:top w:val="nil"/>
              <w:left w:val="nil"/>
              <w:bottom w:val="nil"/>
              <w:right w:val="single" w:sz="8" w:space="0" w:color="auto"/>
            </w:tcBorders>
            <w:shd w:val="clear" w:color="000000" w:fill="FFFFFF"/>
            <w:noWrap/>
            <w:vAlign w:val="center"/>
            <w:hideMark/>
          </w:tcPr>
          <w:p w14:paraId="40C843E8" w14:textId="77777777" w:rsidR="003334A3" w:rsidRPr="00E46377" w:rsidRDefault="003334A3" w:rsidP="0070459C">
            <w:pPr>
              <w:rPr>
                <w:rFonts w:cs="Arial"/>
                <w:sz w:val="22"/>
                <w:szCs w:val="22"/>
                <w:lang w:eastAsia="en-GB"/>
              </w:rPr>
            </w:pPr>
            <w:r w:rsidRPr="00E46377">
              <w:rPr>
                <w:rFonts w:cs="Arial"/>
                <w:sz w:val="22"/>
                <w:szCs w:val="22"/>
                <w:lang w:eastAsia="en-GB"/>
              </w:rPr>
              <w:t> </w:t>
            </w:r>
          </w:p>
        </w:tc>
      </w:tr>
      <w:tr w:rsidR="00E46377" w:rsidRPr="00E46377" w14:paraId="194D18C5" w14:textId="77777777" w:rsidTr="008F5F09">
        <w:trPr>
          <w:trHeight w:val="300"/>
        </w:trPr>
        <w:tc>
          <w:tcPr>
            <w:tcW w:w="278" w:type="dxa"/>
            <w:tcBorders>
              <w:top w:val="nil"/>
              <w:left w:val="single" w:sz="8" w:space="0" w:color="auto"/>
              <w:bottom w:val="single" w:sz="8" w:space="0" w:color="auto"/>
              <w:right w:val="nil"/>
            </w:tcBorders>
            <w:shd w:val="clear" w:color="000000" w:fill="FFFFFF"/>
            <w:noWrap/>
            <w:vAlign w:val="center"/>
            <w:hideMark/>
          </w:tcPr>
          <w:p w14:paraId="411DD114" w14:textId="77777777" w:rsidR="003334A3" w:rsidRPr="00E46377" w:rsidRDefault="003334A3" w:rsidP="0070459C">
            <w:pPr>
              <w:rPr>
                <w:rFonts w:cs="Arial"/>
                <w:sz w:val="22"/>
                <w:szCs w:val="22"/>
                <w:lang w:eastAsia="en-GB"/>
              </w:rPr>
            </w:pPr>
            <w:r w:rsidRPr="00E46377">
              <w:rPr>
                <w:rFonts w:cs="Arial"/>
                <w:sz w:val="22"/>
                <w:szCs w:val="22"/>
                <w:lang w:eastAsia="en-GB"/>
              </w:rPr>
              <w:t> </w:t>
            </w:r>
          </w:p>
        </w:tc>
        <w:tc>
          <w:tcPr>
            <w:tcW w:w="852" w:type="dxa"/>
            <w:tcBorders>
              <w:top w:val="nil"/>
              <w:left w:val="nil"/>
              <w:bottom w:val="single" w:sz="8" w:space="0" w:color="auto"/>
              <w:right w:val="nil"/>
            </w:tcBorders>
            <w:shd w:val="clear" w:color="000000" w:fill="FFFFFF"/>
            <w:noWrap/>
            <w:vAlign w:val="center"/>
            <w:hideMark/>
          </w:tcPr>
          <w:p w14:paraId="2FEAD16C" w14:textId="77777777" w:rsidR="003334A3" w:rsidRPr="00E46377" w:rsidRDefault="003334A3" w:rsidP="0070459C">
            <w:pPr>
              <w:rPr>
                <w:rFonts w:cs="Arial"/>
                <w:sz w:val="22"/>
                <w:szCs w:val="22"/>
                <w:lang w:eastAsia="en-GB"/>
              </w:rPr>
            </w:pPr>
            <w:r w:rsidRPr="00E46377">
              <w:rPr>
                <w:rFonts w:cs="Arial"/>
                <w:sz w:val="22"/>
                <w:szCs w:val="22"/>
                <w:lang w:eastAsia="en-GB"/>
              </w:rPr>
              <w:t> </w:t>
            </w:r>
          </w:p>
        </w:tc>
        <w:tc>
          <w:tcPr>
            <w:tcW w:w="987" w:type="dxa"/>
            <w:tcBorders>
              <w:top w:val="nil"/>
              <w:left w:val="nil"/>
              <w:bottom w:val="single" w:sz="8" w:space="0" w:color="auto"/>
              <w:right w:val="nil"/>
            </w:tcBorders>
            <w:shd w:val="clear" w:color="000000" w:fill="FFFFFF"/>
            <w:noWrap/>
            <w:vAlign w:val="center"/>
            <w:hideMark/>
          </w:tcPr>
          <w:p w14:paraId="5E70D7F3" w14:textId="77777777" w:rsidR="003334A3" w:rsidRPr="00E46377" w:rsidRDefault="003334A3" w:rsidP="0070459C">
            <w:pPr>
              <w:rPr>
                <w:rFonts w:cs="Arial"/>
                <w:sz w:val="22"/>
                <w:szCs w:val="22"/>
                <w:lang w:eastAsia="en-GB"/>
              </w:rPr>
            </w:pPr>
            <w:r w:rsidRPr="00E46377">
              <w:rPr>
                <w:rFonts w:cs="Arial"/>
                <w:sz w:val="22"/>
                <w:szCs w:val="22"/>
                <w:lang w:eastAsia="en-GB"/>
              </w:rPr>
              <w:t> </w:t>
            </w:r>
          </w:p>
        </w:tc>
        <w:tc>
          <w:tcPr>
            <w:tcW w:w="850" w:type="dxa"/>
            <w:tcBorders>
              <w:top w:val="nil"/>
              <w:left w:val="nil"/>
              <w:bottom w:val="single" w:sz="8" w:space="0" w:color="auto"/>
              <w:right w:val="nil"/>
            </w:tcBorders>
            <w:shd w:val="clear" w:color="000000" w:fill="FFFFFF"/>
            <w:noWrap/>
            <w:vAlign w:val="center"/>
            <w:hideMark/>
          </w:tcPr>
          <w:p w14:paraId="2A197C91" w14:textId="77777777" w:rsidR="003334A3" w:rsidRPr="00E46377" w:rsidRDefault="003334A3" w:rsidP="0070459C">
            <w:pPr>
              <w:rPr>
                <w:rFonts w:cs="Arial"/>
                <w:sz w:val="22"/>
                <w:szCs w:val="22"/>
                <w:lang w:eastAsia="en-GB"/>
              </w:rPr>
            </w:pPr>
            <w:r w:rsidRPr="00E46377">
              <w:rPr>
                <w:rFonts w:cs="Arial"/>
                <w:sz w:val="22"/>
                <w:szCs w:val="22"/>
                <w:lang w:eastAsia="en-GB"/>
              </w:rPr>
              <w:t> </w:t>
            </w:r>
          </w:p>
        </w:tc>
        <w:tc>
          <w:tcPr>
            <w:tcW w:w="4678" w:type="dxa"/>
            <w:tcBorders>
              <w:top w:val="nil"/>
              <w:left w:val="nil"/>
              <w:bottom w:val="single" w:sz="8" w:space="0" w:color="auto"/>
              <w:right w:val="nil"/>
            </w:tcBorders>
            <w:shd w:val="clear" w:color="000000" w:fill="FFFFFF"/>
            <w:noWrap/>
            <w:vAlign w:val="center"/>
            <w:hideMark/>
          </w:tcPr>
          <w:p w14:paraId="2ECC80BF" w14:textId="77777777" w:rsidR="003334A3" w:rsidRPr="00E46377" w:rsidRDefault="003334A3" w:rsidP="0070459C">
            <w:pPr>
              <w:rPr>
                <w:rFonts w:cs="Arial"/>
                <w:sz w:val="22"/>
                <w:szCs w:val="22"/>
                <w:lang w:eastAsia="en-GB"/>
              </w:rPr>
            </w:pPr>
            <w:r w:rsidRPr="00E46377">
              <w:rPr>
                <w:rFonts w:cs="Arial"/>
                <w:sz w:val="22"/>
                <w:szCs w:val="22"/>
                <w:lang w:eastAsia="en-GB"/>
              </w:rPr>
              <w:t> </w:t>
            </w:r>
          </w:p>
        </w:tc>
        <w:tc>
          <w:tcPr>
            <w:tcW w:w="852" w:type="dxa"/>
            <w:tcBorders>
              <w:top w:val="nil"/>
              <w:left w:val="nil"/>
              <w:bottom w:val="single" w:sz="8" w:space="0" w:color="auto"/>
              <w:right w:val="nil"/>
            </w:tcBorders>
            <w:shd w:val="clear" w:color="000000" w:fill="FFFFFF"/>
            <w:noWrap/>
            <w:vAlign w:val="center"/>
            <w:hideMark/>
          </w:tcPr>
          <w:p w14:paraId="7673F075" w14:textId="77777777" w:rsidR="003334A3" w:rsidRPr="00E46377" w:rsidRDefault="003334A3" w:rsidP="0070459C">
            <w:pPr>
              <w:rPr>
                <w:rFonts w:cs="Arial"/>
                <w:sz w:val="22"/>
                <w:szCs w:val="22"/>
                <w:lang w:eastAsia="en-GB"/>
              </w:rPr>
            </w:pPr>
            <w:r w:rsidRPr="00E46377">
              <w:rPr>
                <w:rFonts w:cs="Arial"/>
                <w:sz w:val="22"/>
                <w:szCs w:val="22"/>
                <w:lang w:eastAsia="en-GB"/>
              </w:rPr>
              <w:t> </w:t>
            </w:r>
          </w:p>
        </w:tc>
        <w:tc>
          <w:tcPr>
            <w:tcW w:w="990" w:type="dxa"/>
            <w:tcBorders>
              <w:top w:val="nil"/>
              <w:left w:val="nil"/>
              <w:bottom w:val="single" w:sz="8" w:space="0" w:color="auto"/>
              <w:right w:val="nil"/>
            </w:tcBorders>
            <w:shd w:val="clear" w:color="000000" w:fill="FFFFFF"/>
            <w:noWrap/>
            <w:vAlign w:val="center"/>
            <w:hideMark/>
          </w:tcPr>
          <w:p w14:paraId="58DCA6DF" w14:textId="77777777" w:rsidR="003334A3" w:rsidRPr="00E46377" w:rsidRDefault="003334A3" w:rsidP="0070459C">
            <w:pPr>
              <w:rPr>
                <w:rFonts w:cs="Arial"/>
                <w:sz w:val="22"/>
                <w:szCs w:val="22"/>
                <w:lang w:eastAsia="en-GB"/>
              </w:rPr>
            </w:pPr>
            <w:r w:rsidRPr="00E46377">
              <w:rPr>
                <w:rFonts w:cs="Arial"/>
                <w:sz w:val="22"/>
                <w:szCs w:val="22"/>
                <w:lang w:eastAsia="en-GB"/>
              </w:rPr>
              <w:t> </w:t>
            </w:r>
          </w:p>
        </w:tc>
        <w:tc>
          <w:tcPr>
            <w:tcW w:w="730" w:type="dxa"/>
            <w:tcBorders>
              <w:top w:val="nil"/>
              <w:left w:val="nil"/>
              <w:bottom w:val="single" w:sz="8" w:space="0" w:color="auto"/>
              <w:right w:val="nil"/>
            </w:tcBorders>
            <w:shd w:val="clear" w:color="000000" w:fill="FFFFFF"/>
            <w:noWrap/>
            <w:vAlign w:val="center"/>
            <w:hideMark/>
          </w:tcPr>
          <w:p w14:paraId="23FAA848" w14:textId="77777777" w:rsidR="003334A3" w:rsidRPr="00E46377" w:rsidRDefault="003334A3" w:rsidP="0070459C">
            <w:pPr>
              <w:rPr>
                <w:rFonts w:cs="Arial"/>
                <w:sz w:val="22"/>
                <w:szCs w:val="22"/>
                <w:lang w:eastAsia="en-GB"/>
              </w:rPr>
            </w:pPr>
            <w:r w:rsidRPr="00E46377">
              <w:rPr>
                <w:rFonts w:cs="Arial"/>
                <w:sz w:val="22"/>
                <w:szCs w:val="22"/>
                <w:lang w:eastAsia="en-GB"/>
              </w:rPr>
              <w:t> </w:t>
            </w:r>
          </w:p>
        </w:tc>
        <w:tc>
          <w:tcPr>
            <w:tcW w:w="278" w:type="dxa"/>
            <w:tcBorders>
              <w:top w:val="nil"/>
              <w:left w:val="nil"/>
              <w:bottom w:val="single" w:sz="8" w:space="0" w:color="auto"/>
              <w:right w:val="single" w:sz="8" w:space="0" w:color="auto"/>
            </w:tcBorders>
            <w:shd w:val="clear" w:color="000000" w:fill="FFFFFF"/>
            <w:noWrap/>
            <w:vAlign w:val="center"/>
            <w:hideMark/>
          </w:tcPr>
          <w:p w14:paraId="6216A1E1" w14:textId="77777777" w:rsidR="003334A3" w:rsidRPr="00E46377" w:rsidRDefault="003334A3" w:rsidP="0070459C">
            <w:pPr>
              <w:rPr>
                <w:rFonts w:cs="Arial"/>
                <w:sz w:val="22"/>
                <w:szCs w:val="22"/>
                <w:lang w:eastAsia="en-GB"/>
              </w:rPr>
            </w:pPr>
            <w:r w:rsidRPr="00E46377">
              <w:rPr>
                <w:rFonts w:cs="Arial"/>
                <w:sz w:val="22"/>
                <w:szCs w:val="22"/>
                <w:lang w:eastAsia="en-GB"/>
              </w:rPr>
              <w:t> </w:t>
            </w:r>
          </w:p>
        </w:tc>
      </w:tr>
    </w:tbl>
    <w:p w14:paraId="5B51F210" w14:textId="77777777" w:rsidR="000062BC" w:rsidRDefault="000062BC" w:rsidP="0070459C">
      <w:pPr>
        <w:pStyle w:val="Subtitle"/>
        <w:numPr>
          <w:ilvl w:val="0"/>
          <w:numId w:val="0"/>
        </w:numPr>
        <w:tabs>
          <w:tab w:val="left" w:pos="-709"/>
          <w:tab w:val="left" w:pos="-284"/>
          <w:tab w:val="left" w:pos="-142"/>
          <w:tab w:val="left" w:pos="0"/>
          <w:tab w:val="left" w:pos="567"/>
        </w:tabs>
        <w:spacing w:line="240" w:lineRule="atLeast"/>
        <w:ind w:right="680"/>
        <w:rPr>
          <w:rFonts w:ascii="Arial" w:hAnsi="Arial" w:cs="Arial"/>
          <w:b/>
          <w:i w:val="0"/>
          <w:sz w:val="23"/>
          <w:szCs w:val="23"/>
          <w:u w:val="none"/>
        </w:rPr>
      </w:pPr>
    </w:p>
    <w:p w14:paraId="599CDB73" w14:textId="77777777" w:rsidR="000062BC" w:rsidRDefault="000062BC" w:rsidP="0070459C">
      <w:pPr>
        <w:pStyle w:val="Subtitle"/>
        <w:numPr>
          <w:ilvl w:val="0"/>
          <w:numId w:val="0"/>
        </w:numPr>
        <w:tabs>
          <w:tab w:val="left" w:pos="-709"/>
          <w:tab w:val="left" w:pos="-284"/>
          <w:tab w:val="left" w:pos="-142"/>
          <w:tab w:val="left" w:pos="0"/>
          <w:tab w:val="left" w:pos="567"/>
        </w:tabs>
        <w:spacing w:line="240" w:lineRule="atLeast"/>
        <w:ind w:right="680"/>
        <w:rPr>
          <w:rFonts w:ascii="Arial" w:hAnsi="Arial" w:cs="Arial"/>
          <w:b/>
          <w:i w:val="0"/>
          <w:sz w:val="23"/>
          <w:szCs w:val="23"/>
          <w:u w:val="none"/>
        </w:rPr>
      </w:pPr>
    </w:p>
    <w:p w14:paraId="485A46A3" w14:textId="6EBF01A4" w:rsidR="00F00BC4" w:rsidRPr="00162C02" w:rsidRDefault="00F00BC4" w:rsidP="0070459C">
      <w:pPr>
        <w:pStyle w:val="Subtitle"/>
        <w:numPr>
          <w:ilvl w:val="0"/>
          <w:numId w:val="47"/>
        </w:numPr>
        <w:tabs>
          <w:tab w:val="left" w:pos="-709"/>
          <w:tab w:val="left" w:pos="-284"/>
          <w:tab w:val="left" w:pos="-142"/>
          <w:tab w:val="left" w:pos="0"/>
          <w:tab w:val="left" w:pos="567"/>
        </w:tabs>
        <w:spacing w:line="240" w:lineRule="atLeast"/>
        <w:ind w:left="0" w:right="680" w:firstLine="0"/>
        <w:rPr>
          <w:rFonts w:ascii="Arial" w:hAnsi="Arial" w:cs="Arial"/>
          <w:b/>
          <w:i w:val="0"/>
          <w:sz w:val="23"/>
          <w:szCs w:val="23"/>
          <w:u w:val="none"/>
        </w:rPr>
      </w:pPr>
      <w:bookmarkStart w:id="207" w:name="_Toc167965807"/>
      <w:r w:rsidRPr="00162C02">
        <w:rPr>
          <w:rStyle w:val="Heading2Char"/>
          <w:i w:val="0"/>
          <w:iCs w:val="0"/>
          <w:u w:val="none"/>
        </w:rPr>
        <w:t>Grant Income</w:t>
      </w:r>
      <w:bookmarkEnd w:id="207"/>
    </w:p>
    <w:p w14:paraId="485A46A4" w14:textId="77777777" w:rsidR="00F00BC4" w:rsidRPr="00162C02" w:rsidRDefault="00F00BC4" w:rsidP="0070459C">
      <w:pPr>
        <w:rPr>
          <w:lang w:eastAsia="en-GB"/>
        </w:rPr>
      </w:pPr>
    </w:p>
    <w:p w14:paraId="4702B5AF" w14:textId="2E9C7E7E" w:rsidR="00DC1950" w:rsidRDefault="00F00BC4" w:rsidP="0070459C">
      <w:pPr>
        <w:rPr>
          <w:lang w:eastAsia="en-GB"/>
        </w:rPr>
      </w:pPr>
      <w:r w:rsidRPr="00162C02">
        <w:rPr>
          <w:lang w:eastAsia="en-GB"/>
        </w:rPr>
        <w:t>The Authority credited the following grants, contributions and donations to the Comprehensive Income and Expenditure Statement</w:t>
      </w:r>
      <w:r w:rsidRPr="00262CE6">
        <w:rPr>
          <w:lang w:eastAsia="en-GB"/>
        </w:rPr>
        <w:t xml:space="preserve"> in </w:t>
      </w:r>
      <w:r w:rsidRPr="00262CE6">
        <w:t>202</w:t>
      </w:r>
      <w:r w:rsidR="008E46BF">
        <w:t>3</w:t>
      </w:r>
      <w:r w:rsidRPr="00262CE6">
        <w:t>/2</w:t>
      </w:r>
      <w:r w:rsidR="008E46BF">
        <w:t>4</w:t>
      </w:r>
      <w:r w:rsidRPr="00262CE6">
        <w:rPr>
          <w:lang w:eastAsia="en-GB"/>
        </w:rPr>
        <w:t>.</w:t>
      </w:r>
    </w:p>
    <w:p w14:paraId="69EA75FF" w14:textId="77777777" w:rsidR="00DF7226" w:rsidRDefault="00DF7226" w:rsidP="0070459C">
      <w:pPr>
        <w:rPr>
          <w:lang w:eastAsia="en-GB"/>
        </w:rPr>
      </w:pPr>
    </w:p>
    <w:p w14:paraId="200C69C4" w14:textId="38DE4AB1" w:rsidR="00DF7226" w:rsidRDefault="00DF7226" w:rsidP="0070459C">
      <w:pPr>
        <w:rPr>
          <w:lang w:eastAsia="en-GB"/>
        </w:rPr>
      </w:pPr>
      <w:r w:rsidRPr="008E46BF">
        <w:rPr>
          <w:rFonts w:cs="Arial"/>
          <w:b/>
          <w:bCs/>
          <w:lang w:eastAsia="en-GB"/>
        </w:rPr>
        <w:t>Non Specific Grant Income</w:t>
      </w:r>
      <w:r>
        <w:rPr>
          <w:rFonts w:cs="Arial"/>
          <w:b/>
          <w:bCs/>
          <w:lang w:eastAsia="en-GB"/>
        </w:rPr>
        <w:t>:</w:t>
      </w:r>
    </w:p>
    <w:p w14:paraId="10EDE33C" w14:textId="77777777" w:rsidR="008E46BF" w:rsidRDefault="008E46BF" w:rsidP="0070459C">
      <w:pPr>
        <w:rPr>
          <w:lang w:eastAsia="en-GB"/>
        </w:rPr>
      </w:pPr>
    </w:p>
    <w:tbl>
      <w:tblPr>
        <w:tblW w:w="6799" w:type="dxa"/>
        <w:jc w:val="center"/>
        <w:tblLook w:val="04A0" w:firstRow="1" w:lastRow="0" w:firstColumn="1" w:lastColumn="0" w:noHBand="0" w:noVBand="1"/>
      </w:tblPr>
      <w:tblGrid>
        <w:gridCol w:w="3964"/>
        <w:gridCol w:w="1276"/>
        <w:gridCol w:w="1276"/>
        <w:gridCol w:w="283"/>
      </w:tblGrid>
      <w:tr w:rsidR="008E46BF" w:rsidRPr="008E46BF" w14:paraId="59CFD1F1" w14:textId="77777777" w:rsidTr="008E46BF">
        <w:trPr>
          <w:trHeight w:val="290"/>
          <w:jc w:val="center"/>
        </w:trPr>
        <w:tc>
          <w:tcPr>
            <w:tcW w:w="3964" w:type="dxa"/>
            <w:tcBorders>
              <w:top w:val="single" w:sz="4" w:space="0" w:color="auto"/>
              <w:left w:val="single" w:sz="4" w:space="0" w:color="auto"/>
              <w:bottom w:val="nil"/>
              <w:right w:val="nil"/>
            </w:tcBorders>
            <w:shd w:val="clear" w:color="000000" w:fill="000000"/>
            <w:noWrap/>
            <w:vAlign w:val="bottom"/>
            <w:hideMark/>
          </w:tcPr>
          <w:p w14:paraId="38BB1A4D" w14:textId="77777777" w:rsidR="008E46BF" w:rsidRPr="008E46BF" w:rsidRDefault="008E46BF" w:rsidP="008E46BF">
            <w:pPr>
              <w:rPr>
                <w:rFonts w:cs="Arial"/>
                <w:color w:val="FFFFFF"/>
                <w:sz w:val="20"/>
                <w:szCs w:val="20"/>
                <w:lang w:eastAsia="en-GB"/>
              </w:rPr>
            </w:pPr>
            <w:r w:rsidRPr="008E46BF">
              <w:rPr>
                <w:rFonts w:cs="Arial"/>
                <w:color w:val="FFFFFF"/>
                <w:sz w:val="20"/>
                <w:szCs w:val="20"/>
                <w:lang w:eastAsia="en-GB"/>
              </w:rPr>
              <w:t> </w:t>
            </w:r>
          </w:p>
        </w:tc>
        <w:tc>
          <w:tcPr>
            <w:tcW w:w="1276" w:type="dxa"/>
            <w:tcBorders>
              <w:top w:val="single" w:sz="4" w:space="0" w:color="auto"/>
              <w:left w:val="nil"/>
              <w:bottom w:val="nil"/>
              <w:right w:val="nil"/>
            </w:tcBorders>
            <w:shd w:val="clear" w:color="000000" w:fill="000000"/>
            <w:noWrap/>
            <w:vAlign w:val="bottom"/>
            <w:hideMark/>
          </w:tcPr>
          <w:p w14:paraId="7CECDA9B" w14:textId="77777777" w:rsidR="008E46BF" w:rsidRPr="008E46BF" w:rsidRDefault="008E46BF" w:rsidP="008E46BF">
            <w:pPr>
              <w:rPr>
                <w:rFonts w:cs="Arial"/>
                <w:color w:val="FFFFFF"/>
                <w:sz w:val="20"/>
                <w:szCs w:val="20"/>
                <w:lang w:eastAsia="en-GB"/>
              </w:rPr>
            </w:pPr>
            <w:r w:rsidRPr="008E46BF">
              <w:rPr>
                <w:rFonts w:cs="Arial"/>
                <w:color w:val="FFFFFF"/>
                <w:sz w:val="20"/>
                <w:szCs w:val="20"/>
                <w:lang w:eastAsia="en-GB"/>
              </w:rPr>
              <w:t> </w:t>
            </w:r>
          </w:p>
        </w:tc>
        <w:tc>
          <w:tcPr>
            <w:tcW w:w="1276" w:type="dxa"/>
            <w:tcBorders>
              <w:top w:val="single" w:sz="4" w:space="0" w:color="auto"/>
              <w:left w:val="nil"/>
              <w:bottom w:val="nil"/>
              <w:right w:val="nil"/>
            </w:tcBorders>
            <w:shd w:val="clear" w:color="000000" w:fill="000000"/>
            <w:noWrap/>
            <w:vAlign w:val="bottom"/>
            <w:hideMark/>
          </w:tcPr>
          <w:p w14:paraId="258B6CF6" w14:textId="77777777" w:rsidR="008E46BF" w:rsidRPr="008E46BF" w:rsidRDefault="008E46BF" w:rsidP="008E46BF">
            <w:pPr>
              <w:rPr>
                <w:rFonts w:cs="Arial"/>
                <w:color w:val="FFFFFF"/>
                <w:sz w:val="20"/>
                <w:szCs w:val="20"/>
                <w:lang w:eastAsia="en-GB"/>
              </w:rPr>
            </w:pPr>
            <w:r w:rsidRPr="008E46BF">
              <w:rPr>
                <w:rFonts w:cs="Arial"/>
                <w:color w:val="FFFFFF"/>
                <w:sz w:val="20"/>
                <w:szCs w:val="20"/>
                <w:lang w:eastAsia="en-GB"/>
              </w:rPr>
              <w:t> </w:t>
            </w:r>
          </w:p>
        </w:tc>
        <w:tc>
          <w:tcPr>
            <w:tcW w:w="283" w:type="dxa"/>
            <w:tcBorders>
              <w:top w:val="single" w:sz="4" w:space="0" w:color="auto"/>
              <w:left w:val="nil"/>
              <w:bottom w:val="nil"/>
              <w:right w:val="single" w:sz="4" w:space="0" w:color="auto"/>
            </w:tcBorders>
            <w:shd w:val="clear" w:color="000000" w:fill="000000"/>
            <w:noWrap/>
            <w:vAlign w:val="bottom"/>
            <w:hideMark/>
          </w:tcPr>
          <w:p w14:paraId="70DFEE8F" w14:textId="77777777" w:rsidR="008E46BF" w:rsidRPr="008E46BF" w:rsidRDefault="008E46BF" w:rsidP="008E46BF">
            <w:pPr>
              <w:rPr>
                <w:rFonts w:cs="Arial"/>
                <w:color w:val="FFFFFF"/>
                <w:sz w:val="20"/>
                <w:szCs w:val="20"/>
                <w:lang w:eastAsia="en-GB"/>
              </w:rPr>
            </w:pPr>
            <w:r w:rsidRPr="008E46BF">
              <w:rPr>
                <w:rFonts w:cs="Arial"/>
                <w:color w:val="FFFFFF"/>
                <w:sz w:val="20"/>
                <w:szCs w:val="20"/>
                <w:lang w:eastAsia="en-GB"/>
              </w:rPr>
              <w:t> </w:t>
            </w:r>
          </w:p>
        </w:tc>
      </w:tr>
      <w:tr w:rsidR="008E46BF" w:rsidRPr="008E46BF" w14:paraId="6ECF4ED8" w14:textId="77777777" w:rsidTr="008E46BF">
        <w:trPr>
          <w:trHeight w:val="290"/>
          <w:jc w:val="center"/>
        </w:trPr>
        <w:tc>
          <w:tcPr>
            <w:tcW w:w="3964" w:type="dxa"/>
            <w:tcBorders>
              <w:top w:val="single" w:sz="4" w:space="0" w:color="auto"/>
              <w:left w:val="single" w:sz="4" w:space="0" w:color="auto"/>
              <w:bottom w:val="nil"/>
              <w:right w:val="nil"/>
            </w:tcBorders>
            <w:shd w:val="clear" w:color="000000" w:fill="000000"/>
            <w:noWrap/>
            <w:vAlign w:val="bottom"/>
            <w:hideMark/>
          </w:tcPr>
          <w:p w14:paraId="14B5FD45" w14:textId="77777777" w:rsidR="008E46BF" w:rsidRPr="008E46BF" w:rsidRDefault="008E46BF" w:rsidP="008E46BF">
            <w:pPr>
              <w:rPr>
                <w:rFonts w:cs="Arial"/>
                <w:color w:val="FFFFFF"/>
                <w:sz w:val="20"/>
                <w:szCs w:val="20"/>
                <w:lang w:eastAsia="en-GB"/>
              </w:rPr>
            </w:pPr>
            <w:r w:rsidRPr="008E46BF">
              <w:rPr>
                <w:rFonts w:cs="Arial"/>
                <w:color w:val="FFFFFF"/>
                <w:sz w:val="20"/>
                <w:szCs w:val="20"/>
                <w:lang w:eastAsia="en-GB"/>
              </w:rPr>
              <w:t> </w:t>
            </w:r>
          </w:p>
        </w:tc>
        <w:tc>
          <w:tcPr>
            <w:tcW w:w="1276" w:type="dxa"/>
            <w:tcBorders>
              <w:top w:val="single" w:sz="4" w:space="0" w:color="auto"/>
              <w:left w:val="nil"/>
              <w:bottom w:val="nil"/>
              <w:right w:val="nil"/>
            </w:tcBorders>
            <w:shd w:val="clear" w:color="000000" w:fill="000000"/>
            <w:noWrap/>
            <w:vAlign w:val="bottom"/>
            <w:hideMark/>
          </w:tcPr>
          <w:p w14:paraId="24C1F711" w14:textId="77777777" w:rsidR="008E46BF" w:rsidRPr="008E46BF" w:rsidRDefault="008E46BF" w:rsidP="008E46BF">
            <w:pPr>
              <w:jc w:val="center"/>
              <w:rPr>
                <w:rFonts w:cs="Arial"/>
                <w:b/>
                <w:bCs/>
                <w:color w:val="FFFFFF"/>
                <w:sz w:val="20"/>
                <w:szCs w:val="20"/>
                <w:lang w:eastAsia="en-GB"/>
              </w:rPr>
            </w:pPr>
            <w:r w:rsidRPr="008E46BF">
              <w:rPr>
                <w:rFonts w:cs="Arial"/>
                <w:b/>
                <w:bCs/>
                <w:color w:val="FFFFFF"/>
                <w:sz w:val="20"/>
                <w:szCs w:val="20"/>
                <w:lang w:eastAsia="en-GB"/>
              </w:rPr>
              <w:t>2022/23</w:t>
            </w:r>
          </w:p>
        </w:tc>
        <w:tc>
          <w:tcPr>
            <w:tcW w:w="1276" w:type="dxa"/>
            <w:tcBorders>
              <w:top w:val="single" w:sz="4" w:space="0" w:color="auto"/>
              <w:left w:val="nil"/>
              <w:bottom w:val="nil"/>
              <w:right w:val="nil"/>
            </w:tcBorders>
            <w:shd w:val="clear" w:color="000000" w:fill="000000"/>
            <w:noWrap/>
            <w:vAlign w:val="bottom"/>
            <w:hideMark/>
          </w:tcPr>
          <w:p w14:paraId="40300717" w14:textId="77777777" w:rsidR="008E46BF" w:rsidRPr="008E46BF" w:rsidRDefault="008E46BF" w:rsidP="008E46BF">
            <w:pPr>
              <w:jc w:val="center"/>
              <w:rPr>
                <w:rFonts w:cs="Arial"/>
                <w:b/>
                <w:bCs/>
                <w:color w:val="FFFFFF"/>
                <w:sz w:val="20"/>
                <w:szCs w:val="20"/>
                <w:lang w:eastAsia="en-GB"/>
              </w:rPr>
            </w:pPr>
            <w:r w:rsidRPr="008E46BF">
              <w:rPr>
                <w:rFonts w:cs="Arial"/>
                <w:b/>
                <w:bCs/>
                <w:color w:val="FFFFFF"/>
                <w:sz w:val="20"/>
                <w:szCs w:val="20"/>
                <w:lang w:eastAsia="en-GB"/>
              </w:rPr>
              <w:t>2023/24</w:t>
            </w:r>
          </w:p>
        </w:tc>
        <w:tc>
          <w:tcPr>
            <w:tcW w:w="283" w:type="dxa"/>
            <w:tcBorders>
              <w:top w:val="single" w:sz="4" w:space="0" w:color="auto"/>
              <w:left w:val="nil"/>
              <w:bottom w:val="nil"/>
              <w:right w:val="single" w:sz="4" w:space="0" w:color="auto"/>
            </w:tcBorders>
            <w:shd w:val="clear" w:color="000000" w:fill="000000"/>
            <w:noWrap/>
            <w:vAlign w:val="bottom"/>
            <w:hideMark/>
          </w:tcPr>
          <w:p w14:paraId="0D8CD4E0" w14:textId="77777777" w:rsidR="008E46BF" w:rsidRPr="008E46BF" w:rsidRDefault="008E46BF" w:rsidP="008E46BF">
            <w:pPr>
              <w:rPr>
                <w:rFonts w:cs="Arial"/>
                <w:color w:val="FFFFFF"/>
                <w:sz w:val="20"/>
                <w:szCs w:val="20"/>
                <w:lang w:eastAsia="en-GB"/>
              </w:rPr>
            </w:pPr>
            <w:r w:rsidRPr="008E46BF">
              <w:rPr>
                <w:rFonts w:cs="Arial"/>
                <w:color w:val="FFFFFF"/>
                <w:sz w:val="20"/>
                <w:szCs w:val="20"/>
                <w:lang w:eastAsia="en-GB"/>
              </w:rPr>
              <w:t> </w:t>
            </w:r>
          </w:p>
        </w:tc>
      </w:tr>
      <w:tr w:rsidR="008E46BF" w:rsidRPr="008E46BF" w14:paraId="3181C77D" w14:textId="77777777" w:rsidTr="008E46BF">
        <w:trPr>
          <w:trHeight w:val="290"/>
          <w:jc w:val="center"/>
        </w:trPr>
        <w:tc>
          <w:tcPr>
            <w:tcW w:w="3964" w:type="dxa"/>
            <w:tcBorders>
              <w:top w:val="nil"/>
              <w:left w:val="single" w:sz="4" w:space="0" w:color="auto"/>
              <w:bottom w:val="nil"/>
              <w:right w:val="nil"/>
            </w:tcBorders>
            <w:shd w:val="clear" w:color="000000" w:fill="000000"/>
            <w:noWrap/>
            <w:vAlign w:val="bottom"/>
            <w:hideMark/>
          </w:tcPr>
          <w:p w14:paraId="22109A86" w14:textId="77777777" w:rsidR="008E46BF" w:rsidRPr="008E46BF" w:rsidRDefault="008E46BF" w:rsidP="008E46BF">
            <w:pPr>
              <w:rPr>
                <w:rFonts w:cs="Arial"/>
                <w:color w:val="FFFFFF"/>
                <w:sz w:val="20"/>
                <w:szCs w:val="20"/>
                <w:lang w:eastAsia="en-GB"/>
              </w:rPr>
            </w:pPr>
            <w:r w:rsidRPr="008E46BF">
              <w:rPr>
                <w:rFonts w:cs="Arial"/>
                <w:color w:val="FFFFFF"/>
                <w:sz w:val="20"/>
                <w:szCs w:val="20"/>
                <w:lang w:eastAsia="en-GB"/>
              </w:rPr>
              <w:t> </w:t>
            </w:r>
          </w:p>
        </w:tc>
        <w:tc>
          <w:tcPr>
            <w:tcW w:w="1276" w:type="dxa"/>
            <w:tcBorders>
              <w:top w:val="nil"/>
              <w:left w:val="nil"/>
              <w:bottom w:val="nil"/>
              <w:right w:val="nil"/>
            </w:tcBorders>
            <w:shd w:val="clear" w:color="000000" w:fill="000000"/>
            <w:noWrap/>
            <w:vAlign w:val="bottom"/>
            <w:hideMark/>
          </w:tcPr>
          <w:p w14:paraId="7204C970" w14:textId="77777777" w:rsidR="008E46BF" w:rsidRPr="008E46BF" w:rsidRDefault="008E46BF" w:rsidP="008E46BF">
            <w:pPr>
              <w:jc w:val="center"/>
              <w:rPr>
                <w:rFonts w:cs="Arial"/>
                <w:b/>
                <w:bCs/>
                <w:color w:val="FFFFFF"/>
                <w:sz w:val="20"/>
                <w:szCs w:val="20"/>
                <w:lang w:eastAsia="en-GB"/>
              </w:rPr>
            </w:pPr>
            <w:r w:rsidRPr="008E46BF">
              <w:rPr>
                <w:rFonts w:cs="Arial"/>
                <w:b/>
                <w:bCs/>
                <w:color w:val="FFFFFF"/>
                <w:sz w:val="20"/>
                <w:szCs w:val="20"/>
                <w:lang w:eastAsia="en-GB"/>
              </w:rPr>
              <w:t>£000</w:t>
            </w:r>
          </w:p>
        </w:tc>
        <w:tc>
          <w:tcPr>
            <w:tcW w:w="1276" w:type="dxa"/>
            <w:tcBorders>
              <w:top w:val="nil"/>
              <w:left w:val="nil"/>
              <w:bottom w:val="nil"/>
              <w:right w:val="nil"/>
            </w:tcBorders>
            <w:shd w:val="clear" w:color="000000" w:fill="000000"/>
            <w:noWrap/>
            <w:vAlign w:val="bottom"/>
            <w:hideMark/>
          </w:tcPr>
          <w:p w14:paraId="3CB0C7D2" w14:textId="77777777" w:rsidR="008E46BF" w:rsidRPr="008E46BF" w:rsidRDefault="008E46BF" w:rsidP="008E46BF">
            <w:pPr>
              <w:jc w:val="center"/>
              <w:rPr>
                <w:rFonts w:cs="Arial"/>
                <w:b/>
                <w:bCs/>
                <w:color w:val="FFFFFF"/>
                <w:sz w:val="20"/>
                <w:szCs w:val="20"/>
                <w:lang w:eastAsia="en-GB"/>
              </w:rPr>
            </w:pPr>
            <w:r w:rsidRPr="008E46BF">
              <w:rPr>
                <w:rFonts w:cs="Arial"/>
                <w:b/>
                <w:bCs/>
                <w:color w:val="FFFFFF"/>
                <w:sz w:val="20"/>
                <w:szCs w:val="20"/>
                <w:lang w:eastAsia="en-GB"/>
              </w:rPr>
              <w:t>£000</w:t>
            </w:r>
          </w:p>
        </w:tc>
        <w:tc>
          <w:tcPr>
            <w:tcW w:w="283" w:type="dxa"/>
            <w:tcBorders>
              <w:top w:val="nil"/>
              <w:left w:val="nil"/>
              <w:bottom w:val="nil"/>
              <w:right w:val="single" w:sz="4" w:space="0" w:color="auto"/>
            </w:tcBorders>
            <w:shd w:val="clear" w:color="000000" w:fill="000000"/>
            <w:noWrap/>
            <w:vAlign w:val="bottom"/>
            <w:hideMark/>
          </w:tcPr>
          <w:p w14:paraId="64EEA020" w14:textId="77777777" w:rsidR="008E46BF" w:rsidRPr="008E46BF" w:rsidRDefault="008E46BF" w:rsidP="008E46BF">
            <w:pPr>
              <w:rPr>
                <w:rFonts w:cs="Arial"/>
                <w:color w:val="FFFFFF"/>
                <w:sz w:val="20"/>
                <w:szCs w:val="20"/>
                <w:lang w:eastAsia="en-GB"/>
              </w:rPr>
            </w:pPr>
            <w:r w:rsidRPr="008E46BF">
              <w:rPr>
                <w:rFonts w:cs="Arial"/>
                <w:color w:val="FFFFFF"/>
                <w:sz w:val="20"/>
                <w:szCs w:val="20"/>
                <w:lang w:eastAsia="en-GB"/>
              </w:rPr>
              <w:t> </w:t>
            </w:r>
          </w:p>
        </w:tc>
      </w:tr>
      <w:tr w:rsidR="008E46BF" w:rsidRPr="008E46BF" w14:paraId="102E36A6" w14:textId="77777777" w:rsidTr="008E46BF">
        <w:trPr>
          <w:trHeight w:val="290"/>
          <w:jc w:val="center"/>
        </w:trPr>
        <w:tc>
          <w:tcPr>
            <w:tcW w:w="3964" w:type="dxa"/>
            <w:tcBorders>
              <w:top w:val="nil"/>
              <w:left w:val="single" w:sz="4" w:space="0" w:color="auto"/>
              <w:bottom w:val="nil"/>
              <w:right w:val="nil"/>
            </w:tcBorders>
            <w:shd w:val="clear" w:color="auto" w:fill="auto"/>
            <w:noWrap/>
            <w:vAlign w:val="bottom"/>
            <w:hideMark/>
          </w:tcPr>
          <w:p w14:paraId="5ACED469" w14:textId="77777777" w:rsidR="008E46BF" w:rsidRPr="008E46BF" w:rsidRDefault="008E46BF" w:rsidP="008E46BF">
            <w:pPr>
              <w:rPr>
                <w:rFonts w:cs="Arial"/>
                <w:sz w:val="20"/>
                <w:szCs w:val="20"/>
                <w:lang w:eastAsia="en-GB"/>
              </w:rPr>
            </w:pPr>
            <w:r w:rsidRPr="008E46BF">
              <w:rPr>
                <w:rFonts w:cs="Arial"/>
                <w:sz w:val="20"/>
                <w:szCs w:val="20"/>
                <w:lang w:eastAsia="en-GB"/>
              </w:rPr>
              <w:t> </w:t>
            </w:r>
          </w:p>
        </w:tc>
        <w:tc>
          <w:tcPr>
            <w:tcW w:w="1276" w:type="dxa"/>
            <w:tcBorders>
              <w:top w:val="nil"/>
              <w:left w:val="nil"/>
              <w:bottom w:val="nil"/>
              <w:right w:val="nil"/>
            </w:tcBorders>
            <w:shd w:val="clear" w:color="auto" w:fill="auto"/>
            <w:noWrap/>
            <w:vAlign w:val="bottom"/>
            <w:hideMark/>
          </w:tcPr>
          <w:p w14:paraId="4BB79D5B" w14:textId="77777777" w:rsidR="008E46BF" w:rsidRPr="008E46BF" w:rsidRDefault="008E46BF" w:rsidP="008E46BF">
            <w:pPr>
              <w:rPr>
                <w:rFonts w:cs="Arial"/>
                <w:sz w:val="20"/>
                <w:szCs w:val="20"/>
                <w:lang w:eastAsia="en-GB"/>
              </w:rPr>
            </w:pPr>
          </w:p>
        </w:tc>
        <w:tc>
          <w:tcPr>
            <w:tcW w:w="1276" w:type="dxa"/>
            <w:tcBorders>
              <w:top w:val="nil"/>
              <w:left w:val="nil"/>
              <w:bottom w:val="nil"/>
              <w:right w:val="nil"/>
            </w:tcBorders>
            <w:shd w:val="clear" w:color="auto" w:fill="auto"/>
            <w:noWrap/>
            <w:vAlign w:val="bottom"/>
            <w:hideMark/>
          </w:tcPr>
          <w:p w14:paraId="5E1C8466" w14:textId="77777777" w:rsidR="008E46BF" w:rsidRPr="008E46BF" w:rsidRDefault="008E46BF" w:rsidP="008E46BF">
            <w:pPr>
              <w:rPr>
                <w:rFonts w:ascii="Times New Roman" w:hAnsi="Times New Roman"/>
                <w:sz w:val="20"/>
                <w:szCs w:val="20"/>
                <w:lang w:eastAsia="en-GB"/>
              </w:rPr>
            </w:pPr>
          </w:p>
        </w:tc>
        <w:tc>
          <w:tcPr>
            <w:tcW w:w="283" w:type="dxa"/>
            <w:tcBorders>
              <w:top w:val="nil"/>
              <w:left w:val="nil"/>
              <w:bottom w:val="nil"/>
              <w:right w:val="single" w:sz="4" w:space="0" w:color="auto"/>
            </w:tcBorders>
            <w:shd w:val="clear" w:color="auto" w:fill="auto"/>
            <w:noWrap/>
            <w:vAlign w:val="bottom"/>
            <w:hideMark/>
          </w:tcPr>
          <w:p w14:paraId="07101CD1" w14:textId="77777777" w:rsidR="008E46BF" w:rsidRPr="008E46BF" w:rsidRDefault="008E46BF" w:rsidP="008E46BF">
            <w:pPr>
              <w:rPr>
                <w:rFonts w:cs="Arial"/>
                <w:sz w:val="20"/>
                <w:szCs w:val="20"/>
                <w:lang w:eastAsia="en-GB"/>
              </w:rPr>
            </w:pPr>
            <w:r w:rsidRPr="008E46BF">
              <w:rPr>
                <w:rFonts w:cs="Arial"/>
                <w:sz w:val="20"/>
                <w:szCs w:val="20"/>
                <w:lang w:eastAsia="en-GB"/>
              </w:rPr>
              <w:t> </w:t>
            </w:r>
          </w:p>
        </w:tc>
      </w:tr>
      <w:tr w:rsidR="008E46BF" w:rsidRPr="008E46BF" w14:paraId="4B5FA0D0" w14:textId="77777777" w:rsidTr="008E46BF">
        <w:trPr>
          <w:trHeight w:val="300"/>
          <w:jc w:val="center"/>
        </w:trPr>
        <w:tc>
          <w:tcPr>
            <w:tcW w:w="3964" w:type="dxa"/>
            <w:tcBorders>
              <w:top w:val="nil"/>
              <w:left w:val="single" w:sz="4" w:space="0" w:color="auto"/>
              <w:bottom w:val="nil"/>
              <w:right w:val="nil"/>
            </w:tcBorders>
            <w:shd w:val="clear" w:color="auto" w:fill="auto"/>
            <w:noWrap/>
            <w:vAlign w:val="bottom"/>
            <w:hideMark/>
          </w:tcPr>
          <w:p w14:paraId="57F34509" w14:textId="43934C9F" w:rsidR="008E46BF" w:rsidRPr="008E46BF" w:rsidRDefault="008E46BF" w:rsidP="008E46BF">
            <w:pPr>
              <w:rPr>
                <w:rFonts w:cs="Arial"/>
                <w:b/>
                <w:bCs/>
                <w:lang w:eastAsia="en-GB"/>
              </w:rPr>
            </w:pPr>
          </w:p>
        </w:tc>
        <w:tc>
          <w:tcPr>
            <w:tcW w:w="1276" w:type="dxa"/>
            <w:tcBorders>
              <w:top w:val="nil"/>
              <w:left w:val="nil"/>
              <w:bottom w:val="nil"/>
              <w:right w:val="nil"/>
            </w:tcBorders>
            <w:shd w:val="clear" w:color="auto" w:fill="auto"/>
            <w:noWrap/>
            <w:vAlign w:val="bottom"/>
            <w:hideMark/>
          </w:tcPr>
          <w:p w14:paraId="2AAC5618" w14:textId="77777777" w:rsidR="008E46BF" w:rsidRPr="008E46BF" w:rsidRDefault="008E46BF" w:rsidP="008E46BF">
            <w:pPr>
              <w:rPr>
                <w:rFonts w:cs="Arial"/>
                <w:b/>
                <w:bCs/>
                <w:lang w:eastAsia="en-GB"/>
              </w:rPr>
            </w:pPr>
          </w:p>
        </w:tc>
        <w:tc>
          <w:tcPr>
            <w:tcW w:w="1276" w:type="dxa"/>
            <w:tcBorders>
              <w:top w:val="nil"/>
              <w:left w:val="nil"/>
              <w:bottom w:val="nil"/>
              <w:right w:val="nil"/>
            </w:tcBorders>
            <w:shd w:val="clear" w:color="auto" w:fill="auto"/>
            <w:noWrap/>
            <w:vAlign w:val="bottom"/>
            <w:hideMark/>
          </w:tcPr>
          <w:p w14:paraId="306F98CF" w14:textId="77777777" w:rsidR="008E46BF" w:rsidRPr="008E46BF" w:rsidRDefault="008E46BF" w:rsidP="008E46BF">
            <w:pPr>
              <w:rPr>
                <w:rFonts w:ascii="Times New Roman" w:hAnsi="Times New Roman"/>
                <w:sz w:val="20"/>
                <w:szCs w:val="20"/>
                <w:lang w:eastAsia="en-GB"/>
              </w:rPr>
            </w:pPr>
          </w:p>
        </w:tc>
        <w:tc>
          <w:tcPr>
            <w:tcW w:w="283" w:type="dxa"/>
            <w:tcBorders>
              <w:top w:val="nil"/>
              <w:left w:val="nil"/>
              <w:bottom w:val="nil"/>
              <w:right w:val="single" w:sz="4" w:space="0" w:color="auto"/>
            </w:tcBorders>
            <w:shd w:val="clear" w:color="auto" w:fill="auto"/>
            <w:noWrap/>
            <w:vAlign w:val="bottom"/>
            <w:hideMark/>
          </w:tcPr>
          <w:p w14:paraId="4445F89E" w14:textId="77777777" w:rsidR="008E46BF" w:rsidRPr="008E46BF" w:rsidRDefault="008E46BF" w:rsidP="008E46BF">
            <w:pPr>
              <w:rPr>
                <w:rFonts w:cs="Arial"/>
                <w:sz w:val="20"/>
                <w:szCs w:val="20"/>
                <w:lang w:eastAsia="en-GB"/>
              </w:rPr>
            </w:pPr>
            <w:r w:rsidRPr="008E46BF">
              <w:rPr>
                <w:rFonts w:cs="Arial"/>
                <w:sz w:val="20"/>
                <w:szCs w:val="20"/>
                <w:lang w:eastAsia="en-GB"/>
              </w:rPr>
              <w:t> </w:t>
            </w:r>
          </w:p>
        </w:tc>
      </w:tr>
      <w:tr w:rsidR="008E46BF" w:rsidRPr="008E46BF" w14:paraId="06ACA984" w14:textId="77777777" w:rsidTr="008E46BF">
        <w:trPr>
          <w:trHeight w:val="300"/>
          <w:jc w:val="center"/>
        </w:trPr>
        <w:tc>
          <w:tcPr>
            <w:tcW w:w="3964" w:type="dxa"/>
            <w:tcBorders>
              <w:top w:val="nil"/>
              <w:left w:val="single" w:sz="4" w:space="0" w:color="auto"/>
              <w:bottom w:val="nil"/>
              <w:right w:val="nil"/>
            </w:tcBorders>
            <w:shd w:val="clear" w:color="auto" w:fill="auto"/>
            <w:noWrap/>
            <w:vAlign w:val="bottom"/>
            <w:hideMark/>
          </w:tcPr>
          <w:p w14:paraId="2EA9161E" w14:textId="77777777" w:rsidR="008E46BF" w:rsidRPr="008E46BF" w:rsidRDefault="008E46BF" w:rsidP="008E46BF">
            <w:pPr>
              <w:rPr>
                <w:rFonts w:cs="Arial"/>
                <w:lang w:eastAsia="en-GB"/>
              </w:rPr>
            </w:pPr>
            <w:r w:rsidRPr="008E46BF">
              <w:rPr>
                <w:rFonts w:cs="Arial"/>
                <w:lang w:eastAsia="en-GB"/>
              </w:rPr>
              <w:t xml:space="preserve">    National Park Grant</w:t>
            </w:r>
          </w:p>
        </w:tc>
        <w:tc>
          <w:tcPr>
            <w:tcW w:w="1276" w:type="dxa"/>
            <w:tcBorders>
              <w:top w:val="nil"/>
              <w:left w:val="nil"/>
              <w:bottom w:val="nil"/>
              <w:right w:val="nil"/>
            </w:tcBorders>
            <w:shd w:val="clear" w:color="auto" w:fill="auto"/>
            <w:noWrap/>
            <w:vAlign w:val="bottom"/>
            <w:hideMark/>
          </w:tcPr>
          <w:p w14:paraId="27C24C79" w14:textId="77777777" w:rsidR="008E46BF" w:rsidRPr="008E46BF" w:rsidRDefault="008E46BF" w:rsidP="008E46BF">
            <w:pPr>
              <w:jc w:val="right"/>
              <w:rPr>
                <w:rFonts w:cs="Arial"/>
                <w:sz w:val="22"/>
                <w:szCs w:val="22"/>
                <w:lang w:eastAsia="en-GB"/>
              </w:rPr>
            </w:pPr>
            <w:r w:rsidRPr="008E46BF">
              <w:rPr>
                <w:rFonts w:cs="Arial"/>
                <w:sz w:val="22"/>
                <w:szCs w:val="22"/>
                <w:lang w:eastAsia="en-GB"/>
              </w:rPr>
              <w:t>6,030</w:t>
            </w:r>
          </w:p>
        </w:tc>
        <w:tc>
          <w:tcPr>
            <w:tcW w:w="1276" w:type="dxa"/>
            <w:tcBorders>
              <w:top w:val="nil"/>
              <w:left w:val="nil"/>
              <w:bottom w:val="nil"/>
              <w:right w:val="nil"/>
            </w:tcBorders>
            <w:shd w:val="clear" w:color="auto" w:fill="auto"/>
            <w:noWrap/>
            <w:vAlign w:val="bottom"/>
            <w:hideMark/>
          </w:tcPr>
          <w:p w14:paraId="63FC940C" w14:textId="77777777" w:rsidR="008E46BF" w:rsidRPr="008E46BF" w:rsidRDefault="008E46BF" w:rsidP="008E46BF">
            <w:pPr>
              <w:jc w:val="right"/>
              <w:rPr>
                <w:rFonts w:cs="Arial"/>
                <w:sz w:val="22"/>
                <w:szCs w:val="22"/>
                <w:lang w:eastAsia="en-GB"/>
              </w:rPr>
            </w:pPr>
            <w:r w:rsidRPr="008E46BF">
              <w:rPr>
                <w:rFonts w:cs="Arial"/>
                <w:sz w:val="22"/>
                <w:szCs w:val="22"/>
                <w:lang w:eastAsia="en-GB"/>
              </w:rPr>
              <w:t>5,590</w:t>
            </w:r>
          </w:p>
        </w:tc>
        <w:tc>
          <w:tcPr>
            <w:tcW w:w="283" w:type="dxa"/>
            <w:tcBorders>
              <w:top w:val="nil"/>
              <w:left w:val="nil"/>
              <w:bottom w:val="nil"/>
              <w:right w:val="single" w:sz="4" w:space="0" w:color="auto"/>
            </w:tcBorders>
            <w:shd w:val="clear" w:color="auto" w:fill="auto"/>
            <w:noWrap/>
            <w:vAlign w:val="bottom"/>
            <w:hideMark/>
          </w:tcPr>
          <w:p w14:paraId="6BC8853F" w14:textId="77777777" w:rsidR="008E46BF" w:rsidRPr="008E46BF" w:rsidRDefault="008E46BF" w:rsidP="008E46BF">
            <w:pPr>
              <w:rPr>
                <w:rFonts w:cs="Arial"/>
                <w:sz w:val="20"/>
                <w:szCs w:val="20"/>
                <w:lang w:eastAsia="en-GB"/>
              </w:rPr>
            </w:pPr>
            <w:r w:rsidRPr="008E46BF">
              <w:rPr>
                <w:rFonts w:cs="Arial"/>
                <w:sz w:val="20"/>
                <w:szCs w:val="20"/>
                <w:lang w:eastAsia="en-GB"/>
              </w:rPr>
              <w:t> </w:t>
            </w:r>
          </w:p>
        </w:tc>
      </w:tr>
      <w:tr w:rsidR="008E46BF" w:rsidRPr="008E46BF" w14:paraId="7011A65A" w14:textId="77777777" w:rsidTr="008E46BF">
        <w:trPr>
          <w:trHeight w:val="300"/>
          <w:jc w:val="center"/>
        </w:trPr>
        <w:tc>
          <w:tcPr>
            <w:tcW w:w="3964" w:type="dxa"/>
            <w:tcBorders>
              <w:top w:val="nil"/>
              <w:left w:val="single" w:sz="4" w:space="0" w:color="auto"/>
              <w:bottom w:val="nil"/>
              <w:right w:val="nil"/>
            </w:tcBorders>
            <w:shd w:val="clear" w:color="auto" w:fill="auto"/>
            <w:noWrap/>
            <w:vAlign w:val="bottom"/>
            <w:hideMark/>
          </w:tcPr>
          <w:p w14:paraId="28EFE886" w14:textId="77777777" w:rsidR="008E46BF" w:rsidRPr="008E46BF" w:rsidRDefault="008E46BF" w:rsidP="008E46BF">
            <w:pPr>
              <w:rPr>
                <w:rFonts w:cs="Arial"/>
                <w:lang w:eastAsia="en-GB"/>
              </w:rPr>
            </w:pPr>
            <w:r w:rsidRPr="008E46BF">
              <w:rPr>
                <w:rFonts w:cs="Arial"/>
                <w:lang w:eastAsia="en-GB"/>
              </w:rPr>
              <w:t xml:space="preserve">    Capital Grants &amp; Contributions:</w:t>
            </w:r>
          </w:p>
        </w:tc>
        <w:tc>
          <w:tcPr>
            <w:tcW w:w="1276" w:type="dxa"/>
            <w:tcBorders>
              <w:top w:val="nil"/>
              <w:left w:val="nil"/>
              <w:bottom w:val="nil"/>
              <w:right w:val="nil"/>
            </w:tcBorders>
            <w:shd w:val="clear" w:color="auto" w:fill="auto"/>
            <w:noWrap/>
            <w:vAlign w:val="bottom"/>
            <w:hideMark/>
          </w:tcPr>
          <w:p w14:paraId="16B81FAB" w14:textId="77777777" w:rsidR="008E46BF" w:rsidRPr="008E46BF" w:rsidRDefault="008E46BF" w:rsidP="008E46BF">
            <w:pPr>
              <w:rPr>
                <w:rFonts w:cs="Arial"/>
                <w:lang w:eastAsia="en-GB"/>
              </w:rPr>
            </w:pPr>
          </w:p>
        </w:tc>
        <w:tc>
          <w:tcPr>
            <w:tcW w:w="1276" w:type="dxa"/>
            <w:tcBorders>
              <w:top w:val="nil"/>
              <w:left w:val="nil"/>
              <w:bottom w:val="nil"/>
              <w:right w:val="nil"/>
            </w:tcBorders>
            <w:shd w:val="clear" w:color="auto" w:fill="auto"/>
            <w:noWrap/>
            <w:vAlign w:val="bottom"/>
            <w:hideMark/>
          </w:tcPr>
          <w:p w14:paraId="30A3A56F" w14:textId="77777777" w:rsidR="008E46BF" w:rsidRPr="008E46BF" w:rsidRDefault="008E46BF" w:rsidP="008E46BF">
            <w:pPr>
              <w:rPr>
                <w:rFonts w:ascii="Times New Roman" w:hAnsi="Times New Roman"/>
                <w:sz w:val="20"/>
                <w:szCs w:val="20"/>
                <w:lang w:eastAsia="en-GB"/>
              </w:rPr>
            </w:pPr>
          </w:p>
        </w:tc>
        <w:tc>
          <w:tcPr>
            <w:tcW w:w="283" w:type="dxa"/>
            <w:tcBorders>
              <w:top w:val="nil"/>
              <w:left w:val="nil"/>
              <w:bottom w:val="nil"/>
              <w:right w:val="single" w:sz="4" w:space="0" w:color="auto"/>
            </w:tcBorders>
            <w:shd w:val="clear" w:color="auto" w:fill="auto"/>
            <w:noWrap/>
            <w:vAlign w:val="bottom"/>
            <w:hideMark/>
          </w:tcPr>
          <w:p w14:paraId="110E63A7" w14:textId="77777777" w:rsidR="008E46BF" w:rsidRPr="008E46BF" w:rsidRDefault="008E46BF" w:rsidP="008E46BF">
            <w:pPr>
              <w:rPr>
                <w:rFonts w:cs="Arial"/>
                <w:sz w:val="20"/>
                <w:szCs w:val="20"/>
                <w:lang w:eastAsia="en-GB"/>
              </w:rPr>
            </w:pPr>
            <w:r w:rsidRPr="008E46BF">
              <w:rPr>
                <w:rFonts w:cs="Arial"/>
                <w:sz w:val="20"/>
                <w:szCs w:val="20"/>
                <w:lang w:eastAsia="en-GB"/>
              </w:rPr>
              <w:t> </w:t>
            </w:r>
          </w:p>
        </w:tc>
      </w:tr>
      <w:tr w:rsidR="008E46BF" w:rsidRPr="008E46BF" w14:paraId="23538808" w14:textId="77777777" w:rsidTr="008E46BF">
        <w:trPr>
          <w:trHeight w:val="290"/>
          <w:jc w:val="center"/>
        </w:trPr>
        <w:tc>
          <w:tcPr>
            <w:tcW w:w="3964" w:type="dxa"/>
            <w:tcBorders>
              <w:top w:val="nil"/>
              <w:left w:val="single" w:sz="4" w:space="0" w:color="auto"/>
              <w:bottom w:val="nil"/>
              <w:right w:val="nil"/>
            </w:tcBorders>
            <w:shd w:val="clear" w:color="auto" w:fill="auto"/>
            <w:noWrap/>
            <w:vAlign w:val="bottom"/>
            <w:hideMark/>
          </w:tcPr>
          <w:p w14:paraId="7027BCBC" w14:textId="77777777" w:rsidR="008E46BF" w:rsidRPr="008E46BF" w:rsidRDefault="008E46BF" w:rsidP="008E46BF">
            <w:pPr>
              <w:rPr>
                <w:rFonts w:ascii="Calibri" w:hAnsi="Calibri" w:cs="Calibri"/>
                <w:color w:val="000000"/>
                <w:sz w:val="22"/>
                <w:szCs w:val="22"/>
                <w:lang w:eastAsia="en-GB"/>
              </w:rPr>
            </w:pPr>
            <w:r w:rsidRPr="008E46BF">
              <w:rPr>
                <w:rFonts w:ascii="Calibri" w:hAnsi="Calibri" w:cs="Calibri"/>
                <w:color w:val="000000"/>
                <w:sz w:val="22"/>
                <w:szCs w:val="22"/>
                <w:lang w:eastAsia="en-GB"/>
              </w:rPr>
              <w:t> </w:t>
            </w:r>
          </w:p>
        </w:tc>
        <w:tc>
          <w:tcPr>
            <w:tcW w:w="1276" w:type="dxa"/>
            <w:tcBorders>
              <w:top w:val="nil"/>
              <w:left w:val="nil"/>
              <w:bottom w:val="nil"/>
              <w:right w:val="nil"/>
            </w:tcBorders>
            <w:shd w:val="clear" w:color="auto" w:fill="auto"/>
            <w:noWrap/>
            <w:vAlign w:val="bottom"/>
            <w:hideMark/>
          </w:tcPr>
          <w:p w14:paraId="3F8063D2" w14:textId="77777777" w:rsidR="008E46BF" w:rsidRPr="008E46BF" w:rsidRDefault="008E46BF" w:rsidP="008E46BF">
            <w:pPr>
              <w:rPr>
                <w:rFonts w:ascii="Calibri" w:hAnsi="Calibri" w:cs="Calibri"/>
                <w:color w:val="000000"/>
                <w:sz w:val="22"/>
                <w:szCs w:val="22"/>
                <w:lang w:eastAsia="en-GB"/>
              </w:rPr>
            </w:pPr>
          </w:p>
        </w:tc>
        <w:tc>
          <w:tcPr>
            <w:tcW w:w="1276" w:type="dxa"/>
            <w:tcBorders>
              <w:top w:val="nil"/>
              <w:left w:val="nil"/>
              <w:bottom w:val="nil"/>
              <w:right w:val="nil"/>
            </w:tcBorders>
            <w:shd w:val="clear" w:color="auto" w:fill="auto"/>
            <w:noWrap/>
            <w:vAlign w:val="bottom"/>
            <w:hideMark/>
          </w:tcPr>
          <w:p w14:paraId="3B823BF1" w14:textId="77777777" w:rsidR="008E46BF" w:rsidRPr="008E46BF" w:rsidRDefault="008E46BF" w:rsidP="008E46BF">
            <w:pPr>
              <w:rPr>
                <w:rFonts w:ascii="Times New Roman" w:hAnsi="Times New Roman"/>
                <w:sz w:val="20"/>
                <w:szCs w:val="20"/>
                <w:lang w:eastAsia="en-GB"/>
              </w:rPr>
            </w:pPr>
          </w:p>
        </w:tc>
        <w:tc>
          <w:tcPr>
            <w:tcW w:w="283" w:type="dxa"/>
            <w:tcBorders>
              <w:top w:val="nil"/>
              <w:left w:val="nil"/>
              <w:bottom w:val="nil"/>
              <w:right w:val="single" w:sz="4" w:space="0" w:color="auto"/>
            </w:tcBorders>
            <w:shd w:val="clear" w:color="auto" w:fill="auto"/>
            <w:noWrap/>
            <w:vAlign w:val="bottom"/>
            <w:hideMark/>
          </w:tcPr>
          <w:p w14:paraId="0E425F6D" w14:textId="77777777" w:rsidR="008E46BF" w:rsidRPr="008E46BF" w:rsidRDefault="008E46BF" w:rsidP="008E46BF">
            <w:pPr>
              <w:rPr>
                <w:rFonts w:ascii="Calibri" w:hAnsi="Calibri" w:cs="Calibri"/>
                <w:color w:val="000000"/>
                <w:sz w:val="22"/>
                <w:szCs w:val="22"/>
                <w:lang w:eastAsia="en-GB"/>
              </w:rPr>
            </w:pPr>
            <w:r w:rsidRPr="008E46BF">
              <w:rPr>
                <w:rFonts w:ascii="Calibri" w:hAnsi="Calibri" w:cs="Calibri"/>
                <w:color w:val="000000"/>
                <w:sz w:val="22"/>
                <w:szCs w:val="22"/>
                <w:lang w:eastAsia="en-GB"/>
              </w:rPr>
              <w:t> </w:t>
            </w:r>
          </w:p>
        </w:tc>
      </w:tr>
      <w:tr w:rsidR="008E46BF" w:rsidRPr="008E46BF" w14:paraId="2EEA79B9" w14:textId="77777777" w:rsidTr="008E46BF">
        <w:trPr>
          <w:trHeight w:val="300"/>
          <w:jc w:val="center"/>
        </w:trPr>
        <w:tc>
          <w:tcPr>
            <w:tcW w:w="3964" w:type="dxa"/>
            <w:tcBorders>
              <w:top w:val="nil"/>
              <w:left w:val="single" w:sz="4" w:space="0" w:color="auto"/>
              <w:bottom w:val="nil"/>
              <w:right w:val="nil"/>
            </w:tcBorders>
            <w:shd w:val="clear" w:color="auto" w:fill="auto"/>
            <w:noWrap/>
            <w:vAlign w:val="bottom"/>
            <w:hideMark/>
          </w:tcPr>
          <w:p w14:paraId="56964D8F" w14:textId="77777777" w:rsidR="008E46BF" w:rsidRPr="008E46BF" w:rsidRDefault="008E46BF" w:rsidP="008E46BF">
            <w:pPr>
              <w:rPr>
                <w:rFonts w:cs="Arial"/>
                <w:lang w:eastAsia="en-GB"/>
              </w:rPr>
            </w:pPr>
            <w:r w:rsidRPr="008E46BF">
              <w:rPr>
                <w:rFonts w:cs="Arial"/>
                <w:lang w:eastAsia="en-GB"/>
              </w:rPr>
              <w:t xml:space="preserve">         DEFRA</w:t>
            </w:r>
          </w:p>
        </w:tc>
        <w:tc>
          <w:tcPr>
            <w:tcW w:w="1276" w:type="dxa"/>
            <w:tcBorders>
              <w:top w:val="nil"/>
              <w:left w:val="nil"/>
              <w:bottom w:val="nil"/>
              <w:right w:val="nil"/>
            </w:tcBorders>
            <w:shd w:val="clear" w:color="auto" w:fill="auto"/>
            <w:noWrap/>
            <w:vAlign w:val="bottom"/>
            <w:hideMark/>
          </w:tcPr>
          <w:p w14:paraId="5F2A38B2" w14:textId="77777777" w:rsidR="008E46BF" w:rsidRPr="008E46BF" w:rsidRDefault="008E46BF" w:rsidP="008E46BF">
            <w:pPr>
              <w:jc w:val="right"/>
              <w:rPr>
                <w:rFonts w:cs="Arial"/>
                <w:sz w:val="22"/>
                <w:szCs w:val="22"/>
                <w:lang w:eastAsia="en-GB"/>
              </w:rPr>
            </w:pPr>
            <w:r w:rsidRPr="008E46BF">
              <w:rPr>
                <w:rFonts w:cs="Arial"/>
                <w:sz w:val="22"/>
                <w:szCs w:val="22"/>
                <w:lang w:eastAsia="en-GB"/>
              </w:rPr>
              <w:t>62</w:t>
            </w:r>
          </w:p>
        </w:tc>
        <w:tc>
          <w:tcPr>
            <w:tcW w:w="1276" w:type="dxa"/>
            <w:tcBorders>
              <w:top w:val="nil"/>
              <w:left w:val="nil"/>
              <w:bottom w:val="nil"/>
              <w:right w:val="nil"/>
            </w:tcBorders>
            <w:shd w:val="clear" w:color="auto" w:fill="auto"/>
            <w:noWrap/>
            <w:vAlign w:val="bottom"/>
            <w:hideMark/>
          </w:tcPr>
          <w:p w14:paraId="71CDE505" w14:textId="77777777" w:rsidR="008E46BF" w:rsidRPr="008E46BF" w:rsidRDefault="008E46BF" w:rsidP="008E46BF">
            <w:pPr>
              <w:jc w:val="right"/>
              <w:rPr>
                <w:rFonts w:cs="Arial"/>
                <w:sz w:val="22"/>
                <w:szCs w:val="22"/>
                <w:lang w:eastAsia="en-GB"/>
              </w:rPr>
            </w:pPr>
            <w:r w:rsidRPr="008E46BF">
              <w:rPr>
                <w:rFonts w:cs="Arial"/>
                <w:sz w:val="22"/>
                <w:szCs w:val="22"/>
                <w:lang w:eastAsia="en-GB"/>
              </w:rPr>
              <w:t>0</w:t>
            </w:r>
          </w:p>
        </w:tc>
        <w:tc>
          <w:tcPr>
            <w:tcW w:w="283" w:type="dxa"/>
            <w:tcBorders>
              <w:top w:val="nil"/>
              <w:left w:val="nil"/>
              <w:bottom w:val="nil"/>
              <w:right w:val="single" w:sz="4" w:space="0" w:color="auto"/>
            </w:tcBorders>
            <w:shd w:val="clear" w:color="auto" w:fill="auto"/>
            <w:noWrap/>
            <w:vAlign w:val="bottom"/>
            <w:hideMark/>
          </w:tcPr>
          <w:p w14:paraId="02D7E14A" w14:textId="77777777" w:rsidR="008E46BF" w:rsidRPr="008E46BF" w:rsidRDefault="008E46BF" w:rsidP="008E46BF">
            <w:pPr>
              <w:rPr>
                <w:rFonts w:cs="Arial"/>
                <w:sz w:val="20"/>
                <w:szCs w:val="20"/>
                <w:lang w:eastAsia="en-GB"/>
              </w:rPr>
            </w:pPr>
            <w:r w:rsidRPr="008E46BF">
              <w:rPr>
                <w:rFonts w:cs="Arial"/>
                <w:sz w:val="20"/>
                <w:szCs w:val="20"/>
                <w:lang w:eastAsia="en-GB"/>
              </w:rPr>
              <w:t> </w:t>
            </w:r>
          </w:p>
        </w:tc>
      </w:tr>
      <w:tr w:rsidR="008E46BF" w:rsidRPr="008E46BF" w14:paraId="3CC8463C" w14:textId="77777777" w:rsidTr="008E46BF">
        <w:trPr>
          <w:trHeight w:val="300"/>
          <w:jc w:val="center"/>
        </w:trPr>
        <w:tc>
          <w:tcPr>
            <w:tcW w:w="3964" w:type="dxa"/>
            <w:tcBorders>
              <w:top w:val="nil"/>
              <w:left w:val="single" w:sz="4" w:space="0" w:color="auto"/>
              <w:bottom w:val="nil"/>
              <w:right w:val="nil"/>
            </w:tcBorders>
            <w:shd w:val="clear" w:color="auto" w:fill="auto"/>
            <w:noWrap/>
            <w:vAlign w:val="bottom"/>
            <w:hideMark/>
          </w:tcPr>
          <w:p w14:paraId="744C7DA1" w14:textId="686C37D8" w:rsidR="008E46BF" w:rsidRPr="008E46BF" w:rsidRDefault="008E46BF" w:rsidP="008E46BF">
            <w:pPr>
              <w:rPr>
                <w:rFonts w:cs="Arial"/>
                <w:lang w:eastAsia="en-GB"/>
              </w:rPr>
            </w:pPr>
            <w:r w:rsidRPr="008E46BF">
              <w:rPr>
                <w:rFonts w:cs="Arial"/>
                <w:lang w:eastAsia="en-GB"/>
              </w:rPr>
              <w:t xml:space="preserve">        </w:t>
            </w:r>
            <w:r>
              <w:rPr>
                <w:rFonts w:cs="Arial"/>
                <w:lang w:eastAsia="en-GB"/>
              </w:rPr>
              <w:t xml:space="preserve"> </w:t>
            </w:r>
            <w:r w:rsidRPr="008E46BF">
              <w:rPr>
                <w:rFonts w:cs="Arial"/>
                <w:lang w:eastAsia="en-GB"/>
              </w:rPr>
              <w:t>LDF</w:t>
            </w:r>
          </w:p>
        </w:tc>
        <w:tc>
          <w:tcPr>
            <w:tcW w:w="1276" w:type="dxa"/>
            <w:tcBorders>
              <w:top w:val="nil"/>
              <w:left w:val="nil"/>
              <w:bottom w:val="nil"/>
              <w:right w:val="nil"/>
            </w:tcBorders>
            <w:shd w:val="clear" w:color="auto" w:fill="auto"/>
            <w:noWrap/>
            <w:vAlign w:val="bottom"/>
            <w:hideMark/>
          </w:tcPr>
          <w:p w14:paraId="357C8F03" w14:textId="77777777" w:rsidR="008E46BF" w:rsidRPr="008E46BF" w:rsidRDefault="008E46BF" w:rsidP="008E46BF">
            <w:pPr>
              <w:jc w:val="right"/>
              <w:rPr>
                <w:rFonts w:cs="Arial"/>
                <w:sz w:val="22"/>
                <w:szCs w:val="22"/>
                <w:lang w:eastAsia="en-GB"/>
              </w:rPr>
            </w:pPr>
            <w:r w:rsidRPr="008E46BF">
              <w:rPr>
                <w:rFonts w:cs="Arial"/>
                <w:sz w:val="22"/>
                <w:szCs w:val="22"/>
                <w:lang w:eastAsia="en-GB"/>
              </w:rPr>
              <w:t>17</w:t>
            </w:r>
          </w:p>
        </w:tc>
        <w:tc>
          <w:tcPr>
            <w:tcW w:w="1276" w:type="dxa"/>
            <w:tcBorders>
              <w:top w:val="nil"/>
              <w:left w:val="nil"/>
              <w:bottom w:val="nil"/>
              <w:right w:val="nil"/>
            </w:tcBorders>
            <w:shd w:val="clear" w:color="auto" w:fill="auto"/>
            <w:noWrap/>
            <w:vAlign w:val="bottom"/>
            <w:hideMark/>
          </w:tcPr>
          <w:p w14:paraId="068733F2" w14:textId="77777777" w:rsidR="008E46BF" w:rsidRPr="008E46BF" w:rsidRDefault="008E46BF" w:rsidP="008E46BF">
            <w:pPr>
              <w:jc w:val="right"/>
              <w:rPr>
                <w:rFonts w:cs="Arial"/>
                <w:sz w:val="22"/>
                <w:szCs w:val="22"/>
                <w:lang w:eastAsia="en-GB"/>
              </w:rPr>
            </w:pPr>
            <w:r w:rsidRPr="008E46BF">
              <w:rPr>
                <w:rFonts w:cs="Arial"/>
                <w:sz w:val="22"/>
                <w:szCs w:val="22"/>
                <w:lang w:eastAsia="en-GB"/>
              </w:rPr>
              <w:t>0</w:t>
            </w:r>
          </w:p>
        </w:tc>
        <w:tc>
          <w:tcPr>
            <w:tcW w:w="283" w:type="dxa"/>
            <w:tcBorders>
              <w:top w:val="nil"/>
              <w:left w:val="nil"/>
              <w:bottom w:val="nil"/>
              <w:right w:val="single" w:sz="4" w:space="0" w:color="auto"/>
            </w:tcBorders>
            <w:shd w:val="clear" w:color="auto" w:fill="auto"/>
            <w:noWrap/>
            <w:vAlign w:val="bottom"/>
            <w:hideMark/>
          </w:tcPr>
          <w:p w14:paraId="0BE073D4" w14:textId="77777777" w:rsidR="008E46BF" w:rsidRPr="008E46BF" w:rsidRDefault="008E46BF" w:rsidP="008E46BF">
            <w:pPr>
              <w:rPr>
                <w:rFonts w:cs="Arial"/>
                <w:sz w:val="20"/>
                <w:szCs w:val="20"/>
                <w:lang w:eastAsia="en-GB"/>
              </w:rPr>
            </w:pPr>
            <w:r w:rsidRPr="008E46BF">
              <w:rPr>
                <w:rFonts w:cs="Arial"/>
                <w:sz w:val="20"/>
                <w:szCs w:val="20"/>
                <w:lang w:eastAsia="en-GB"/>
              </w:rPr>
              <w:t> </w:t>
            </w:r>
          </w:p>
        </w:tc>
      </w:tr>
      <w:tr w:rsidR="008E46BF" w:rsidRPr="008E46BF" w14:paraId="4AFC89F9" w14:textId="77777777" w:rsidTr="008E46BF">
        <w:trPr>
          <w:trHeight w:val="300"/>
          <w:jc w:val="center"/>
        </w:trPr>
        <w:tc>
          <w:tcPr>
            <w:tcW w:w="3964" w:type="dxa"/>
            <w:tcBorders>
              <w:top w:val="nil"/>
              <w:left w:val="single" w:sz="4" w:space="0" w:color="auto"/>
              <w:bottom w:val="nil"/>
              <w:right w:val="nil"/>
            </w:tcBorders>
            <w:shd w:val="clear" w:color="auto" w:fill="auto"/>
            <w:noWrap/>
            <w:vAlign w:val="bottom"/>
            <w:hideMark/>
          </w:tcPr>
          <w:p w14:paraId="6A3B4ACE" w14:textId="77777777" w:rsidR="008E46BF" w:rsidRPr="008E46BF" w:rsidRDefault="008E46BF" w:rsidP="008E46BF">
            <w:pPr>
              <w:rPr>
                <w:rFonts w:cs="Arial"/>
                <w:lang w:eastAsia="en-GB"/>
              </w:rPr>
            </w:pPr>
            <w:r w:rsidRPr="008E46BF">
              <w:rPr>
                <w:rFonts w:cs="Arial"/>
                <w:lang w:eastAsia="en-GB"/>
              </w:rPr>
              <w:t xml:space="preserve">         Insurance receipts</w:t>
            </w:r>
          </w:p>
        </w:tc>
        <w:tc>
          <w:tcPr>
            <w:tcW w:w="1276" w:type="dxa"/>
            <w:tcBorders>
              <w:top w:val="nil"/>
              <w:left w:val="nil"/>
              <w:bottom w:val="nil"/>
              <w:right w:val="nil"/>
            </w:tcBorders>
            <w:shd w:val="clear" w:color="auto" w:fill="auto"/>
            <w:noWrap/>
            <w:vAlign w:val="bottom"/>
            <w:hideMark/>
          </w:tcPr>
          <w:p w14:paraId="7FB1A6F6" w14:textId="77777777" w:rsidR="008E46BF" w:rsidRPr="008E46BF" w:rsidRDefault="008E46BF" w:rsidP="008E46BF">
            <w:pPr>
              <w:jc w:val="right"/>
              <w:rPr>
                <w:rFonts w:cs="Arial"/>
                <w:sz w:val="22"/>
                <w:szCs w:val="22"/>
                <w:lang w:eastAsia="en-GB"/>
              </w:rPr>
            </w:pPr>
            <w:r w:rsidRPr="008E46BF">
              <w:rPr>
                <w:rFonts w:cs="Arial"/>
                <w:sz w:val="22"/>
                <w:szCs w:val="22"/>
                <w:lang w:eastAsia="en-GB"/>
              </w:rPr>
              <w:t>41</w:t>
            </w:r>
          </w:p>
        </w:tc>
        <w:tc>
          <w:tcPr>
            <w:tcW w:w="1276" w:type="dxa"/>
            <w:tcBorders>
              <w:top w:val="nil"/>
              <w:left w:val="nil"/>
              <w:bottom w:val="nil"/>
              <w:right w:val="nil"/>
            </w:tcBorders>
            <w:shd w:val="clear" w:color="auto" w:fill="auto"/>
            <w:noWrap/>
            <w:vAlign w:val="bottom"/>
            <w:hideMark/>
          </w:tcPr>
          <w:p w14:paraId="5D5F1B4F" w14:textId="77777777" w:rsidR="008E46BF" w:rsidRPr="008E46BF" w:rsidRDefault="008E46BF" w:rsidP="008E46BF">
            <w:pPr>
              <w:jc w:val="right"/>
              <w:rPr>
                <w:rFonts w:cs="Arial"/>
                <w:sz w:val="22"/>
                <w:szCs w:val="22"/>
                <w:lang w:eastAsia="en-GB"/>
              </w:rPr>
            </w:pPr>
            <w:r w:rsidRPr="008E46BF">
              <w:rPr>
                <w:rFonts w:cs="Arial"/>
                <w:sz w:val="22"/>
                <w:szCs w:val="22"/>
                <w:lang w:eastAsia="en-GB"/>
              </w:rPr>
              <w:t>18</w:t>
            </w:r>
          </w:p>
        </w:tc>
        <w:tc>
          <w:tcPr>
            <w:tcW w:w="283" w:type="dxa"/>
            <w:tcBorders>
              <w:top w:val="nil"/>
              <w:left w:val="nil"/>
              <w:bottom w:val="nil"/>
              <w:right w:val="single" w:sz="4" w:space="0" w:color="auto"/>
            </w:tcBorders>
            <w:shd w:val="clear" w:color="auto" w:fill="auto"/>
            <w:noWrap/>
            <w:vAlign w:val="bottom"/>
            <w:hideMark/>
          </w:tcPr>
          <w:p w14:paraId="24A78DED" w14:textId="77777777" w:rsidR="008E46BF" w:rsidRPr="008E46BF" w:rsidRDefault="008E46BF" w:rsidP="008E46BF">
            <w:pPr>
              <w:rPr>
                <w:rFonts w:cs="Arial"/>
                <w:sz w:val="20"/>
                <w:szCs w:val="20"/>
                <w:lang w:eastAsia="en-GB"/>
              </w:rPr>
            </w:pPr>
            <w:r w:rsidRPr="008E46BF">
              <w:rPr>
                <w:rFonts w:cs="Arial"/>
                <w:sz w:val="20"/>
                <w:szCs w:val="20"/>
                <w:lang w:eastAsia="en-GB"/>
              </w:rPr>
              <w:t> </w:t>
            </w:r>
          </w:p>
        </w:tc>
      </w:tr>
      <w:tr w:rsidR="008E46BF" w:rsidRPr="008E46BF" w14:paraId="62139A3F" w14:textId="77777777" w:rsidTr="008E46BF">
        <w:trPr>
          <w:trHeight w:val="300"/>
          <w:jc w:val="center"/>
        </w:trPr>
        <w:tc>
          <w:tcPr>
            <w:tcW w:w="3964" w:type="dxa"/>
            <w:tcBorders>
              <w:top w:val="nil"/>
              <w:left w:val="single" w:sz="4" w:space="0" w:color="auto"/>
              <w:bottom w:val="nil"/>
              <w:right w:val="nil"/>
            </w:tcBorders>
            <w:shd w:val="clear" w:color="auto" w:fill="auto"/>
            <w:noWrap/>
            <w:vAlign w:val="bottom"/>
            <w:hideMark/>
          </w:tcPr>
          <w:p w14:paraId="5545FD3B" w14:textId="77777777" w:rsidR="008E46BF" w:rsidRPr="008E46BF" w:rsidRDefault="008E46BF" w:rsidP="008E46BF">
            <w:pPr>
              <w:rPr>
                <w:rFonts w:cs="Arial"/>
                <w:lang w:eastAsia="en-GB"/>
              </w:rPr>
            </w:pPr>
            <w:r w:rsidRPr="008E46BF">
              <w:rPr>
                <w:rFonts w:cs="Arial"/>
                <w:lang w:eastAsia="en-GB"/>
              </w:rPr>
              <w:t> </w:t>
            </w:r>
          </w:p>
        </w:tc>
        <w:tc>
          <w:tcPr>
            <w:tcW w:w="1276" w:type="dxa"/>
            <w:tcBorders>
              <w:top w:val="nil"/>
              <w:left w:val="nil"/>
              <w:bottom w:val="nil"/>
              <w:right w:val="nil"/>
            </w:tcBorders>
            <w:shd w:val="clear" w:color="auto" w:fill="auto"/>
            <w:noWrap/>
            <w:vAlign w:val="bottom"/>
            <w:hideMark/>
          </w:tcPr>
          <w:p w14:paraId="7910B039" w14:textId="77777777" w:rsidR="008E46BF" w:rsidRPr="008E46BF" w:rsidRDefault="008E46BF" w:rsidP="008E46BF">
            <w:pPr>
              <w:rPr>
                <w:rFonts w:cs="Arial"/>
                <w:lang w:eastAsia="en-GB"/>
              </w:rPr>
            </w:pPr>
          </w:p>
        </w:tc>
        <w:tc>
          <w:tcPr>
            <w:tcW w:w="1276" w:type="dxa"/>
            <w:tcBorders>
              <w:top w:val="nil"/>
              <w:left w:val="nil"/>
              <w:bottom w:val="nil"/>
              <w:right w:val="nil"/>
            </w:tcBorders>
            <w:shd w:val="clear" w:color="auto" w:fill="auto"/>
            <w:noWrap/>
            <w:vAlign w:val="bottom"/>
            <w:hideMark/>
          </w:tcPr>
          <w:p w14:paraId="10457B36" w14:textId="77777777" w:rsidR="008E46BF" w:rsidRPr="008E46BF" w:rsidRDefault="008E46BF" w:rsidP="008E46BF">
            <w:pPr>
              <w:rPr>
                <w:rFonts w:ascii="Times New Roman" w:hAnsi="Times New Roman"/>
                <w:sz w:val="20"/>
                <w:szCs w:val="20"/>
                <w:lang w:eastAsia="en-GB"/>
              </w:rPr>
            </w:pPr>
          </w:p>
        </w:tc>
        <w:tc>
          <w:tcPr>
            <w:tcW w:w="283" w:type="dxa"/>
            <w:tcBorders>
              <w:top w:val="nil"/>
              <w:left w:val="nil"/>
              <w:bottom w:val="nil"/>
              <w:right w:val="single" w:sz="4" w:space="0" w:color="auto"/>
            </w:tcBorders>
            <w:shd w:val="clear" w:color="auto" w:fill="auto"/>
            <w:noWrap/>
            <w:vAlign w:val="bottom"/>
            <w:hideMark/>
          </w:tcPr>
          <w:p w14:paraId="54948DE0" w14:textId="77777777" w:rsidR="008E46BF" w:rsidRPr="008E46BF" w:rsidRDefault="008E46BF" w:rsidP="008E46BF">
            <w:pPr>
              <w:rPr>
                <w:rFonts w:cs="Arial"/>
                <w:sz w:val="20"/>
                <w:szCs w:val="20"/>
                <w:lang w:eastAsia="en-GB"/>
              </w:rPr>
            </w:pPr>
            <w:r w:rsidRPr="008E46BF">
              <w:rPr>
                <w:rFonts w:cs="Arial"/>
                <w:sz w:val="20"/>
                <w:szCs w:val="20"/>
                <w:lang w:eastAsia="en-GB"/>
              </w:rPr>
              <w:t> </w:t>
            </w:r>
          </w:p>
        </w:tc>
      </w:tr>
      <w:tr w:rsidR="008E46BF" w:rsidRPr="008E46BF" w14:paraId="0D649D5F" w14:textId="77777777" w:rsidTr="008E46BF">
        <w:trPr>
          <w:trHeight w:val="300"/>
          <w:jc w:val="center"/>
        </w:trPr>
        <w:tc>
          <w:tcPr>
            <w:tcW w:w="3964" w:type="dxa"/>
            <w:tcBorders>
              <w:top w:val="nil"/>
              <w:left w:val="single" w:sz="4" w:space="0" w:color="auto"/>
              <w:bottom w:val="nil"/>
              <w:right w:val="nil"/>
            </w:tcBorders>
            <w:shd w:val="clear" w:color="auto" w:fill="auto"/>
            <w:noWrap/>
            <w:vAlign w:val="bottom"/>
            <w:hideMark/>
          </w:tcPr>
          <w:p w14:paraId="251154DB" w14:textId="77777777" w:rsidR="008E46BF" w:rsidRPr="008E46BF" w:rsidRDefault="008E46BF" w:rsidP="008E46BF">
            <w:pPr>
              <w:rPr>
                <w:rFonts w:cs="Arial"/>
                <w:sz w:val="20"/>
                <w:szCs w:val="20"/>
                <w:lang w:eastAsia="en-GB"/>
              </w:rPr>
            </w:pPr>
            <w:r w:rsidRPr="008E46BF">
              <w:rPr>
                <w:rFonts w:cs="Arial"/>
                <w:sz w:val="20"/>
                <w:szCs w:val="20"/>
                <w:lang w:eastAsia="en-GB"/>
              </w:rPr>
              <w:t> </w:t>
            </w:r>
          </w:p>
        </w:tc>
        <w:tc>
          <w:tcPr>
            <w:tcW w:w="1276" w:type="dxa"/>
            <w:tcBorders>
              <w:top w:val="single" w:sz="4" w:space="0" w:color="auto"/>
              <w:left w:val="nil"/>
              <w:bottom w:val="double" w:sz="6" w:space="0" w:color="auto"/>
              <w:right w:val="nil"/>
            </w:tcBorders>
            <w:shd w:val="clear" w:color="auto" w:fill="auto"/>
            <w:noWrap/>
            <w:vAlign w:val="bottom"/>
            <w:hideMark/>
          </w:tcPr>
          <w:p w14:paraId="24F1139A" w14:textId="77777777" w:rsidR="008E46BF" w:rsidRPr="008E46BF" w:rsidRDefault="008E46BF" w:rsidP="008E46BF">
            <w:pPr>
              <w:jc w:val="right"/>
              <w:rPr>
                <w:rFonts w:cs="Arial"/>
                <w:b/>
                <w:bCs/>
                <w:sz w:val="20"/>
                <w:szCs w:val="20"/>
                <w:lang w:eastAsia="en-GB"/>
              </w:rPr>
            </w:pPr>
            <w:r w:rsidRPr="008E46BF">
              <w:rPr>
                <w:rFonts w:cs="Arial"/>
                <w:b/>
                <w:bCs/>
                <w:sz w:val="20"/>
                <w:szCs w:val="20"/>
                <w:lang w:eastAsia="en-GB"/>
              </w:rPr>
              <w:t>6,150</w:t>
            </w:r>
          </w:p>
        </w:tc>
        <w:tc>
          <w:tcPr>
            <w:tcW w:w="1276" w:type="dxa"/>
            <w:tcBorders>
              <w:top w:val="single" w:sz="4" w:space="0" w:color="auto"/>
              <w:left w:val="nil"/>
              <w:bottom w:val="double" w:sz="6" w:space="0" w:color="auto"/>
              <w:right w:val="nil"/>
            </w:tcBorders>
            <w:shd w:val="clear" w:color="auto" w:fill="auto"/>
            <w:noWrap/>
            <w:vAlign w:val="bottom"/>
            <w:hideMark/>
          </w:tcPr>
          <w:p w14:paraId="4F89BDB5" w14:textId="77777777" w:rsidR="008E46BF" w:rsidRPr="008E46BF" w:rsidRDefault="008E46BF" w:rsidP="008E46BF">
            <w:pPr>
              <w:jc w:val="right"/>
              <w:rPr>
                <w:rFonts w:cs="Arial"/>
                <w:b/>
                <w:bCs/>
                <w:sz w:val="20"/>
                <w:szCs w:val="20"/>
                <w:lang w:eastAsia="en-GB"/>
              </w:rPr>
            </w:pPr>
            <w:r w:rsidRPr="008E46BF">
              <w:rPr>
                <w:rFonts w:cs="Arial"/>
                <w:b/>
                <w:bCs/>
                <w:sz w:val="20"/>
                <w:szCs w:val="20"/>
                <w:lang w:eastAsia="en-GB"/>
              </w:rPr>
              <w:t>5,608</w:t>
            </w:r>
          </w:p>
        </w:tc>
        <w:tc>
          <w:tcPr>
            <w:tcW w:w="283" w:type="dxa"/>
            <w:tcBorders>
              <w:top w:val="nil"/>
              <w:left w:val="nil"/>
              <w:bottom w:val="nil"/>
              <w:right w:val="single" w:sz="4" w:space="0" w:color="auto"/>
            </w:tcBorders>
            <w:shd w:val="clear" w:color="auto" w:fill="auto"/>
            <w:noWrap/>
            <w:vAlign w:val="bottom"/>
            <w:hideMark/>
          </w:tcPr>
          <w:p w14:paraId="723F9C85" w14:textId="77777777" w:rsidR="008E46BF" w:rsidRPr="008E46BF" w:rsidRDefault="008E46BF" w:rsidP="008E46BF">
            <w:pPr>
              <w:rPr>
                <w:rFonts w:cs="Arial"/>
                <w:sz w:val="20"/>
                <w:szCs w:val="20"/>
                <w:lang w:eastAsia="en-GB"/>
              </w:rPr>
            </w:pPr>
            <w:r w:rsidRPr="008E46BF">
              <w:rPr>
                <w:rFonts w:cs="Arial"/>
                <w:sz w:val="20"/>
                <w:szCs w:val="20"/>
                <w:lang w:eastAsia="en-GB"/>
              </w:rPr>
              <w:t> </w:t>
            </w:r>
          </w:p>
        </w:tc>
      </w:tr>
      <w:tr w:rsidR="008E46BF" w:rsidRPr="008E46BF" w14:paraId="362D73F3" w14:textId="77777777" w:rsidTr="008E46BF">
        <w:trPr>
          <w:trHeight w:val="310"/>
          <w:jc w:val="center"/>
        </w:trPr>
        <w:tc>
          <w:tcPr>
            <w:tcW w:w="3964" w:type="dxa"/>
            <w:tcBorders>
              <w:top w:val="nil"/>
              <w:left w:val="single" w:sz="4" w:space="0" w:color="auto"/>
              <w:bottom w:val="single" w:sz="4" w:space="0" w:color="auto"/>
              <w:right w:val="nil"/>
            </w:tcBorders>
            <w:shd w:val="clear" w:color="auto" w:fill="auto"/>
            <w:noWrap/>
            <w:vAlign w:val="bottom"/>
            <w:hideMark/>
          </w:tcPr>
          <w:p w14:paraId="67F5ED26" w14:textId="77777777" w:rsidR="008E46BF" w:rsidRPr="008E46BF" w:rsidRDefault="008E46BF" w:rsidP="008E46BF">
            <w:pPr>
              <w:rPr>
                <w:rFonts w:cs="Arial"/>
                <w:sz w:val="20"/>
                <w:szCs w:val="20"/>
                <w:lang w:eastAsia="en-GB"/>
              </w:rPr>
            </w:pPr>
            <w:r w:rsidRPr="008E46BF">
              <w:rPr>
                <w:rFonts w:cs="Arial"/>
                <w:sz w:val="20"/>
                <w:szCs w:val="20"/>
                <w:lang w:eastAsia="en-GB"/>
              </w:rPr>
              <w:t> </w:t>
            </w:r>
          </w:p>
        </w:tc>
        <w:tc>
          <w:tcPr>
            <w:tcW w:w="1276" w:type="dxa"/>
            <w:tcBorders>
              <w:top w:val="nil"/>
              <w:left w:val="nil"/>
              <w:bottom w:val="single" w:sz="4" w:space="0" w:color="auto"/>
              <w:right w:val="nil"/>
            </w:tcBorders>
            <w:shd w:val="clear" w:color="auto" w:fill="auto"/>
            <w:noWrap/>
            <w:vAlign w:val="bottom"/>
            <w:hideMark/>
          </w:tcPr>
          <w:p w14:paraId="6097A804" w14:textId="77777777" w:rsidR="008E46BF" w:rsidRPr="008E46BF" w:rsidRDefault="008E46BF" w:rsidP="008E46BF">
            <w:pPr>
              <w:rPr>
                <w:rFonts w:cs="Arial"/>
                <w:color w:val="FFFFFF"/>
                <w:lang w:eastAsia="en-GB"/>
              </w:rPr>
            </w:pPr>
            <w:r w:rsidRPr="008E46BF">
              <w:rPr>
                <w:rFonts w:cs="Arial"/>
                <w:color w:val="FFFFFF"/>
                <w:lang w:eastAsia="en-GB"/>
              </w:rPr>
              <w:t> </w:t>
            </w:r>
          </w:p>
        </w:tc>
        <w:tc>
          <w:tcPr>
            <w:tcW w:w="1276" w:type="dxa"/>
            <w:tcBorders>
              <w:top w:val="nil"/>
              <w:left w:val="nil"/>
              <w:bottom w:val="single" w:sz="4" w:space="0" w:color="auto"/>
              <w:right w:val="nil"/>
            </w:tcBorders>
            <w:shd w:val="clear" w:color="auto" w:fill="auto"/>
            <w:noWrap/>
            <w:vAlign w:val="bottom"/>
            <w:hideMark/>
          </w:tcPr>
          <w:p w14:paraId="351579CB" w14:textId="77777777" w:rsidR="008E46BF" w:rsidRPr="008E46BF" w:rsidRDefault="008E46BF" w:rsidP="008E46BF">
            <w:pPr>
              <w:rPr>
                <w:rFonts w:cs="Arial"/>
                <w:color w:val="FFFFFF"/>
                <w:lang w:eastAsia="en-GB"/>
              </w:rPr>
            </w:pPr>
            <w:r w:rsidRPr="008E46BF">
              <w:rPr>
                <w:rFonts w:cs="Arial"/>
                <w:color w:val="FFFFFF"/>
                <w:lang w:eastAsia="en-GB"/>
              </w:rPr>
              <w:t> </w:t>
            </w:r>
          </w:p>
        </w:tc>
        <w:tc>
          <w:tcPr>
            <w:tcW w:w="283" w:type="dxa"/>
            <w:tcBorders>
              <w:top w:val="nil"/>
              <w:left w:val="nil"/>
              <w:bottom w:val="single" w:sz="4" w:space="0" w:color="auto"/>
              <w:right w:val="single" w:sz="4" w:space="0" w:color="auto"/>
            </w:tcBorders>
            <w:shd w:val="clear" w:color="auto" w:fill="auto"/>
            <w:noWrap/>
            <w:vAlign w:val="bottom"/>
            <w:hideMark/>
          </w:tcPr>
          <w:p w14:paraId="13EE4082" w14:textId="77777777" w:rsidR="008E46BF" w:rsidRPr="008E46BF" w:rsidRDefault="008E46BF" w:rsidP="008E46BF">
            <w:pPr>
              <w:rPr>
                <w:rFonts w:cs="Arial"/>
                <w:sz w:val="20"/>
                <w:szCs w:val="20"/>
                <w:lang w:eastAsia="en-GB"/>
              </w:rPr>
            </w:pPr>
            <w:r w:rsidRPr="008E46BF">
              <w:rPr>
                <w:rFonts w:cs="Arial"/>
                <w:sz w:val="20"/>
                <w:szCs w:val="20"/>
                <w:lang w:eastAsia="en-GB"/>
              </w:rPr>
              <w:t> </w:t>
            </w:r>
          </w:p>
        </w:tc>
      </w:tr>
    </w:tbl>
    <w:p w14:paraId="71CDE069" w14:textId="77777777" w:rsidR="008E46BF" w:rsidRDefault="008E46BF" w:rsidP="0070459C">
      <w:pPr>
        <w:rPr>
          <w:lang w:eastAsia="en-GB"/>
        </w:rPr>
      </w:pPr>
    </w:p>
    <w:p w14:paraId="57C20C23" w14:textId="77777777" w:rsidR="00DF7226" w:rsidRDefault="00DF7226" w:rsidP="0070459C">
      <w:pPr>
        <w:rPr>
          <w:lang w:eastAsia="en-GB"/>
        </w:rPr>
      </w:pPr>
    </w:p>
    <w:p w14:paraId="54E9CDB8" w14:textId="77777777" w:rsidR="00DF7226" w:rsidRDefault="00DF7226" w:rsidP="0070459C">
      <w:pPr>
        <w:rPr>
          <w:lang w:eastAsia="en-GB"/>
        </w:rPr>
      </w:pPr>
    </w:p>
    <w:p w14:paraId="3475B47D" w14:textId="77777777" w:rsidR="00DF7226" w:rsidRDefault="00DF7226" w:rsidP="0070459C">
      <w:pPr>
        <w:rPr>
          <w:lang w:eastAsia="en-GB"/>
        </w:rPr>
      </w:pPr>
    </w:p>
    <w:p w14:paraId="055B3C30" w14:textId="77777777" w:rsidR="00DF7226" w:rsidRDefault="00DF7226" w:rsidP="0070459C">
      <w:pPr>
        <w:rPr>
          <w:lang w:eastAsia="en-GB"/>
        </w:rPr>
      </w:pPr>
    </w:p>
    <w:p w14:paraId="39E7CA67" w14:textId="77777777" w:rsidR="00DF7226" w:rsidRDefault="00DF7226" w:rsidP="0070459C">
      <w:pPr>
        <w:rPr>
          <w:lang w:eastAsia="en-GB"/>
        </w:rPr>
      </w:pPr>
    </w:p>
    <w:p w14:paraId="74F98D25" w14:textId="77777777" w:rsidR="00DF7226" w:rsidRDefault="00DF7226" w:rsidP="0070459C">
      <w:pPr>
        <w:rPr>
          <w:lang w:eastAsia="en-GB"/>
        </w:rPr>
      </w:pPr>
    </w:p>
    <w:p w14:paraId="78284FB9" w14:textId="77777777" w:rsidR="00DF7226" w:rsidRDefault="00DF7226" w:rsidP="0070459C">
      <w:pPr>
        <w:rPr>
          <w:lang w:eastAsia="en-GB"/>
        </w:rPr>
      </w:pPr>
    </w:p>
    <w:p w14:paraId="0C688BB9" w14:textId="77777777" w:rsidR="00DF7226" w:rsidRDefault="00DF7226" w:rsidP="0070459C">
      <w:pPr>
        <w:rPr>
          <w:lang w:eastAsia="en-GB"/>
        </w:rPr>
      </w:pPr>
    </w:p>
    <w:p w14:paraId="1CCE7083" w14:textId="77777777" w:rsidR="00DF7226" w:rsidRDefault="00DF7226" w:rsidP="0070459C">
      <w:pPr>
        <w:rPr>
          <w:lang w:eastAsia="en-GB"/>
        </w:rPr>
      </w:pPr>
    </w:p>
    <w:p w14:paraId="5CB5E65E" w14:textId="77777777" w:rsidR="00DF7226" w:rsidRDefault="00DF7226" w:rsidP="0070459C">
      <w:pPr>
        <w:rPr>
          <w:lang w:eastAsia="en-GB"/>
        </w:rPr>
      </w:pPr>
    </w:p>
    <w:p w14:paraId="252EAC66" w14:textId="77777777" w:rsidR="00DF7226" w:rsidRDefault="00DF7226" w:rsidP="0070459C">
      <w:pPr>
        <w:rPr>
          <w:lang w:eastAsia="en-GB"/>
        </w:rPr>
      </w:pPr>
    </w:p>
    <w:p w14:paraId="1B81EF76" w14:textId="77777777" w:rsidR="00DF7226" w:rsidRDefault="00DF7226" w:rsidP="0070459C">
      <w:pPr>
        <w:rPr>
          <w:lang w:eastAsia="en-GB"/>
        </w:rPr>
      </w:pPr>
    </w:p>
    <w:p w14:paraId="51D643BB" w14:textId="77777777" w:rsidR="00DF7226" w:rsidRDefault="00DF7226" w:rsidP="0070459C">
      <w:pPr>
        <w:rPr>
          <w:lang w:eastAsia="en-GB"/>
        </w:rPr>
      </w:pPr>
    </w:p>
    <w:p w14:paraId="799DE6C7" w14:textId="77777777" w:rsidR="00DF7226" w:rsidRDefault="00DF7226" w:rsidP="0070459C">
      <w:pPr>
        <w:rPr>
          <w:lang w:eastAsia="en-GB"/>
        </w:rPr>
      </w:pPr>
    </w:p>
    <w:p w14:paraId="7CDE6E42" w14:textId="667530CE" w:rsidR="00DF7226" w:rsidRDefault="00DF7226" w:rsidP="0070459C">
      <w:pPr>
        <w:rPr>
          <w:lang w:eastAsia="en-GB"/>
        </w:rPr>
      </w:pPr>
      <w:r w:rsidRPr="00910B7B">
        <w:rPr>
          <w:rFonts w:cs="Arial"/>
          <w:b/>
          <w:bCs/>
          <w:sz w:val="22"/>
          <w:szCs w:val="22"/>
          <w:lang w:eastAsia="en-GB"/>
        </w:rPr>
        <w:t>Specific Grant Income</w:t>
      </w:r>
      <w:r>
        <w:rPr>
          <w:rFonts w:cs="Arial"/>
          <w:b/>
          <w:bCs/>
          <w:sz w:val="22"/>
          <w:szCs w:val="22"/>
          <w:lang w:eastAsia="en-GB"/>
        </w:rPr>
        <w:t>:</w:t>
      </w:r>
    </w:p>
    <w:p w14:paraId="2D55FA2E" w14:textId="77777777" w:rsidR="00DF7226" w:rsidRPr="00262CE6" w:rsidRDefault="00DF7226" w:rsidP="0070459C">
      <w:pPr>
        <w:rPr>
          <w:lang w:eastAsia="en-GB"/>
        </w:rPr>
      </w:pPr>
    </w:p>
    <w:tbl>
      <w:tblPr>
        <w:tblW w:w="7933" w:type="dxa"/>
        <w:jc w:val="center"/>
        <w:tblLook w:val="04A0" w:firstRow="1" w:lastRow="0" w:firstColumn="1" w:lastColumn="0" w:noHBand="0" w:noVBand="1"/>
      </w:tblPr>
      <w:tblGrid>
        <w:gridCol w:w="4957"/>
        <w:gridCol w:w="1275"/>
        <w:gridCol w:w="1276"/>
        <w:gridCol w:w="425"/>
      </w:tblGrid>
      <w:tr w:rsidR="00910B7B" w:rsidRPr="00910B7B" w14:paraId="7F291DEC" w14:textId="77777777" w:rsidTr="00910B7B">
        <w:trPr>
          <w:trHeight w:val="290"/>
          <w:jc w:val="center"/>
        </w:trPr>
        <w:tc>
          <w:tcPr>
            <w:tcW w:w="4957" w:type="dxa"/>
            <w:tcBorders>
              <w:top w:val="single" w:sz="4" w:space="0" w:color="auto"/>
              <w:left w:val="single" w:sz="4" w:space="0" w:color="auto"/>
              <w:bottom w:val="nil"/>
              <w:right w:val="nil"/>
            </w:tcBorders>
            <w:shd w:val="clear" w:color="000000" w:fill="000000"/>
            <w:noWrap/>
            <w:vAlign w:val="bottom"/>
            <w:hideMark/>
          </w:tcPr>
          <w:p w14:paraId="629DF68A" w14:textId="77777777" w:rsidR="00910B7B" w:rsidRPr="00910B7B" w:rsidRDefault="00910B7B" w:rsidP="00910B7B">
            <w:pPr>
              <w:rPr>
                <w:rFonts w:cs="Arial"/>
                <w:color w:val="FFFFFF"/>
                <w:sz w:val="20"/>
                <w:szCs w:val="20"/>
                <w:lang w:eastAsia="en-GB"/>
              </w:rPr>
            </w:pPr>
            <w:r w:rsidRPr="00910B7B">
              <w:rPr>
                <w:rFonts w:cs="Arial"/>
                <w:color w:val="FFFFFF"/>
                <w:sz w:val="20"/>
                <w:szCs w:val="20"/>
                <w:lang w:eastAsia="en-GB"/>
              </w:rPr>
              <w:t> </w:t>
            </w:r>
          </w:p>
        </w:tc>
        <w:tc>
          <w:tcPr>
            <w:tcW w:w="1275" w:type="dxa"/>
            <w:tcBorders>
              <w:top w:val="single" w:sz="4" w:space="0" w:color="auto"/>
              <w:left w:val="nil"/>
              <w:bottom w:val="nil"/>
              <w:right w:val="nil"/>
            </w:tcBorders>
            <w:shd w:val="clear" w:color="000000" w:fill="000000"/>
            <w:noWrap/>
            <w:vAlign w:val="bottom"/>
            <w:hideMark/>
          </w:tcPr>
          <w:p w14:paraId="61080823" w14:textId="77777777" w:rsidR="00910B7B" w:rsidRPr="00910B7B" w:rsidRDefault="00910B7B" w:rsidP="00910B7B">
            <w:pPr>
              <w:jc w:val="center"/>
              <w:rPr>
                <w:rFonts w:cs="Arial"/>
                <w:b/>
                <w:bCs/>
                <w:color w:val="FFFFFF"/>
                <w:sz w:val="20"/>
                <w:szCs w:val="20"/>
                <w:lang w:eastAsia="en-GB"/>
              </w:rPr>
            </w:pPr>
            <w:r w:rsidRPr="00910B7B">
              <w:rPr>
                <w:rFonts w:cs="Arial"/>
                <w:b/>
                <w:bCs/>
                <w:color w:val="FFFFFF"/>
                <w:sz w:val="20"/>
                <w:szCs w:val="20"/>
                <w:lang w:eastAsia="en-GB"/>
              </w:rPr>
              <w:t>2022/23</w:t>
            </w:r>
          </w:p>
        </w:tc>
        <w:tc>
          <w:tcPr>
            <w:tcW w:w="1276" w:type="dxa"/>
            <w:tcBorders>
              <w:top w:val="single" w:sz="4" w:space="0" w:color="auto"/>
              <w:left w:val="nil"/>
              <w:bottom w:val="nil"/>
              <w:right w:val="nil"/>
            </w:tcBorders>
            <w:shd w:val="clear" w:color="000000" w:fill="000000"/>
            <w:noWrap/>
            <w:vAlign w:val="bottom"/>
            <w:hideMark/>
          </w:tcPr>
          <w:p w14:paraId="0C2D1829" w14:textId="77777777" w:rsidR="00910B7B" w:rsidRPr="00910B7B" w:rsidRDefault="00910B7B" w:rsidP="00910B7B">
            <w:pPr>
              <w:jc w:val="center"/>
              <w:rPr>
                <w:rFonts w:cs="Arial"/>
                <w:b/>
                <w:bCs/>
                <w:color w:val="FFFFFF"/>
                <w:sz w:val="20"/>
                <w:szCs w:val="20"/>
                <w:lang w:eastAsia="en-GB"/>
              </w:rPr>
            </w:pPr>
            <w:r w:rsidRPr="00910B7B">
              <w:rPr>
                <w:rFonts w:cs="Arial"/>
                <w:b/>
                <w:bCs/>
                <w:color w:val="FFFFFF"/>
                <w:sz w:val="20"/>
                <w:szCs w:val="20"/>
                <w:lang w:eastAsia="en-GB"/>
              </w:rPr>
              <w:t>2023/24</w:t>
            </w:r>
          </w:p>
        </w:tc>
        <w:tc>
          <w:tcPr>
            <w:tcW w:w="425" w:type="dxa"/>
            <w:tcBorders>
              <w:top w:val="single" w:sz="4" w:space="0" w:color="auto"/>
              <w:left w:val="nil"/>
              <w:bottom w:val="nil"/>
              <w:right w:val="single" w:sz="4" w:space="0" w:color="auto"/>
            </w:tcBorders>
            <w:shd w:val="clear" w:color="000000" w:fill="000000"/>
            <w:noWrap/>
            <w:vAlign w:val="bottom"/>
            <w:hideMark/>
          </w:tcPr>
          <w:p w14:paraId="39049085" w14:textId="77777777" w:rsidR="00910B7B" w:rsidRPr="00910B7B" w:rsidRDefault="00910B7B" w:rsidP="00910B7B">
            <w:pPr>
              <w:rPr>
                <w:rFonts w:cs="Arial"/>
                <w:color w:val="FFFFFF"/>
                <w:sz w:val="20"/>
                <w:szCs w:val="20"/>
                <w:lang w:eastAsia="en-GB"/>
              </w:rPr>
            </w:pPr>
            <w:r w:rsidRPr="00910B7B">
              <w:rPr>
                <w:rFonts w:cs="Arial"/>
                <w:color w:val="FFFFFF"/>
                <w:sz w:val="20"/>
                <w:szCs w:val="20"/>
                <w:lang w:eastAsia="en-GB"/>
              </w:rPr>
              <w:t> </w:t>
            </w:r>
          </w:p>
        </w:tc>
      </w:tr>
      <w:tr w:rsidR="00910B7B" w:rsidRPr="00910B7B" w14:paraId="2168E1C7" w14:textId="77777777" w:rsidTr="00910B7B">
        <w:trPr>
          <w:trHeight w:val="290"/>
          <w:jc w:val="center"/>
        </w:trPr>
        <w:tc>
          <w:tcPr>
            <w:tcW w:w="4957" w:type="dxa"/>
            <w:tcBorders>
              <w:top w:val="nil"/>
              <w:left w:val="single" w:sz="4" w:space="0" w:color="auto"/>
              <w:bottom w:val="nil"/>
              <w:right w:val="nil"/>
            </w:tcBorders>
            <w:shd w:val="clear" w:color="000000" w:fill="000000"/>
            <w:noWrap/>
            <w:vAlign w:val="bottom"/>
            <w:hideMark/>
          </w:tcPr>
          <w:p w14:paraId="676DDE3E" w14:textId="77777777" w:rsidR="00910B7B" w:rsidRPr="00910B7B" w:rsidRDefault="00910B7B" w:rsidP="00910B7B">
            <w:pPr>
              <w:rPr>
                <w:rFonts w:cs="Arial"/>
                <w:color w:val="FFFFFF"/>
                <w:sz w:val="20"/>
                <w:szCs w:val="20"/>
                <w:lang w:eastAsia="en-GB"/>
              </w:rPr>
            </w:pPr>
            <w:r w:rsidRPr="00910B7B">
              <w:rPr>
                <w:rFonts w:cs="Arial"/>
                <w:color w:val="FFFFFF"/>
                <w:sz w:val="20"/>
                <w:szCs w:val="20"/>
                <w:lang w:eastAsia="en-GB"/>
              </w:rPr>
              <w:t> </w:t>
            </w:r>
          </w:p>
        </w:tc>
        <w:tc>
          <w:tcPr>
            <w:tcW w:w="1275" w:type="dxa"/>
            <w:tcBorders>
              <w:top w:val="nil"/>
              <w:left w:val="nil"/>
              <w:bottom w:val="nil"/>
              <w:right w:val="nil"/>
            </w:tcBorders>
            <w:shd w:val="clear" w:color="000000" w:fill="000000"/>
            <w:noWrap/>
            <w:vAlign w:val="bottom"/>
            <w:hideMark/>
          </w:tcPr>
          <w:p w14:paraId="7CF3E5EF" w14:textId="77777777" w:rsidR="00910B7B" w:rsidRPr="00910B7B" w:rsidRDefault="00910B7B" w:rsidP="00910B7B">
            <w:pPr>
              <w:jc w:val="center"/>
              <w:rPr>
                <w:rFonts w:cs="Arial"/>
                <w:b/>
                <w:bCs/>
                <w:color w:val="FFFFFF"/>
                <w:sz w:val="20"/>
                <w:szCs w:val="20"/>
                <w:lang w:eastAsia="en-GB"/>
              </w:rPr>
            </w:pPr>
            <w:r w:rsidRPr="00910B7B">
              <w:rPr>
                <w:rFonts w:cs="Arial"/>
                <w:b/>
                <w:bCs/>
                <w:color w:val="FFFFFF"/>
                <w:sz w:val="20"/>
                <w:szCs w:val="20"/>
                <w:lang w:eastAsia="en-GB"/>
              </w:rPr>
              <w:t>£000</w:t>
            </w:r>
          </w:p>
        </w:tc>
        <w:tc>
          <w:tcPr>
            <w:tcW w:w="1276" w:type="dxa"/>
            <w:tcBorders>
              <w:top w:val="nil"/>
              <w:left w:val="nil"/>
              <w:bottom w:val="nil"/>
              <w:right w:val="nil"/>
            </w:tcBorders>
            <w:shd w:val="clear" w:color="000000" w:fill="000000"/>
            <w:noWrap/>
            <w:vAlign w:val="bottom"/>
            <w:hideMark/>
          </w:tcPr>
          <w:p w14:paraId="33C8F3DE" w14:textId="77777777" w:rsidR="00910B7B" w:rsidRPr="00910B7B" w:rsidRDefault="00910B7B" w:rsidP="00910B7B">
            <w:pPr>
              <w:jc w:val="center"/>
              <w:rPr>
                <w:rFonts w:cs="Arial"/>
                <w:b/>
                <w:bCs/>
                <w:color w:val="FFFFFF"/>
                <w:sz w:val="20"/>
                <w:szCs w:val="20"/>
                <w:lang w:eastAsia="en-GB"/>
              </w:rPr>
            </w:pPr>
            <w:r w:rsidRPr="00910B7B">
              <w:rPr>
                <w:rFonts w:cs="Arial"/>
                <w:b/>
                <w:bCs/>
                <w:color w:val="FFFFFF"/>
                <w:sz w:val="20"/>
                <w:szCs w:val="20"/>
                <w:lang w:eastAsia="en-GB"/>
              </w:rPr>
              <w:t>£000</w:t>
            </w:r>
          </w:p>
        </w:tc>
        <w:tc>
          <w:tcPr>
            <w:tcW w:w="425" w:type="dxa"/>
            <w:tcBorders>
              <w:top w:val="nil"/>
              <w:left w:val="nil"/>
              <w:bottom w:val="nil"/>
              <w:right w:val="single" w:sz="4" w:space="0" w:color="auto"/>
            </w:tcBorders>
            <w:shd w:val="clear" w:color="000000" w:fill="000000"/>
            <w:noWrap/>
            <w:vAlign w:val="bottom"/>
            <w:hideMark/>
          </w:tcPr>
          <w:p w14:paraId="3F4050CF" w14:textId="77777777" w:rsidR="00910B7B" w:rsidRPr="00910B7B" w:rsidRDefault="00910B7B" w:rsidP="00910B7B">
            <w:pPr>
              <w:rPr>
                <w:rFonts w:cs="Arial"/>
                <w:color w:val="FFFFFF"/>
                <w:sz w:val="20"/>
                <w:szCs w:val="20"/>
                <w:lang w:eastAsia="en-GB"/>
              </w:rPr>
            </w:pPr>
            <w:r w:rsidRPr="00910B7B">
              <w:rPr>
                <w:rFonts w:cs="Arial"/>
                <w:color w:val="FFFFFF"/>
                <w:sz w:val="20"/>
                <w:szCs w:val="20"/>
                <w:lang w:eastAsia="en-GB"/>
              </w:rPr>
              <w:t> </w:t>
            </w:r>
          </w:p>
        </w:tc>
      </w:tr>
      <w:tr w:rsidR="00910B7B" w:rsidRPr="00910B7B" w14:paraId="4F2456D2" w14:textId="77777777" w:rsidTr="00910B7B">
        <w:trPr>
          <w:trHeight w:val="290"/>
          <w:jc w:val="center"/>
        </w:trPr>
        <w:tc>
          <w:tcPr>
            <w:tcW w:w="4957" w:type="dxa"/>
            <w:tcBorders>
              <w:top w:val="single" w:sz="4" w:space="0" w:color="auto"/>
              <w:left w:val="single" w:sz="4" w:space="0" w:color="auto"/>
              <w:bottom w:val="nil"/>
              <w:right w:val="nil"/>
            </w:tcBorders>
            <w:shd w:val="clear" w:color="000000" w:fill="FFFFFF"/>
            <w:noWrap/>
            <w:vAlign w:val="bottom"/>
            <w:hideMark/>
          </w:tcPr>
          <w:p w14:paraId="4FAA5B32"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c>
          <w:tcPr>
            <w:tcW w:w="1275" w:type="dxa"/>
            <w:tcBorders>
              <w:top w:val="single" w:sz="4" w:space="0" w:color="auto"/>
              <w:left w:val="nil"/>
              <w:bottom w:val="nil"/>
              <w:right w:val="nil"/>
            </w:tcBorders>
            <w:shd w:val="clear" w:color="000000" w:fill="FFFFFF"/>
            <w:noWrap/>
            <w:vAlign w:val="bottom"/>
            <w:hideMark/>
          </w:tcPr>
          <w:p w14:paraId="55796714"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c>
          <w:tcPr>
            <w:tcW w:w="1276" w:type="dxa"/>
            <w:tcBorders>
              <w:top w:val="single" w:sz="4" w:space="0" w:color="auto"/>
              <w:left w:val="nil"/>
              <w:bottom w:val="nil"/>
              <w:right w:val="nil"/>
            </w:tcBorders>
            <w:shd w:val="clear" w:color="000000" w:fill="FFFFFF"/>
            <w:noWrap/>
            <w:vAlign w:val="bottom"/>
            <w:hideMark/>
          </w:tcPr>
          <w:p w14:paraId="2D7442E8"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c>
          <w:tcPr>
            <w:tcW w:w="425" w:type="dxa"/>
            <w:tcBorders>
              <w:top w:val="single" w:sz="4" w:space="0" w:color="auto"/>
              <w:left w:val="nil"/>
              <w:bottom w:val="nil"/>
              <w:right w:val="single" w:sz="4" w:space="0" w:color="auto"/>
            </w:tcBorders>
            <w:shd w:val="clear" w:color="000000" w:fill="FFFFFF"/>
            <w:noWrap/>
            <w:vAlign w:val="bottom"/>
            <w:hideMark/>
          </w:tcPr>
          <w:p w14:paraId="6037938C"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250349EE"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4023A4E2" w14:textId="744DE8A8" w:rsidR="00910B7B" w:rsidRPr="00910B7B" w:rsidRDefault="00910B7B" w:rsidP="00910B7B">
            <w:pPr>
              <w:rPr>
                <w:rFonts w:cs="Arial"/>
                <w:b/>
                <w:bCs/>
                <w:sz w:val="22"/>
                <w:szCs w:val="22"/>
                <w:lang w:eastAsia="en-GB"/>
              </w:rPr>
            </w:pPr>
          </w:p>
        </w:tc>
        <w:tc>
          <w:tcPr>
            <w:tcW w:w="1275" w:type="dxa"/>
            <w:tcBorders>
              <w:top w:val="nil"/>
              <w:left w:val="nil"/>
              <w:bottom w:val="nil"/>
              <w:right w:val="nil"/>
            </w:tcBorders>
            <w:shd w:val="clear" w:color="000000" w:fill="FFFFFF"/>
            <w:noWrap/>
            <w:vAlign w:val="bottom"/>
            <w:hideMark/>
          </w:tcPr>
          <w:p w14:paraId="32794FD7"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c>
          <w:tcPr>
            <w:tcW w:w="1276" w:type="dxa"/>
            <w:tcBorders>
              <w:top w:val="nil"/>
              <w:left w:val="nil"/>
              <w:bottom w:val="nil"/>
              <w:right w:val="nil"/>
            </w:tcBorders>
            <w:shd w:val="clear" w:color="000000" w:fill="FFFFFF"/>
            <w:noWrap/>
            <w:vAlign w:val="bottom"/>
            <w:hideMark/>
          </w:tcPr>
          <w:p w14:paraId="72F8A77F"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c>
          <w:tcPr>
            <w:tcW w:w="425" w:type="dxa"/>
            <w:tcBorders>
              <w:top w:val="nil"/>
              <w:left w:val="nil"/>
              <w:bottom w:val="nil"/>
              <w:right w:val="single" w:sz="4" w:space="0" w:color="auto"/>
            </w:tcBorders>
            <w:shd w:val="clear" w:color="000000" w:fill="FFFFFF"/>
            <w:noWrap/>
            <w:vAlign w:val="bottom"/>
            <w:hideMark/>
          </w:tcPr>
          <w:p w14:paraId="483E9C69"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5574CF62"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0A37E484" w14:textId="77777777" w:rsidR="00910B7B" w:rsidRPr="00910B7B" w:rsidRDefault="00910B7B" w:rsidP="00910B7B">
            <w:pPr>
              <w:rPr>
                <w:rFonts w:cs="Arial"/>
                <w:sz w:val="22"/>
                <w:szCs w:val="22"/>
                <w:lang w:eastAsia="en-GB"/>
              </w:rPr>
            </w:pPr>
            <w:r w:rsidRPr="00910B7B">
              <w:rPr>
                <w:rFonts w:cs="Arial"/>
                <w:sz w:val="22"/>
                <w:szCs w:val="22"/>
                <w:lang w:eastAsia="en-GB"/>
              </w:rPr>
              <w:t>DEFRA</w:t>
            </w:r>
          </w:p>
        </w:tc>
        <w:tc>
          <w:tcPr>
            <w:tcW w:w="1275" w:type="dxa"/>
            <w:tcBorders>
              <w:top w:val="nil"/>
              <w:left w:val="nil"/>
              <w:bottom w:val="nil"/>
              <w:right w:val="nil"/>
            </w:tcBorders>
            <w:shd w:val="clear" w:color="000000" w:fill="FFFFFF"/>
            <w:noWrap/>
            <w:vAlign w:val="bottom"/>
            <w:hideMark/>
          </w:tcPr>
          <w:p w14:paraId="1D464025" w14:textId="77777777" w:rsidR="00910B7B" w:rsidRPr="00910B7B" w:rsidRDefault="00910B7B" w:rsidP="00910B7B">
            <w:pPr>
              <w:jc w:val="right"/>
              <w:rPr>
                <w:rFonts w:cs="Arial"/>
                <w:sz w:val="22"/>
                <w:szCs w:val="22"/>
                <w:lang w:eastAsia="en-GB"/>
              </w:rPr>
            </w:pPr>
            <w:r w:rsidRPr="00910B7B">
              <w:rPr>
                <w:rFonts w:cs="Arial"/>
                <w:sz w:val="22"/>
                <w:szCs w:val="22"/>
                <w:lang w:eastAsia="en-GB"/>
              </w:rPr>
              <w:t>1,105</w:t>
            </w:r>
          </w:p>
        </w:tc>
        <w:tc>
          <w:tcPr>
            <w:tcW w:w="1276" w:type="dxa"/>
            <w:tcBorders>
              <w:top w:val="nil"/>
              <w:left w:val="nil"/>
              <w:bottom w:val="nil"/>
              <w:right w:val="nil"/>
            </w:tcBorders>
            <w:shd w:val="clear" w:color="000000" w:fill="FFFFFF"/>
            <w:noWrap/>
            <w:vAlign w:val="bottom"/>
            <w:hideMark/>
          </w:tcPr>
          <w:p w14:paraId="2B179B04" w14:textId="77777777" w:rsidR="00910B7B" w:rsidRPr="00910B7B" w:rsidRDefault="00910B7B" w:rsidP="00910B7B">
            <w:pPr>
              <w:jc w:val="right"/>
              <w:rPr>
                <w:rFonts w:cs="Arial"/>
                <w:sz w:val="22"/>
                <w:szCs w:val="22"/>
                <w:lang w:eastAsia="en-GB"/>
              </w:rPr>
            </w:pPr>
            <w:r w:rsidRPr="00910B7B">
              <w:rPr>
                <w:rFonts w:cs="Arial"/>
                <w:sz w:val="22"/>
                <w:szCs w:val="22"/>
                <w:lang w:eastAsia="en-GB"/>
              </w:rPr>
              <w:t>1,365</w:t>
            </w:r>
          </w:p>
        </w:tc>
        <w:tc>
          <w:tcPr>
            <w:tcW w:w="425" w:type="dxa"/>
            <w:tcBorders>
              <w:top w:val="nil"/>
              <w:left w:val="nil"/>
              <w:bottom w:val="nil"/>
              <w:right w:val="single" w:sz="4" w:space="0" w:color="auto"/>
            </w:tcBorders>
            <w:shd w:val="clear" w:color="000000" w:fill="FFFFFF"/>
            <w:noWrap/>
            <w:vAlign w:val="bottom"/>
            <w:hideMark/>
          </w:tcPr>
          <w:p w14:paraId="43A2BE8C"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0C0B3DC8"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7D44CA39" w14:textId="77777777" w:rsidR="00910B7B" w:rsidRPr="00910B7B" w:rsidRDefault="00910B7B" w:rsidP="00910B7B">
            <w:pPr>
              <w:rPr>
                <w:rFonts w:cs="Arial"/>
                <w:sz w:val="22"/>
                <w:szCs w:val="22"/>
                <w:lang w:eastAsia="en-GB"/>
              </w:rPr>
            </w:pPr>
            <w:r w:rsidRPr="00910B7B">
              <w:rPr>
                <w:rFonts w:cs="Arial"/>
                <w:sz w:val="22"/>
                <w:szCs w:val="22"/>
                <w:lang w:eastAsia="en-GB"/>
              </w:rPr>
              <w:t>Cumbria County Council Total</w:t>
            </w:r>
          </w:p>
        </w:tc>
        <w:tc>
          <w:tcPr>
            <w:tcW w:w="1275" w:type="dxa"/>
            <w:tcBorders>
              <w:top w:val="nil"/>
              <w:left w:val="nil"/>
              <w:bottom w:val="nil"/>
              <w:right w:val="nil"/>
            </w:tcBorders>
            <w:shd w:val="clear" w:color="000000" w:fill="FFFFFF"/>
            <w:noWrap/>
            <w:vAlign w:val="bottom"/>
            <w:hideMark/>
          </w:tcPr>
          <w:p w14:paraId="530EF4ED" w14:textId="77777777" w:rsidR="00910B7B" w:rsidRPr="00910B7B" w:rsidRDefault="00910B7B" w:rsidP="00910B7B">
            <w:pPr>
              <w:jc w:val="right"/>
              <w:rPr>
                <w:rFonts w:cs="Arial"/>
                <w:sz w:val="22"/>
                <w:szCs w:val="22"/>
                <w:lang w:eastAsia="en-GB"/>
              </w:rPr>
            </w:pPr>
            <w:r w:rsidRPr="00910B7B">
              <w:rPr>
                <w:rFonts w:cs="Arial"/>
                <w:sz w:val="22"/>
                <w:szCs w:val="22"/>
                <w:lang w:eastAsia="en-GB"/>
              </w:rPr>
              <w:t>250</w:t>
            </w:r>
          </w:p>
        </w:tc>
        <w:tc>
          <w:tcPr>
            <w:tcW w:w="1276" w:type="dxa"/>
            <w:tcBorders>
              <w:top w:val="nil"/>
              <w:left w:val="nil"/>
              <w:bottom w:val="nil"/>
              <w:right w:val="nil"/>
            </w:tcBorders>
            <w:shd w:val="clear" w:color="000000" w:fill="FFFFFF"/>
            <w:noWrap/>
            <w:vAlign w:val="bottom"/>
            <w:hideMark/>
          </w:tcPr>
          <w:p w14:paraId="7FD70AA0" w14:textId="77777777" w:rsidR="00910B7B" w:rsidRPr="00910B7B" w:rsidRDefault="00910B7B" w:rsidP="00910B7B">
            <w:pPr>
              <w:jc w:val="right"/>
              <w:rPr>
                <w:rFonts w:cs="Arial"/>
                <w:sz w:val="22"/>
                <w:szCs w:val="22"/>
                <w:lang w:eastAsia="en-GB"/>
              </w:rPr>
            </w:pPr>
            <w:r w:rsidRPr="00910B7B">
              <w:rPr>
                <w:rFonts w:cs="Arial"/>
                <w:sz w:val="22"/>
                <w:szCs w:val="22"/>
                <w:lang w:eastAsia="en-GB"/>
              </w:rPr>
              <w:t>78</w:t>
            </w:r>
          </w:p>
        </w:tc>
        <w:tc>
          <w:tcPr>
            <w:tcW w:w="425" w:type="dxa"/>
            <w:tcBorders>
              <w:top w:val="nil"/>
              <w:left w:val="nil"/>
              <w:bottom w:val="nil"/>
              <w:right w:val="single" w:sz="4" w:space="0" w:color="auto"/>
            </w:tcBorders>
            <w:shd w:val="clear" w:color="000000" w:fill="FFFFFF"/>
            <w:noWrap/>
            <w:vAlign w:val="bottom"/>
            <w:hideMark/>
          </w:tcPr>
          <w:p w14:paraId="77BF96DB"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32B41E5B"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264DDCA0" w14:textId="77777777" w:rsidR="00910B7B" w:rsidRPr="00910B7B" w:rsidRDefault="00910B7B" w:rsidP="00910B7B">
            <w:pPr>
              <w:rPr>
                <w:rFonts w:cs="Arial"/>
                <w:sz w:val="22"/>
                <w:szCs w:val="22"/>
                <w:lang w:eastAsia="en-GB"/>
              </w:rPr>
            </w:pPr>
            <w:r w:rsidRPr="00910B7B">
              <w:rPr>
                <w:rFonts w:cs="Arial"/>
                <w:sz w:val="22"/>
                <w:szCs w:val="22"/>
                <w:lang w:eastAsia="en-GB"/>
              </w:rPr>
              <w:t>National Trust</w:t>
            </w:r>
          </w:p>
        </w:tc>
        <w:tc>
          <w:tcPr>
            <w:tcW w:w="1275" w:type="dxa"/>
            <w:tcBorders>
              <w:top w:val="nil"/>
              <w:left w:val="nil"/>
              <w:bottom w:val="nil"/>
              <w:right w:val="nil"/>
            </w:tcBorders>
            <w:shd w:val="clear" w:color="000000" w:fill="FFFFFF"/>
            <w:noWrap/>
            <w:vAlign w:val="bottom"/>
            <w:hideMark/>
          </w:tcPr>
          <w:p w14:paraId="1415BE18" w14:textId="77777777" w:rsidR="00910B7B" w:rsidRPr="00910B7B" w:rsidRDefault="00910B7B" w:rsidP="00910B7B">
            <w:pPr>
              <w:jc w:val="right"/>
              <w:rPr>
                <w:rFonts w:cs="Arial"/>
                <w:sz w:val="22"/>
                <w:szCs w:val="22"/>
                <w:lang w:eastAsia="en-GB"/>
              </w:rPr>
            </w:pPr>
            <w:r w:rsidRPr="00910B7B">
              <w:rPr>
                <w:rFonts w:cs="Arial"/>
                <w:sz w:val="22"/>
                <w:szCs w:val="22"/>
                <w:lang w:eastAsia="en-GB"/>
              </w:rPr>
              <w:t>25</w:t>
            </w:r>
          </w:p>
        </w:tc>
        <w:tc>
          <w:tcPr>
            <w:tcW w:w="1276" w:type="dxa"/>
            <w:tcBorders>
              <w:top w:val="nil"/>
              <w:left w:val="nil"/>
              <w:bottom w:val="nil"/>
              <w:right w:val="nil"/>
            </w:tcBorders>
            <w:shd w:val="clear" w:color="000000" w:fill="FFFFFF"/>
            <w:noWrap/>
            <w:vAlign w:val="bottom"/>
            <w:hideMark/>
          </w:tcPr>
          <w:p w14:paraId="212A5BA3" w14:textId="77777777" w:rsidR="00910B7B" w:rsidRPr="00910B7B" w:rsidRDefault="00910B7B" w:rsidP="00910B7B">
            <w:pPr>
              <w:jc w:val="right"/>
              <w:rPr>
                <w:rFonts w:cs="Arial"/>
                <w:sz w:val="22"/>
                <w:szCs w:val="22"/>
                <w:lang w:eastAsia="en-GB"/>
              </w:rPr>
            </w:pPr>
            <w:r w:rsidRPr="00910B7B">
              <w:rPr>
                <w:rFonts w:cs="Arial"/>
                <w:sz w:val="22"/>
                <w:szCs w:val="22"/>
                <w:lang w:eastAsia="en-GB"/>
              </w:rPr>
              <w:t>137</w:t>
            </w:r>
          </w:p>
        </w:tc>
        <w:tc>
          <w:tcPr>
            <w:tcW w:w="425" w:type="dxa"/>
            <w:tcBorders>
              <w:top w:val="nil"/>
              <w:left w:val="nil"/>
              <w:bottom w:val="nil"/>
              <w:right w:val="single" w:sz="4" w:space="0" w:color="auto"/>
            </w:tcBorders>
            <w:shd w:val="clear" w:color="000000" w:fill="FFFFFF"/>
            <w:noWrap/>
            <w:vAlign w:val="bottom"/>
            <w:hideMark/>
          </w:tcPr>
          <w:p w14:paraId="710A498A"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351E4D30"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42FD6033" w14:textId="77777777" w:rsidR="00910B7B" w:rsidRPr="00910B7B" w:rsidRDefault="00910B7B" w:rsidP="00910B7B">
            <w:pPr>
              <w:rPr>
                <w:rFonts w:cs="Arial"/>
                <w:sz w:val="22"/>
                <w:szCs w:val="22"/>
                <w:lang w:eastAsia="en-GB"/>
              </w:rPr>
            </w:pPr>
            <w:r w:rsidRPr="00910B7B">
              <w:rPr>
                <w:rFonts w:cs="Arial"/>
                <w:sz w:val="22"/>
                <w:szCs w:val="22"/>
                <w:lang w:eastAsia="en-GB"/>
              </w:rPr>
              <w:t>Lake District Foundation</w:t>
            </w:r>
          </w:p>
        </w:tc>
        <w:tc>
          <w:tcPr>
            <w:tcW w:w="1275" w:type="dxa"/>
            <w:tcBorders>
              <w:top w:val="nil"/>
              <w:left w:val="nil"/>
              <w:bottom w:val="nil"/>
              <w:right w:val="nil"/>
            </w:tcBorders>
            <w:shd w:val="clear" w:color="000000" w:fill="FFFFFF"/>
            <w:noWrap/>
            <w:vAlign w:val="bottom"/>
            <w:hideMark/>
          </w:tcPr>
          <w:p w14:paraId="0D6067E3" w14:textId="77777777" w:rsidR="00910B7B" w:rsidRPr="00910B7B" w:rsidRDefault="00910B7B" w:rsidP="00910B7B">
            <w:pPr>
              <w:jc w:val="right"/>
              <w:rPr>
                <w:rFonts w:cs="Arial"/>
                <w:sz w:val="22"/>
                <w:szCs w:val="22"/>
                <w:lang w:eastAsia="en-GB"/>
              </w:rPr>
            </w:pPr>
            <w:r w:rsidRPr="00910B7B">
              <w:rPr>
                <w:rFonts w:cs="Arial"/>
                <w:sz w:val="22"/>
                <w:szCs w:val="22"/>
                <w:lang w:eastAsia="en-GB"/>
              </w:rPr>
              <w:t>63</w:t>
            </w:r>
          </w:p>
        </w:tc>
        <w:tc>
          <w:tcPr>
            <w:tcW w:w="1276" w:type="dxa"/>
            <w:tcBorders>
              <w:top w:val="nil"/>
              <w:left w:val="nil"/>
              <w:bottom w:val="nil"/>
              <w:right w:val="nil"/>
            </w:tcBorders>
            <w:shd w:val="clear" w:color="000000" w:fill="FFFFFF"/>
            <w:noWrap/>
            <w:vAlign w:val="bottom"/>
            <w:hideMark/>
          </w:tcPr>
          <w:p w14:paraId="467E1D65" w14:textId="77777777" w:rsidR="00910B7B" w:rsidRPr="00910B7B" w:rsidRDefault="00910B7B" w:rsidP="00910B7B">
            <w:pPr>
              <w:jc w:val="right"/>
              <w:rPr>
                <w:rFonts w:cs="Arial"/>
                <w:sz w:val="22"/>
                <w:szCs w:val="22"/>
                <w:lang w:eastAsia="en-GB"/>
              </w:rPr>
            </w:pPr>
            <w:r w:rsidRPr="00910B7B">
              <w:rPr>
                <w:rFonts w:cs="Arial"/>
                <w:sz w:val="22"/>
                <w:szCs w:val="22"/>
                <w:lang w:eastAsia="en-GB"/>
              </w:rPr>
              <w:t>141</w:t>
            </w:r>
          </w:p>
        </w:tc>
        <w:tc>
          <w:tcPr>
            <w:tcW w:w="425" w:type="dxa"/>
            <w:tcBorders>
              <w:top w:val="nil"/>
              <w:left w:val="nil"/>
              <w:bottom w:val="nil"/>
              <w:right w:val="single" w:sz="4" w:space="0" w:color="auto"/>
            </w:tcBorders>
            <w:shd w:val="clear" w:color="000000" w:fill="FFFFFF"/>
            <w:noWrap/>
            <w:vAlign w:val="bottom"/>
            <w:hideMark/>
          </w:tcPr>
          <w:p w14:paraId="6F3A92CA"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74AD251A"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66840360" w14:textId="77777777" w:rsidR="00910B7B" w:rsidRPr="00910B7B" w:rsidRDefault="00910B7B" w:rsidP="00910B7B">
            <w:pPr>
              <w:rPr>
                <w:rFonts w:cs="Arial"/>
                <w:sz w:val="22"/>
                <w:szCs w:val="22"/>
                <w:lang w:eastAsia="en-GB"/>
              </w:rPr>
            </w:pPr>
            <w:r w:rsidRPr="00910B7B">
              <w:rPr>
                <w:rFonts w:cs="Arial"/>
                <w:sz w:val="22"/>
                <w:szCs w:val="22"/>
                <w:lang w:eastAsia="en-GB"/>
              </w:rPr>
              <w:t>Rural Payments Agency</w:t>
            </w:r>
          </w:p>
        </w:tc>
        <w:tc>
          <w:tcPr>
            <w:tcW w:w="1275" w:type="dxa"/>
            <w:tcBorders>
              <w:top w:val="nil"/>
              <w:left w:val="nil"/>
              <w:bottom w:val="nil"/>
              <w:right w:val="nil"/>
            </w:tcBorders>
            <w:shd w:val="clear" w:color="000000" w:fill="FFFFFF"/>
            <w:noWrap/>
            <w:vAlign w:val="bottom"/>
            <w:hideMark/>
          </w:tcPr>
          <w:p w14:paraId="71826B04" w14:textId="77777777" w:rsidR="00910B7B" w:rsidRPr="00910B7B" w:rsidRDefault="00910B7B" w:rsidP="00910B7B">
            <w:pPr>
              <w:jc w:val="right"/>
              <w:rPr>
                <w:rFonts w:cs="Arial"/>
                <w:sz w:val="22"/>
                <w:szCs w:val="22"/>
                <w:lang w:eastAsia="en-GB"/>
              </w:rPr>
            </w:pPr>
            <w:r w:rsidRPr="00910B7B">
              <w:rPr>
                <w:rFonts w:cs="Arial"/>
                <w:sz w:val="22"/>
                <w:szCs w:val="22"/>
                <w:lang w:eastAsia="en-GB"/>
              </w:rPr>
              <w:t>14</w:t>
            </w:r>
          </w:p>
        </w:tc>
        <w:tc>
          <w:tcPr>
            <w:tcW w:w="1276" w:type="dxa"/>
            <w:tcBorders>
              <w:top w:val="nil"/>
              <w:left w:val="nil"/>
              <w:bottom w:val="nil"/>
              <w:right w:val="nil"/>
            </w:tcBorders>
            <w:shd w:val="clear" w:color="000000" w:fill="FFFFFF"/>
            <w:noWrap/>
            <w:vAlign w:val="bottom"/>
            <w:hideMark/>
          </w:tcPr>
          <w:p w14:paraId="33505CEF" w14:textId="77777777" w:rsidR="00910B7B" w:rsidRPr="00910B7B" w:rsidRDefault="00910B7B" w:rsidP="00910B7B">
            <w:pPr>
              <w:jc w:val="right"/>
              <w:rPr>
                <w:rFonts w:cs="Arial"/>
                <w:sz w:val="22"/>
                <w:szCs w:val="22"/>
                <w:lang w:eastAsia="en-GB"/>
              </w:rPr>
            </w:pPr>
            <w:r w:rsidRPr="00910B7B">
              <w:rPr>
                <w:rFonts w:cs="Arial"/>
                <w:sz w:val="22"/>
                <w:szCs w:val="22"/>
                <w:lang w:eastAsia="en-GB"/>
              </w:rPr>
              <w:t>13</w:t>
            </w:r>
          </w:p>
        </w:tc>
        <w:tc>
          <w:tcPr>
            <w:tcW w:w="425" w:type="dxa"/>
            <w:tcBorders>
              <w:top w:val="nil"/>
              <w:left w:val="nil"/>
              <w:bottom w:val="nil"/>
              <w:right w:val="single" w:sz="4" w:space="0" w:color="auto"/>
            </w:tcBorders>
            <w:shd w:val="clear" w:color="000000" w:fill="FFFFFF"/>
            <w:noWrap/>
            <w:vAlign w:val="bottom"/>
            <w:hideMark/>
          </w:tcPr>
          <w:p w14:paraId="2D0A06A1"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2284CDBD"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317555C0" w14:textId="77777777" w:rsidR="00910B7B" w:rsidRPr="00910B7B" w:rsidRDefault="00910B7B" w:rsidP="00910B7B">
            <w:pPr>
              <w:rPr>
                <w:rFonts w:cs="Arial"/>
                <w:sz w:val="22"/>
                <w:szCs w:val="22"/>
                <w:lang w:eastAsia="en-GB"/>
              </w:rPr>
            </w:pPr>
            <w:r w:rsidRPr="00910B7B">
              <w:rPr>
                <w:rFonts w:cs="Arial"/>
                <w:sz w:val="22"/>
                <w:szCs w:val="22"/>
                <w:lang w:eastAsia="en-GB"/>
              </w:rPr>
              <w:t>South Lakeland District Council</w:t>
            </w:r>
          </w:p>
        </w:tc>
        <w:tc>
          <w:tcPr>
            <w:tcW w:w="1275" w:type="dxa"/>
            <w:tcBorders>
              <w:top w:val="nil"/>
              <w:left w:val="nil"/>
              <w:bottom w:val="nil"/>
              <w:right w:val="nil"/>
            </w:tcBorders>
            <w:shd w:val="clear" w:color="000000" w:fill="FFFFFF"/>
            <w:noWrap/>
            <w:vAlign w:val="bottom"/>
            <w:hideMark/>
          </w:tcPr>
          <w:p w14:paraId="7D67719A" w14:textId="77777777" w:rsidR="00910B7B" w:rsidRPr="00910B7B" w:rsidRDefault="00910B7B" w:rsidP="00910B7B">
            <w:pPr>
              <w:jc w:val="right"/>
              <w:rPr>
                <w:rFonts w:cs="Arial"/>
                <w:sz w:val="22"/>
                <w:szCs w:val="22"/>
                <w:lang w:eastAsia="en-GB"/>
              </w:rPr>
            </w:pPr>
            <w:r w:rsidRPr="00910B7B">
              <w:rPr>
                <w:rFonts w:cs="Arial"/>
                <w:sz w:val="22"/>
                <w:szCs w:val="22"/>
                <w:lang w:eastAsia="en-GB"/>
              </w:rPr>
              <w:t>60</w:t>
            </w:r>
          </w:p>
        </w:tc>
        <w:tc>
          <w:tcPr>
            <w:tcW w:w="1276" w:type="dxa"/>
            <w:tcBorders>
              <w:top w:val="nil"/>
              <w:left w:val="nil"/>
              <w:bottom w:val="nil"/>
              <w:right w:val="nil"/>
            </w:tcBorders>
            <w:shd w:val="clear" w:color="000000" w:fill="FFFFFF"/>
            <w:noWrap/>
            <w:vAlign w:val="bottom"/>
            <w:hideMark/>
          </w:tcPr>
          <w:p w14:paraId="047E0C65" w14:textId="77777777" w:rsidR="00910B7B" w:rsidRPr="00910B7B" w:rsidRDefault="00910B7B" w:rsidP="00910B7B">
            <w:pPr>
              <w:jc w:val="right"/>
              <w:rPr>
                <w:rFonts w:cs="Arial"/>
                <w:sz w:val="22"/>
                <w:szCs w:val="22"/>
                <w:lang w:eastAsia="en-GB"/>
              </w:rPr>
            </w:pPr>
            <w:r w:rsidRPr="00910B7B">
              <w:rPr>
                <w:rFonts w:cs="Arial"/>
                <w:sz w:val="22"/>
                <w:szCs w:val="22"/>
                <w:lang w:eastAsia="en-GB"/>
              </w:rPr>
              <w:t>0</w:t>
            </w:r>
          </w:p>
        </w:tc>
        <w:tc>
          <w:tcPr>
            <w:tcW w:w="425" w:type="dxa"/>
            <w:tcBorders>
              <w:top w:val="nil"/>
              <w:left w:val="nil"/>
              <w:bottom w:val="nil"/>
              <w:right w:val="single" w:sz="4" w:space="0" w:color="auto"/>
            </w:tcBorders>
            <w:shd w:val="clear" w:color="000000" w:fill="FFFFFF"/>
            <w:noWrap/>
            <w:vAlign w:val="bottom"/>
            <w:hideMark/>
          </w:tcPr>
          <w:p w14:paraId="72AE4472"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18F8B2DF"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5BD59D1B" w14:textId="77777777" w:rsidR="00910B7B" w:rsidRPr="00910B7B" w:rsidRDefault="00910B7B" w:rsidP="00910B7B">
            <w:pPr>
              <w:rPr>
                <w:rFonts w:cs="Arial"/>
                <w:sz w:val="22"/>
                <w:szCs w:val="22"/>
                <w:lang w:eastAsia="en-GB"/>
              </w:rPr>
            </w:pPr>
            <w:r w:rsidRPr="00910B7B">
              <w:rPr>
                <w:rFonts w:cs="Arial"/>
                <w:sz w:val="22"/>
                <w:szCs w:val="22"/>
                <w:lang w:eastAsia="en-GB"/>
              </w:rPr>
              <w:t>South Downs National Park</w:t>
            </w:r>
          </w:p>
        </w:tc>
        <w:tc>
          <w:tcPr>
            <w:tcW w:w="1275" w:type="dxa"/>
            <w:tcBorders>
              <w:top w:val="nil"/>
              <w:left w:val="nil"/>
              <w:bottom w:val="nil"/>
              <w:right w:val="nil"/>
            </w:tcBorders>
            <w:shd w:val="clear" w:color="000000" w:fill="FFFFFF"/>
            <w:noWrap/>
            <w:vAlign w:val="bottom"/>
            <w:hideMark/>
          </w:tcPr>
          <w:p w14:paraId="2CF8FFA8" w14:textId="77777777" w:rsidR="00910B7B" w:rsidRPr="00910B7B" w:rsidRDefault="00910B7B" w:rsidP="00910B7B">
            <w:pPr>
              <w:jc w:val="right"/>
              <w:rPr>
                <w:rFonts w:cs="Arial"/>
                <w:sz w:val="22"/>
                <w:szCs w:val="22"/>
                <w:lang w:eastAsia="en-GB"/>
              </w:rPr>
            </w:pPr>
            <w:r w:rsidRPr="00910B7B">
              <w:rPr>
                <w:rFonts w:cs="Arial"/>
                <w:sz w:val="22"/>
                <w:szCs w:val="22"/>
                <w:lang w:eastAsia="en-GB"/>
              </w:rPr>
              <w:t>168</w:t>
            </w:r>
          </w:p>
        </w:tc>
        <w:tc>
          <w:tcPr>
            <w:tcW w:w="1276" w:type="dxa"/>
            <w:tcBorders>
              <w:top w:val="nil"/>
              <w:left w:val="nil"/>
              <w:bottom w:val="nil"/>
              <w:right w:val="nil"/>
            </w:tcBorders>
            <w:shd w:val="clear" w:color="000000" w:fill="FFFFFF"/>
            <w:noWrap/>
            <w:vAlign w:val="bottom"/>
            <w:hideMark/>
          </w:tcPr>
          <w:p w14:paraId="6774AA9E" w14:textId="77777777" w:rsidR="00910B7B" w:rsidRPr="00910B7B" w:rsidRDefault="00910B7B" w:rsidP="00910B7B">
            <w:pPr>
              <w:jc w:val="right"/>
              <w:rPr>
                <w:rFonts w:cs="Arial"/>
                <w:sz w:val="22"/>
                <w:szCs w:val="22"/>
                <w:lang w:eastAsia="en-GB"/>
              </w:rPr>
            </w:pPr>
            <w:r w:rsidRPr="00910B7B">
              <w:rPr>
                <w:rFonts w:cs="Arial"/>
                <w:sz w:val="22"/>
                <w:szCs w:val="22"/>
                <w:lang w:eastAsia="en-GB"/>
              </w:rPr>
              <w:t>0</w:t>
            </w:r>
          </w:p>
        </w:tc>
        <w:tc>
          <w:tcPr>
            <w:tcW w:w="425" w:type="dxa"/>
            <w:tcBorders>
              <w:top w:val="nil"/>
              <w:left w:val="nil"/>
              <w:bottom w:val="nil"/>
              <w:right w:val="single" w:sz="4" w:space="0" w:color="auto"/>
            </w:tcBorders>
            <w:shd w:val="clear" w:color="000000" w:fill="FFFFFF"/>
            <w:noWrap/>
            <w:vAlign w:val="bottom"/>
            <w:hideMark/>
          </w:tcPr>
          <w:p w14:paraId="01C26065"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608EDD2D"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17F2E6FD" w14:textId="77777777" w:rsidR="00910B7B" w:rsidRPr="00910B7B" w:rsidRDefault="00910B7B" w:rsidP="00910B7B">
            <w:pPr>
              <w:rPr>
                <w:rFonts w:cs="Arial"/>
                <w:sz w:val="22"/>
                <w:szCs w:val="22"/>
                <w:lang w:eastAsia="en-GB"/>
              </w:rPr>
            </w:pPr>
            <w:r w:rsidRPr="00910B7B">
              <w:rPr>
                <w:rFonts w:cs="Arial"/>
                <w:sz w:val="22"/>
                <w:szCs w:val="22"/>
                <w:lang w:eastAsia="en-GB"/>
              </w:rPr>
              <w:t>Forestry Commission</w:t>
            </w:r>
          </w:p>
        </w:tc>
        <w:tc>
          <w:tcPr>
            <w:tcW w:w="1275" w:type="dxa"/>
            <w:tcBorders>
              <w:top w:val="nil"/>
              <w:left w:val="nil"/>
              <w:bottom w:val="nil"/>
              <w:right w:val="nil"/>
            </w:tcBorders>
            <w:shd w:val="clear" w:color="000000" w:fill="FFFFFF"/>
            <w:noWrap/>
            <w:vAlign w:val="bottom"/>
            <w:hideMark/>
          </w:tcPr>
          <w:p w14:paraId="5C943773" w14:textId="77777777" w:rsidR="00910B7B" w:rsidRPr="00910B7B" w:rsidRDefault="00910B7B" w:rsidP="00910B7B">
            <w:pPr>
              <w:jc w:val="right"/>
              <w:rPr>
                <w:rFonts w:cs="Arial"/>
                <w:sz w:val="22"/>
                <w:szCs w:val="22"/>
                <w:lang w:eastAsia="en-GB"/>
              </w:rPr>
            </w:pPr>
            <w:r w:rsidRPr="00910B7B">
              <w:rPr>
                <w:rFonts w:cs="Arial"/>
                <w:sz w:val="22"/>
                <w:szCs w:val="22"/>
                <w:lang w:eastAsia="en-GB"/>
              </w:rPr>
              <w:t>24</w:t>
            </w:r>
          </w:p>
        </w:tc>
        <w:tc>
          <w:tcPr>
            <w:tcW w:w="1276" w:type="dxa"/>
            <w:tcBorders>
              <w:top w:val="nil"/>
              <w:left w:val="nil"/>
              <w:bottom w:val="nil"/>
              <w:right w:val="nil"/>
            </w:tcBorders>
            <w:shd w:val="clear" w:color="000000" w:fill="FFFFFF"/>
            <w:noWrap/>
            <w:vAlign w:val="bottom"/>
            <w:hideMark/>
          </w:tcPr>
          <w:p w14:paraId="3D2011D1" w14:textId="77777777" w:rsidR="00910B7B" w:rsidRPr="00910B7B" w:rsidRDefault="00910B7B" w:rsidP="00910B7B">
            <w:pPr>
              <w:jc w:val="right"/>
              <w:rPr>
                <w:rFonts w:cs="Arial"/>
                <w:sz w:val="22"/>
                <w:szCs w:val="22"/>
                <w:lang w:eastAsia="en-GB"/>
              </w:rPr>
            </w:pPr>
            <w:r w:rsidRPr="00910B7B">
              <w:rPr>
                <w:rFonts w:cs="Arial"/>
                <w:sz w:val="22"/>
                <w:szCs w:val="22"/>
                <w:lang w:eastAsia="en-GB"/>
              </w:rPr>
              <w:t>53</w:t>
            </w:r>
          </w:p>
        </w:tc>
        <w:tc>
          <w:tcPr>
            <w:tcW w:w="425" w:type="dxa"/>
            <w:tcBorders>
              <w:top w:val="nil"/>
              <w:left w:val="nil"/>
              <w:bottom w:val="nil"/>
              <w:right w:val="single" w:sz="4" w:space="0" w:color="auto"/>
            </w:tcBorders>
            <w:shd w:val="clear" w:color="000000" w:fill="FFFFFF"/>
            <w:noWrap/>
            <w:vAlign w:val="bottom"/>
            <w:hideMark/>
          </w:tcPr>
          <w:p w14:paraId="12584D01"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10AD1B37"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63C801EE" w14:textId="77777777" w:rsidR="00910B7B" w:rsidRPr="00910B7B" w:rsidRDefault="00910B7B" w:rsidP="00910B7B">
            <w:pPr>
              <w:rPr>
                <w:rFonts w:cs="Arial"/>
                <w:sz w:val="22"/>
                <w:szCs w:val="22"/>
                <w:lang w:eastAsia="en-GB"/>
              </w:rPr>
            </w:pPr>
            <w:r w:rsidRPr="00910B7B">
              <w:rPr>
                <w:rFonts w:cs="Arial"/>
                <w:sz w:val="22"/>
                <w:szCs w:val="22"/>
                <w:lang w:eastAsia="en-GB"/>
              </w:rPr>
              <w:t>Cumbria Action</w:t>
            </w:r>
          </w:p>
        </w:tc>
        <w:tc>
          <w:tcPr>
            <w:tcW w:w="1275" w:type="dxa"/>
            <w:tcBorders>
              <w:top w:val="nil"/>
              <w:left w:val="nil"/>
              <w:bottom w:val="nil"/>
              <w:right w:val="nil"/>
            </w:tcBorders>
            <w:shd w:val="clear" w:color="000000" w:fill="FFFFFF"/>
            <w:noWrap/>
            <w:vAlign w:val="bottom"/>
            <w:hideMark/>
          </w:tcPr>
          <w:p w14:paraId="0AFEE799" w14:textId="77777777" w:rsidR="00910B7B" w:rsidRPr="00910B7B" w:rsidRDefault="00910B7B" w:rsidP="00910B7B">
            <w:pPr>
              <w:jc w:val="right"/>
              <w:rPr>
                <w:rFonts w:cs="Arial"/>
                <w:sz w:val="22"/>
                <w:szCs w:val="22"/>
                <w:lang w:eastAsia="en-GB"/>
              </w:rPr>
            </w:pPr>
            <w:r w:rsidRPr="00910B7B">
              <w:rPr>
                <w:rFonts w:cs="Arial"/>
                <w:sz w:val="22"/>
                <w:szCs w:val="22"/>
                <w:lang w:eastAsia="en-GB"/>
              </w:rPr>
              <w:t>21</w:t>
            </w:r>
          </w:p>
        </w:tc>
        <w:tc>
          <w:tcPr>
            <w:tcW w:w="1276" w:type="dxa"/>
            <w:tcBorders>
              <w:top w:val="nil"/>
              <w:left w:val="nil"/>
              <w:bottom w:val="nil"/>
              <w:right w:val="nil"/>
            </w:tcBorders>
            <w:shd w:val="clear" w:color="000000" w:fill="FFFFFF"/>
            <w:noWrap/>
            <w:vAlign w:val="bottom"/>
            <w:hideMark/>
          </w:tcPr>
          <w:p w14:paraId="70078DC7" w14:textId="77777777" w:rsidR="00910B7B" w:rsidRPr="00910B7B" w:rsidRDefault="00910B7B" w:rsidP="00910B7B">
            <w:pPr>
              <w:jc w:val="right"/>
              <w:rPr>
                <w:rFonts w:cs="Arial"/>
                <w:sz w:val="22"/>
                <w:szCs w:val="22"/>
                <w:lang w:eastAsia="en-GB"/>
              </w:rPr>
            </w:pPr>
            <w:r w:rsidRPr="00910B7B">
              <w:rPr>
                <w:rFonts w:cs="Arial"/>
                <w:sz w:val="22"/>
                <w:szCs w:val="22"/>
                <w:lang w:eastAsia="en-GB"/>
              </w:rPr>
              <w:t>25</w:t>
            </w:r>
          </w:p>
        </w:tc>
        <w:tc>
          <w:tcPr>
            <w:tcW w:w="425" w:type="dxa"/>
            <w:tcBorders>
              <w:top w:val="nil"/>
              <w:left w:val="nil"/>
              <w:bottom w:val="nil"/>
              <w:right w:val="single" w:sz="4" w:space="0" w:color="auto"/>
            </w:tcBorders>
            <w:shd w:val="clear" w:color="000000" w:fill="FFFFFF"/>
            <w:noWrap/>
            <w:vAlign w:val="bottom"/>
            <w:hideMark/>
          </w:tcPr>
          <w:p w14:paraId="6CD70A25"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5AB6EF24"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5BF9C480" w14:textId="77777777" w:rsidR="00910B7B" w:rsidRPr="00910B7B" w:rsidRDefault="00910B7B" w:rsidP="00910B7B">
            <w:pPr>
              <w:rPr>
                <w:rFonts w:cs="Arial"/>
                <w:sz w:val="22"/>
                <w:szCs w:val="22"/>
                <w:lang w:eastAsia="en-GB"/>
              </w:rPr>
            </w:pPr>
            <w:r w:rsidRPr="00910B7B">
              <w:rPr>
                <w:rFonts w:cs="Arial"/>
                <w:sz w:val="22"/>
                <w:szCs w:val="22"/>
                <w:lang w:eastAsia="en-GB"/>
              </w:rPr>
              <w:t xml:space="preserve">Allerdale Borough Council </w:t>
            </w:r>
          </w:p>
        </w:tc>
        <w:tc>
          <w:tcPr>
            <w:tcW w:w="1275" w:type="dxa"/>
            <w:tcBorders>
              <w:top w:val="nil"/>
              <w:left w:val="nil"/>
              <w:bottom w:val="nil"/>
              <w:right w:val="nil"/>
            </w:tcBorders>
            <w:shd w:val="clear" w:color="000000" w:fill="FFFFFF"/>
            <w:noWrap/>
            <w:vAlign w:val="bottom"/>
            <w:hideMark/>
          </w:tcPr>
          <w:p w14:paraId="17F45332" w14:textId="77777777" w:rsidR="00910B7B" w:rsidRPr="00910B7B" w:rsidRDefault="00910B7B" w:rsidP="00910B7B">
            <w:pPr>
              <w:jc w:val="right"/>
              <w:rPr>
                <w:rFonts w:cs="Arial"/>
                <w:sz w:val="22"/>
                <w:szCs w:val="22"/>
                <w:lang w:eastAsia="en-GB"/>
              </w:rPr>
            </w:pPr>
            <w:r w:rsidRPr="00910B7B">
              <w:rPr>
                <w:rFonts w:cs="Arial"/>
                <w:sz w:val="22"/>
                <w:szCs w:val="22"/>
                <w:lang w:eastAsia="en-GB"/>
              </w:rPr>
              <w:t>24</w:t>
            </w:r>
          </w:p>
        </w:tc>
        <w:tc>
          <w:tcPr>
            <w:tcW w:w="1276" w:type="dxa"/>
            <w:tcBorders>
              <w:top w:val="nil"/>
              <w:left w:val="nil"/>
              <w:bottom w:val="nil"/>
              <w:right w:val="nil"/>
            </w:tcBorders>
            <w:shd w:val="clear" w:color="000000" w:fill="FFFFFF"/>
            <w:noWrap/>
            <w:vAlign w:val="bottom"/>
            <w:hideMark/>
          </w:tcPr>
          <w:p w14:paraId="13285FD6" w14:textId="77777777" w:rsidR="00910B7B" w:rsidRPr="00910B7B" w:rsidRDefault="00910B7B" w:rsidP="00910B7B">
            <w:pPr>
              <w:jc w:val="right"/>
              <w:rPr>
                <w:rFonts w:cs="Arial"/>
                <w:sz w:val="22"/>
                <w:szCs w:val="22"/>
                <w:lang w:eastAsia="en-GB"/>
              </w:rPr>
            </w:pPr>
            <w:r w:rsidRPr="00910B7B">
              <w:rPr>
                <w:rFonts w:cs="Arial"/>
                <w:sz w:val="22"/>
                <w:szCs w:val="22"/>
                <w:lang w:eastAsia="en-GB"/>
              </w:rPr>
              <w:t>19</w:t>
            </w:r>
          </w:p>
        </w:tc>
        <w:tc>
          <w:tcPr>
            <w:tcW w:w="425" w:type="dxa"/>
            <w:tcBorders>
              <w:top w:val="nil"/>
              <w:left w:val="nil"/>
              <w:bottom w:val="nil"/>
              <w:right w:val="single" w:sz="4" w:space="0" w:color="auto"/>
            </w:tcBorders>
            <w:shd w:val="clear" w:color="000000" w:fill="FFFFFF"/>
            <w:noWrap/>
            <w:vAlign w:val="bottom"/>
            <w:hideMark/>
          </w:tcPr>
          <w:p w14:paraId="0EF150D7"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1B7AE77B"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37012A45" w14:textId="77777777" w:rsidR="00910B7B" w:rsidRPr="00910B7B" w:rsidRDefault="00910B7B" w:rsidP="00910B7B">
            <w:pPr>
              <w:rPr>
                <w:rFonts w:cs="Arial"/>
                <w:sz w:val="22"/>
                <w:szCs w:val="22"/>
                <w:lang w:eastAsia="en-GB"/>
              </w:rPr>
            </w:pPr>
            <w:r w:rsidRPr="00910B7B">
              <w:rPr>
                <w:rFonts w:cs="Arial"/>
                <w:sz w:val="22"/>
                <w:szCs w:val="22"/>
                <w:lang w:eastAsia="en-GB"/>
              </w:rPr>
              <w:t>Fipl - agent</w:t>
            </w:r>
          </w:p>
        </w:tc>
        <w:tc>
          <w:tcPr>
            <w:tcW w:w="1275" w:type="dxa"/>
            <w:tcBorders>
              <w:top w:val="nil"/>
              <w:left w:val="nil"/>
              <w:bottom w:val="nil"/>
              <w:right w:val="nil"/>
            </w:tcBorders>
            <w:shd w:val="clear" w:color="000000" w:fill="FFFFFF"/>
            <w:noWrap/>
            <w:vAlign w:val="bottom"/>
            <w:hideMark/>
          </w:tcPr>
          <w:p w14:paraId="42BF6C03" w14:textId="77777777" w:rsidR="00910B7B" w:rsidRPr="00910B7B" w:rsidRDefault="00910B7B" w:rsidP="00910B7B">
            <w:pPr>
              <w:jc w:val="right"/>
              <w:rPr>
                <w:rFonts w:cs="Arial"/>
                <w:sz w:val="22"/>
                <w:szCs w:val="22"/>
                <w:lang w:eastAsia="en-GB"/>
              </w:rPr>
            </w:pPr>
            <w:r w:rsidRPr="00910B7B">
              <w:rPr>
                <w:rFonts w:cs="Arial"/>
                <w:sz w:val="22"/>
                <w:szCs w:val="22"/>
                <w:lang w:eastAsia="en-GB"/>
              </w:rPr>
              <w:t>200</w:t>
            </w:r>
          </w:p>
        </w:tc>
        <w:tc>
          <w:tcPr>
            <w:tcW w:w="1276" w:type="dxa"/>
            <w:tcBorders>
              <w:top w:val="nil"/>
              <w:left w:val="nil"/>
              <w:bottom w:val="nil"/>
              <w:right w:val="nil"/>
            </w:tcBorders>
            <w:shd w:val="clear" w:color="000000" w:fill="FFFFFF"/>
            <w:noWrap/>
            <w:vAlign w:val="bottom"/>
            <w:hideMark/>
          </w:tcPr>
          <w:p w14:paraId="449F8BDA" w14:textId="77777777" w:rsidR="00910B7B" w:rsidRPr="00910B7B" w:rsidRDefault="00910B7B" w:rsidP="00910B7B">
            <w:pPr>
              <w:jc w:val="right"/>
              <w:rPr>
                <w:rFonts w:cs="Arial"/>
                <w:sz w:val="22"/>
                <w:szCs w:val="22"/>
                <w:lang w:eastAsia="en-GB"/>
              </w:rPr>
            </w:pPr>
            <w:r w:rsidRPr="00910B7B">
              <w:rPr>
                <w:rFonts w:cs="Arial"/>
                <w:sz w:val="22"/>
                <w:szCs w:val="22"/>
                <w:lang w:eastAsia="en-GB"/>
              </w:rPr>
              <w:t>37</w:t>
            </w:r>
          </w:p>
        </w:tc>
        <w:tc>
          <w:tcPr>
            <w:tcW w:w="425" w:type="dxa"/>
            <w:tcBorders>
              <w:top w:val="nil"/>
              <w:left w:val="nil"/>
              <w:bottom w:val="nil"/>
              <w:right w:val="single" w:sz="4" w:space="0" w:color="auto"/>
            </w:tcBorders>
            <w:shd w:val="clear" w:color="000000" w:fill="FFFFFF"/>
            <w:noWrap/>
            <w:vAlign w:val="bottom"/>
            <w:hideMark/>
          </w:tcPr>
          <w:p w14:paraId="37C4FF17"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3AAB32EE"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550F1028" w14:textId="77777777" w:rsidR="00910B7B" w:rsidRPr="00910B7B" w:rsidRDefault="00910B7B" w:rsidP="00910B7B">
            <w:pPr>
              <w:rPr>
                <w:rFonts w:cs="Arial"/>
                <w:sz w:val="22"/>
                <w:szCs w:val="22"/>
                <w:lang w:eastAsia="en-GB"/>
              </w:rPr>
            </w:pPr>
            <w:r w:rsidRPr="00910B7B">
              <w:rPr>
                <w:rFonts w:cs="Arial"/>
                <w:sz w:val="22"/>
                <w:szCs w:val="22"/>
                <w:lang w:eastAsia="en-GB"/>
              </w:rPr>
              <w:t>Department Levelling Up Housing Communities</w:t>
            </w:r>
          </w:p>
        </w:tc>
        <w:tc>
          <w:tcPr>
            <w:tcW w:w="1275" w:type="dxa"/>
            <w:tcBorders>
              <w:top w:val="nil"/>
              <w:left w:val="nil"/>
              <w:bottom w:val="nil"/>
              <w:right w:val="nil"/>
            </w:tcBorders>
            <w:shd w:val="clear" w:color="000000" w:fill="FFFFFF"/>
            <w:noWrap/>
            <w:vAlign w:val="bottom"/>
            <w:hideMark/>
          </w:tcPr>
          <w:p w14:paraId="3DEBAA65" w14:textId="77777777" w:rsidR="00910B7B" w:rsidRPr="00910B7B" w:rsidRDefault="00910B7B" w:rsidP="00910B7B">
            <w:pPr>
              <w:jc w:val="right"/>
              <w:rPr>
                <w:rFonts w:cs="Arial"/>
                <w:sz w:val="22"/>
                <w:szCs w:val="22"/>
                <w:lang w:eastAsia="en-GB"/>
              </w:rPr>
            </w:pPr>
            <w:r w:rsidRPr="00910B7B">
              <w:rPr>
                <w:rFonts w:cs="Arial"/>
                <w:sz w:val="22"/>
                <w:szCs w:val="22"/>
                <w:lang w:eastAsia="en-GB"/>
              </w:rPr>
              <w:t>127</w:t>
            </w:r>
          </w:p>
        </w:tc>
        <w:tc>
          <w:tcPr>
            <w:tcW w:w="1276" w:type="dxa"/>
            <w:tcBorders>
              <w:top w:val="nil"/>
              <w:left w:val="nil"/>
              <w:bottom w:val="nil"/>
              <w:right w:val="nil"/>
            </w:tcBorders>
            <w:shd w:val="clear" w:color="000000" w:fill="FFFFFF"/>
            <w:noWrap/>
            <w:vAlign w:val="bottom"/>
            <w:hideMark/>
          </w:tcPr>
          <w:p w14:paraId="14F4B2B2" w14:textId="77777777" w:rsidR="00910B7B" w:rsidRPr="00910B7B" w:rsidRDefault="00910B7B" w:rsidP="00910B7B">
            <w:pPr>
              <w:jc w:val="right"/>
              <w:rPr>
                <w:rFonts w:cs="Arial"/>
                <w:sz w:val="22"/>
                <w:szCs w:val="22"/>
                <w:lang w:eastAsia="en-GB"/>
              </w:rPr>
            </w:pPr>
            <w:r w:rsidRPr="00910B7B">
              <w:rPr>
                <w:rFonts w:cs="Arial"/>
                <w:sz w:val="22"/>
                <w:szCs w:val="22"/>
                <w:lang w:eastAsia="en-GB"/>
              </w:rPr>
              <w:t>47</w:t>
            </w:r>
          </w:p>
        </w:tc>
        <w:tc>
          <w:tcPr>
            <w:tcW w:w="425" w:type="dxa"/>
            <w:tcBorders>
              <w:top w:val="nil"/>
              <w:left w:val="nil"/>
              <w:bottom w:val="nil"/>
              <w:right w:val="single" w:sz="4" w:space="0" w:color="auto"/>
            </w:tcBorders>
            <w:shd w:val="clear" w:color="000000" w:fill="FFFFFF"/>
            <w:noWrap/>
            <w:vAlign w:val="bottom"/>
            <w:hideMark/>
          </w:tcPr>
          <w:p w14:paraId="0A780D84"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51230CB6"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54CDB438" w14:textId="77777777" w:rsidR="00910B7B" w:rsidRPr="00910B7B" w:rsidRDefault="00910B7B" w:rsidP="00910B7B">
            <w:pPr>
              <w:rPr>
                <w:rFonts w:cs="Arial"/>
                <w:sz w:val="22"/>
                <w:szCs w:val="22"/>
                <w:lang w:eastAsia="en-GB"/>
              </w:rPr>
            </w:pPr>
            <w:r w:rsidRPr="00910B7B">
              <w:rPr>
                <w:rFonts w:cs="Arial"/>
                <w:sz w:val="22"/>
                <w:szCs w:val="22"/>
                <w:lang w:eastAsia="en-GB"/>
              </w:rPr>
              <w:t>Heritage Lottery</w:t>
            </w:r>
          </w:p>
        </w:tc>
        <w:tc>
          <w:tcPr>
            <w:tcW w:w="1275" w:type="dxa"/>
            <w:tcBorders>
              <w:top w:val="nil"/>
              <w:left w:val="nil"/>
              <w:bottom w:val="nil"/>
              <w:right w:val="nil"/>
            </w:tcBorders>
            <w:shd w:val="clear" w:color="000000" w:fill="FFFFFF"/>
            <w:noWrap/>
            <w:vAlign w:val="bottom"/>
            <w:hideMark/>
          </w:tcPr>
          <w:p w14:paraId="7287A76D" w14:textId="77777777" w:rsidR="00910B7B" w:rsidRPr="00910B7B" w:rsidRDefault="00910B7B" w:rsidP="00910B7B">
            <w:pPr>
              <w:jc w:val="right"/>
              <w:rPr>
                <w:rFonts w:cs="Arial"/>
                <w:sz w:val="22"/>
                <w:szCs w:val="22"/>
                <w:lang w:eastAsia="en-GB"/>
              </w:rPr>
            </w:pPr>
            <w:r w:rsidRPr="00910B7B">
              <w:rPr>
                <w:rFonts w:cs="Arial"/>
                <w:sz w:val="22"/>
                <w:szCs w:val="22"/>
                <w:lang w:eastAsia="en-GB"/>
              </w:rPr>
              <w:t>0</w:t>
            </w:r>
          </w:p>
        </w:tc>
        <w:tc>
          <w:tcPr>
            <w:tcW w:w="1276" w:type="dxa"/>
            <w:tcBorders>
              <w:top w:val="nil"/>
              <w:left w:val="nil"/>
              <w:bottom w:val="nil"/>
              <w:right w:val="nil"/>
            </w:tcBorders>
            <w:shd w:val="clear" w:color="000000" w:fill="FFFFFF"/>
            <w:noWrap/>
            <w:vAlign w:val="bottom"/>
            <w:hideMark/>
          </w:tcPr>
          <w:p w14:paraId="592EEDB1" w14:textId="77777777" w:rsidR="00910B7B" w:rsidRPr="00910B7B" w:rsidRDefault="00910B7B" w:rsidP="00910B7B">
            <w:pPr>
              <w:jc w:val="right"/>
              <w:rPr>
                <w:rFonts w:cs="Arial"/>
                <w:sz w:val="22"/>
                <w:szCs w:val="22"/>
                <w:lang w:eastAsia="en-GB"/>
              </w:rPr>
            </w:pPr>
            <w:r w:rsidRPr="00910B7B">
              <w:rPr>
                <w:rFonts w:cs="Arial"/>
                <w:sz w:val="22"/>
                <w:szCs w:val="22"/>
                <w:lang w:eastAsia="en-GB"/>
              </w:rPr>
              <w:t>25</w:t>
            </w:r>
          </w:p>
        </w:tc>
        <w:tc>
          <w:tcPr>
            <w:tcW w:w="425" w:type="dxa"/>
            <w:tcBorders>
              <w:top w:val="nil"/>
              <w:left w:val="nil"/>
              <w:bottom w:val="nil"/>
              <w:right w:val="single" w:sz="4" w:space="0" w:color="auto"/>
            </w:tcBorders>
            <w:shd w:val="clear" w:color="000000" w:fill="FFFFFF"/>
            <w:noWrap/>
            <w:vAlign w:val="bottom"/>
            <w:hideMark/>
          </w:tcPr>
          <w:p w14:paraId="78618B1F"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3031D071"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48AB840C" w14:textId="77777777" w:rsidR="00910B7B" w:rsidRPr="00910B7B" w:rsidRDefault="00910B7B" w:rsidP="00910B7B">
            <w:pPr>
              <w:rPr>
                <w:rFonts w:cs="Arial"/>
                <w:sz w:val="22"/>
                <w:szCs w:val="22"/>
                <w:lang w:eastAsia="en-GB"/>
              </w:rPr>
            </w:pPr>
            <w:r w:rsidRPr="00910B7B">
              <w:rPr>
                <w:rFonts w:cs="Arial"/>
                <w:sz w:val="22"/>
                <w:szCs w:val="22"/>
                <w:lang w:eastAsia="en-GB"/>
              </w:rPr>
              <w:t>ESIF</w:t>
            </w:r>
          </w:p>
        </w:tc>
        <w:tc>
          <w:tcPr>
            <w:tcW w:w="1275" w:type="dxa"/>
            <w:tcBorders>
              <w:top w:val="nil"/>
              <w:left w:val="nil"/>
              <w:bottom w:val="nil"/>
              <w:right w:val="nil"/>
            </w:tcBorders>
            <w:shd w:val="clear" w:color="000000" w:fill="FFFFFF"/>
            <w:noWrap/>
            <w:vAlign w:val="bottom"/>
            <w:hideMark/>
          </w:tcPr>
          <w:p w14:paraId="76F5A9B5" w14:textId="77777777" w:rsidR="00910B7B" w:rsidRPr="00910B7B" w:rsidRDefault="00910B7B" w:rsidP="00910B7B">
            <w:pPr>
              <w:jc w:val="right"/>
              <w:rPr>
                <w:rFonts w:cs="Arial"/>
                <w:sz w:val="22"/>
                <w:szCs w:val="22"/>
                <w:lang w:eastAsia="en-GB"/>
              </w:rPr>
            </w:pPr>
            <w:r w:rsidRPr="00910B7B">
              <w:rPr>
                <w:rFonts w:cs="Arial"/>
                <w:sz w:val="22"/>
                <w:szCs w:val="22"/>
                <w:lang w:eastAsia="en-GB"/>
              </w:rPr>
              <w:t>12</w:t>
            </w:r>
          </w:p>
        </w:tc>
        <w:tc>
          <w:tcPr>
            <w:tcW w:w="1276" w:type="dxa"/>
            <w:tcBorders>
              <w:top w:val="nil"/>
              <w:left w:val="nil"/>
              <w:bottom w:val="nil"/>
              <w:right w:val="nil"/>
            </w:tcBorders>
            <w:shd w:val="clear" w:color="000000" w:fill="FFFFFF"/>
            <w:noWrap/>
            <w:vAlign w:val="bottom"/>
            <w:hideMark/>
          </w:tcPr>
          <w:p w14:paraId="497C6D6E" w14:textId="77777777" w:rsidR="00910B7B" w:rsidRPr="00910B7B" w:rsidRDefault="00910B7B" w:rsidP="00910B7B">
            <w:pPr>
              <w:jc w:val="right"/>
              <w:rPr>
                <w:rFonts w:cs="Arial"/>
                <w:sz w:val="22"/>
                <w:szCs w:val="22"/>
                <w:lang w:eastAsia="en-GB"/>
              </w:rPr>
            </w:pPr>
            <w:r w:rsidRPr="00910B7B">
              <w:rPr>
                <w:rFonts w:cs="Arial"/>
                <w:sz w:val="22"/>
                <w:szCs w:val="22"/>
                <w:lang w:eastAsia="en-GB"/>
              </w:rPr>
              <w:t>20</w:t>
            </w:r>
          </w:p>
        </w:tc>
        <w:tc>
          <w:tcPr>
            <w:tcW w:w="425" w:type="dxa"/>
            <w:tcBorders>
              <w:top w:val="nil"/>
              <w:left w:val="nil"/>
              <w:bottom w:val="nil"/>
              <w:right w:val="single" w:sz="4" w:space="0" w:color="auto"/>
            </w:tcBorders>
            <w:shd w:val="clear" w:color="000000" w:fill="FFFFFF"/>
            <w:noWrap/>
            <w:vAlign w:val="bottom"/>
            <w:hideMark/>
          </w:tcPr>
          <w:p w14:paraId="457EE55C"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72FBCF19"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0216469D" w14:textId="77777777" w:rsidR="00910B7B" w:rsidRPr="00910B7B" w:rsidRDefault="00910B7B" w:rsidP="00910B7B">
            <w:pPr>
              <w:rPr>
                <w:rFonts w:cs="Arial"/>
                <w:sz w:val="22"/>
                <w:szCs w:val="22"/>
                <w:lang w:eastAsia="en-GB"/>
              </w:rPr>
            </w:pPr>
            <w:r w:rsidRPr="00910B7B">
              <w:rPr>
                <w:rFonts w:cs="Arial"/>
                <w:sz w:val="22"/>
                <w:szCs w:val="22"/>
                <w:lang w:eastAsia="en-GB"/>
              </w:rPr>
              <w:t>Other Grants &amp; Contributions less than £10,000</w:t>
            </w:r>
          </w:p>
        </w:tc>
        <w:tc>
          <w:tcPr>
            <w:tcW w:w="1275" w:type="dxa"/>
            <w:tcBorders>
              <w:top w:val="nil"/>
              <w:left w:val="nil"/>
              <w:bottom w:val="nil"/>
              <w:right w:val="nil"/>
            </w:tcBorders>
            <w:shd w:val="clear" w:color="000000" w:fill="FFFFFF"/>
            <w:noWrap/>
            <w:vAlign w:val="bottom"/>
            <w:hideMark/>
          </w:tcPr>
          <w:p w14:paraId="2B9F940F" w14:textId="77777777" w:rsidR="00910B7B" w:rsidRPr="00910B7B" w:rsidRDefault="00910B7B" w:rsidP="00910B7B">
            <w:pPr>
              <w:jc w:val="right"/>
              <w:rPr>
                <w:rFonts w:cs="Arial"/>
                <w:sz w:val="22"/>
                <w:szCs w:val="22"/>
                <w:lang w:eastAsia="en-GB"/>
              </w:rPr>
            </w:pPr>
            <w:r w:rsidRPr="00910B7B">
              <w:rPr>
                <w:rFonts w:cs="Arial"/>
                <w:sz w:val="22"/>
                <w:szCs w:val="22"/>
                <w:lang w:eastAsia="en-GB"/>
              </w:rPr>
              <w:t>51</w:t>
            </w:r>
          </w:p>
        </w:tc>
        <w:tc>
          <w:tcPr>
            <w:tcW w:w="1276" w:type="dxa"/>
            <w:tcBorders>
              <w:top w:val="nil"/>
              <w:left w:val="nil"/>
              <w:bottom w:val="nil"/>
              <w:right w:val="nil"/>
            </w:tcBorders>
            <w:shd w:val="clear" w:color="000000" w:fill="FFFFFF"/>
            <w:noWrap/>
            <w:vAlign w:val="bottom"/>
            <w:hideMark/>
          </w:tcPr>
          <w:p w14:paraId="23FFBE92" w14:textId="77777777" w:rsidR="00910B7B" w:rsidRPr="00910B7B" w:rsidRDefault="00910B7B" w:rsidP="00910B7B">
            <w:pPr>
              <w:jc w:val="right"/>
              <w:rPr>
                <w:rFonts w:cs="Arial"/>
                <w:sz w:val="22"/>
                <w:szCs w:val="22"/>
                <w:lang w:eastAsia="en-GB"/>
              </w:rPr>
            </w:pPr>
            <w:r w:rsidRPr="00910B7B">
              <w:rPr>
                <w:rFonts w:cs="Arial"/>
                <w:sz w:val="22"/>
                <w:szCs w:val="22"/>
                <w:lang w:eastAsia="en-GB"/>
              </w:rPr>
              <w:t>1</w:t>
            </w:r>
          </w:p>
        </w:tc>
        <w:tc>
          <w:tcPr>
            <w:tcW w:w="425" w:type="dxa"/>
            <w:tcBorders>
              <w:top w:val="nil"/>
              <w:left w:val="nil"/>
              <w:bottom w:val="nil"/>
              <w:right w:val="single" w:sz="4" w:space="0" w:color="auto"/>
            </w:tcBorders>
            <w:shd w:val="clear" w:color="000000" w:fill="FFFFFF"/>
            <w:noWrap/>
            <w:vAlign w:val="bottom"/>
            <w:hideMark/>
          </w:tcPr>
          <w:p w14:paraId="253EBD95"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284AF7A0"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4144E758" w14:textId="77777777" w:rsidR="00910B7B" w:rsidRPr="00910B7B" w:rsidRDefault="00910B7B" w:rsidP="00910B7B">
            <w:pPr>
              <w:rPr>
                <w:rFonts w:cs="Arial"/>
                <w:sz w:val="22"/>
                <w:szCs w:val="22"/>
                <w:lang w:eastAsia="en-GB"/>
              </w:rPr>
            </w:pPr>
            <w:r w:rsidRPr="00910B7B">
              <w:rPr>
                <w:rFonts w:cs="Arial"/>
                <w:sz w:val="22"/>
                <w:szCs w:val="22"/>
                <w:lang w:eastAsia="en-GB"/>
              </w:rPr>
              <w:t>National Grid</w:t>
            </w:r>
          </w:p>
        </w:tc>
        <w:tc>
          <w:tcPr>
            <w:tcW w:w="1275" w:type="dxa"/>
            <w:tcBorders>
              <w:top w:val="nil"/>
              <w:left w:val="nil"/>
              <w:bottom w:val="nil"/>
              <w:right w:val="nil"/>
            </w:tcBorders>
            <w:shd w:val="clear" w:color="000000" w:fill="FFFFFF"/>
            <w:noWrap/>
            <w:vAlign w:val="bottom"/>
            <w:hideMark/>
          </w:tcPr>
          <w:p w14:paraId="0B6BFF27" w14:textId="77777777" w:rsidR="00910B7B" w:rsidRPr="00910B7B" w:rsidRDefault="00910B7B" w:rsidP="00910B7B">
            <w:pPr>
              <w:jc w:val="right"/>
              <w:rPr>
                <w:rFonts w:cs="Arial"/>
                <w:sz w:val="22"/>
                <w:szCs w:val="22"/>
                <w:lang w:eastAsia="en-GB"/>
              </w:rPr>
            </w:pPr>
            <w:r w:rsidRPr="00910B7B">
              <w:rPr>
                <w:rFonts w:cs="Arial"/>
                <w:sz w:val="22"/>
                <w:szCs w:val="22"/>
                <w:lang w:eastAsia="en-GB"/>
              </w:rPr>
              <w:t>300</w:t>
            </w:r>
          </w:p>
        </w:tc>
        <w:tc>
          <w:tcPr>
            <w:tcW w:w="1276" w:type="dxa"/>
            <w:tcBorders>
              <w:top w:val="nil"/>
              <w:left w:val="nil"/>
              <w:bottom w:val="nil"/>
              <w:right w:val="nil"/>
            </w:tcBorders>
            <w:shd w:val="clear" w:color="000000" w:fill="FFFFFF"/>
            <w:noWrap/>
            <w:vAlign w:val="bottom"/>
            <w:hideMark/>
          </w:tcPr>
          <w:p w14:paraId="49282906" w14:textId="77777777" w:rsidR="00910B7B" w:rsidRPr="00910B7B" w:rsidRDefault="00910B7B" w:rsidP="00910B7B">
            <w:pPr>
              <w:jc w:val="right"/>
              <w:rPr>
                <w:rFonts w:cs="Arial"/>
                <w:sz w:val="22"/>
                <w:szCs w:val="22"/>
                <w:lang w:eastAsia="en-GB"/>
              </w:rPr>
            </w:pPr>
            <w:r w:rsidRPr="00910B7B">
              <w:rPr>
                <w:rFonts w:cs="Arial"/>
                <w:sz w:val="22"/>
                <w:szCs w:val="22"/>
                <w:lang w:eastAsia="en-GB"/>
              </w:rPr>
              <w:t>261</w:t>
            </w:r>
          </w:p>
        </w:tc>
        <w:tc>
          <w:tcPr>
            <w:tcW w:w="425" w:type="dxa"/>
            <w:tcBorders>
              <w:top w:val="nil"/>
              <w:left w:val="nil"/>
              <w:bottom w:val="nil"/>
              <w:right w:val="single" w:sz="4" w:space="0" w:color="auto"/>
            </w:tcBorders>
            <w:shd w:val="clear" w:color="000000" w:fill="FFFFFF"/>
            <w:noWrap/>
            <w:vAlign w:val="bottom"/>
            <w:hideMark/>
          </w:tcPr>
          <w:p w14:paraId="24BAAB51"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028942DD" w14:textId="77777777" w:rsidTr="00910B7B">
        <w:trPr>
          <w:trHeight w:val="290"/>
          <w:jc w:val="center"/>
        </w:trPr>
        <w:tc>
          <w:tcPr>
            <w:tcW w:w="4957" w:type="dxa"/>
            <w:tcBorders>
              <w:top w:val="nil"/>
              <w:left w:val="single" w:sz="4" w:space="0" w:color="auto"/>
              <w:bottom w:val="nil"/>
              <w:right w:val="nil"/>
            </w:tcBorders>
            <w:shd w:val="clear" w:color="000000" w:fill="FFFFFF"/>
            <w:noWrap/>
            <w:vAlign w:val="bottom"/>
            <w:hideMark/>
          </w:tcPr>
          <w:p w14:paraId="5F0A8D9D" w14:textId="77777777" w:rsidR="00910B7B" w:rsidRPr="00910B7B" w:rsidRDefault="00910B7B" w:rsidP="00910B7B">
            <w:pPr>
              <w:rPr>
                <w:rFonts w:cs="Arial"/>
                <w:sz w:val="22"/>
                <w:szCs w:val="22"/>
                <w:lang w:eastAsia="en-GB"/>
              </w:rPr>
            </w:pPr>
            <w:r w:rsidRPr="00910B7B">
              <w:rPr>
                <w:rFonts w:cs="Arial"/>
                <w:sz w:val="22"/>
                <w:szCs w:val="22"/>
                <w:lang w:eastAsia="en-GB"/>
              </w:rPr>
              <w:t>Woodland Trust</w:t>
            </w:r>
          </w:p>
        </w:tc>
        <w:tc>
          <w:tcPr>
            <w:tcW w:w="1275" w:type="dxa"/>
            <w:tcBorders>
              <w:top w:val="nil"/>
              <w:left w:val="nil"/>
              <w:bottom w:val="nil"/>
              <w:right w:val="nil"/>
            </w:tcBorders>
            <w:shd w:val="clear" w:color="000000" w:fill="FFFFFF"/>
            <w:noWrap/>
            <w:vAlign w:val="bottom"/>
            <w:hideMark/>
          </w:tcPr>
          <w:p w14:paraId="32E7ADBB" w14:textId="77777777" w:rsidR="00910B7B" w:rsidRPr="00910B7B" w:rsidRDefault="00910B7B" w:rsidP="00910B7B">
            <w:pPr>
              <w:jc w:val="right"/>
              <w:rPr>
                <w:rFonts w:cs="Arial"/>
                <w:sz w:val="22"/>
                <w:szCs w:val="22"/>
                <w:lang w:eastAsia="en-GB"/>
              </w:rPr>
            </w:pPr>
            <w:r w:rsidRPr="00910B7B">
              <w:rPr>
                <w:rFonts w:cs="Arial"/>
                <w:sz w:val="22"/>
                <w:szCs w:val="22"/>
                <w:lang w:eastAsia="en-GB"/>
              </w:rPr>
              <w:t>15</w:t>
            </w:r>
          </w:p>
        </w:tc>
        <w:tc>
          <w:tcPr>
            <w:tcW w:w="1276" w:type="dxa"/>
            <w:tcBorders>
              <w:top w:val="nil"/>
              <w:left w:val="nil"/>
              <w:bottom w:val="nil"/>
              <w:right w:val="nil"/>
            </w:tcBorders>
            <w:shd w:val="clear" w:color="000000" w:fill="FFFFFF"/>
            <w:noWrap/>
            <w:vAlign w:val="bottom"/>
            <w:hideMark/>
          </w:tcPr>
          <w:p w14:paraId="7D00B5C6" w14:textId="77777777" w:rsidR="00910B7B" w:rsidRPr="00910B7B" w:rsidRDefault="00910B7B" w:rsidP="00910B7B">
            <w:pPr>
              <w:jc w:val="right"/>
              <w:rPr>
                <w:rFonts w:cs="Arial"/>
                <w:sz w:val="22"/>
                <w:szCs w:val="22"/>
                <w:lang w:eastAsia="en-GB"/>
              </w:rPr>
            </w:pPr>
            <w:r w:rsidRPr="00910B7B">
              <w:rPr>
                <w:rFonts w:cs="Arial"/>
                <w:sz w:val="22"/>
                <w:szCs w:val="22"/>
                <w:lang w:eastAsia="en-GB"/>
              </w:rPr>
              <w:t>15</w:t>
            </w:r>
          </w:p>
        </w:tc>
        <w:tc>
          <w:tcPr>
            <w:tcW w:w="425" w:type="dxa"/>
            <w:tcBorders>
              <w:top w:val="nil"/>
              <w:left w:val="nil"/>
              <w:bottom w:val="nil"/>
              <w:right w:val="single" w:sz="4" w:space="0" w:color="auto"/>
            </w:tcBorders>
            <w:shd w:val="clear" w:color="000000" w:fill="FFFFFF"/>
            <w:noWrap/>
            <w:vAlign w:val="bottom"/>
            <w:hideMark/>
          </w:tcPr>
          <w:p w14:paraId="1F4A5AC7"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01CEECF9" w14:textId="77777777" w:rsidTr="00162C02">
        <w:trPr>
          <w:trHeight w:val="290"/>
          <w:jc w:val="center"/>
        </w:trPr>
        <w:tc>
          <w:tcPr>
            <w:tcW w:w="4957" w:type="dxa"/>
            <w:tcBorders>
              <w:top w:val="nil"/>
              <w:left w:val="single" w:sz="4" w:space="0" w:color="auto"/>
              <w:bottom w:val="nil"/>
              <w:right w:val="nil"/>
            </w:tcBorders>
            <w:shd w:val="clear" w:color="000000" w:fill="FFFFFF"/>
            <w:noWrap/>
            <w:vAlign w:val="bottom"/>
            <w:hideMark/>
          </w:tcPr>
          <w:p w14:paraId="66D6BF19" w14:textId="77777777" w:rsidR="00910B7B" w:rsidRPr="00910B7B" w:rsidRDefault="00910B7B" w:rsidP="00910B7B">
            <w:pPr>
              <w:rPr>
                <w:rFonts w:cs="Arial"/>
                <w:sz w:val="22"/>
                <w:szCs w:val="22"/>
                <w:lang w:eastAsia="en-GB"/>
              </w:rPr>
            </w:pPr>
            <w:r w:rsidRPr="00910B7B">
              <w:rPr>
                <w:rFonts w:cs="Arial"/>
                <w:sz w:val="22"/>
                <w:szCs w:val="22"/>
                <w:lang w:eastAsia="en-GB"/>
              </w:rPr>
              <w:t>Revere</w:t>
            </w:r>
          </w:p>
        </w:tc>
        <w:tc>
          <w:tcPr>
            <w:tcW w:w="1275" w:type="dxa"/>
            <w:tcBorders>
              <w:top w:val="nil"/>
              <w:left w:val="nil"/>
              <w:bottom w:val="nil"/>
              <w:right w:val="nil"/>
            </w:tcBorders>
            <w:shd w:val="clear" w:color="auto" w:fill="auto"/>
            <w:noWrap/>
            <w:vAlign w:val="bottom"/>
            <w:hideMark/>
          </w:tcPr>
          <w:p w14:paraId="576DFF5E" w14:textId="77777777" w:rsidR="00910B7B" w:rsidRPr="00910B7B" w:rsidRDefault="00910B7B" w:rsidP="00910B7B">
            <w:pPr>
              <w:jc w:val="right"/>
              <w:rPr>
                <w:rFonts w:cs="Arial"/>
                <w:sz w:val="22"/>
                <w:szCs w:val="22"/>
                <w:lang w:eastAsia="en-GB"/>
              </w:rPr>
            </w:pPr>
            <w:r w:rsidRPr="00910B7B">
              <w:rPr>
                <w:rFonts w:cs="Arial"/>
                <w:sz w:val="22"/>
                <w:szCs w:val="22"/>
                <w:lang w:eastAsia="en-GB"/>
              </w:rPr>
              <w:t>68</w:t>
            </w:r>
          </w:p>
        </w:tc>
        <w:tc>
          <w:tcPr>
            <w:tcW w:w="1276" w:type="dxa"/>
            <w:tcBorders>
              <w:top w:val="nil"/>
              <w:left w:val="nil"/>
              <w:bottom w:val="nil"/>
              <w:right w:val="nil"/>
            </w:tcBorders>
            <w:shd w:val="clear" w:color="auto" w:fill="auto"/>
            <w:noWrap/>
            <w:vAlign w:val="bottom"/>
            <w:hideMark/>
          </w:tcPr>
          <w:p w14:paraId="31EAAF76" w14:textId="77777777" w:rsidR="00910B7B" w:rsidRPr="00910B7B" w:rsidRDefault="00910B7B" w:rsidP="00910B7B">
            <w:pPr>
              <w:jc w:val="right"/>
              <w:rPr>
                <w:rFonts w:cs="Arial"/>
                <w:sz w:val="22"/>
                <w:szCs w:val="22"/>
                <w:lang w:eastAsia="en-GB"/>
              </w:rPr>
            </w:pPr>
            <w:r w:rsidRPr="00910B7B">
              <w:rPr>
                <w:rFonts w:cs="Arial"/>
                <w:sz w:val="22"/>
                <w:szCs w:val="22"/>
                <w:lang w:eastAsia="en-GB"/>
              </w:rPr>
              <w:t>62</w:t>
            </w:r>
          </w:p>
        </w:tc>
        <w:tc>
          <w:tcPr>
            <w:tcW w:w="425" w:type="dxa"/>
            <w:tcBorders>
              <w:top w:val="nil"/>
              <w:left w:val="nil"/>
              <w:bottom w:val="nil"/>
              <w:right w:val="single" w:sz="4" w:space="0" w:color="auto"/>
            </w:tcBorders>
            <w:shd w:val="clear" w:color="auto" w:fill="auto"/>
            <w:noWrap/>
            <w:vAlign w:val="bottom"/>
            <w:hideMark/>
          </w:tcPr>
          <w:p w14:paraId="135A1471"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02BFFA60" w14:textId="77777777" w:rsidTr="00162C02">
        <w:trPr>
          <w:trHeight w:val="290"/>
          <w:jc w:val="center"/>
        </w:trPr>
        <w:tc>
          <w:tcPr>
            <w:tcW w:w="4957" w:type="dxa"/>
            <w:tcBorders>
              <w:top w:val="nil"/>
              <w:left w:val="single" w:sz="4" w:space="0" w:color="auto"/>
              <w:bottom w:val="nil"/>
              <w:right w:val="nil"/>
            </w:tcBorders>
            <w:shd w:val="clear" w:color="000000" w:fill="FFFFFF"/>
            <w:noWrap/>
            <w:vAlign w:val="bottom"/>
            <w:hideMark/>
          </w:tcPr>
          <w:p w14:paraId="7A65CF97" w14:textId="77777777" w:rsidR="00910B7B" w:rsidRPr="00910B7B" w:rsidRDefault="00910B7B" w:rsidP="00910B7B">
            <w:pPr>
              <w:rPr>
                <w:rFonts w:cs="Arial"/>
                <w:sz w:val="22"/>
                <w:szCs w:val="22"/>
                <w:lang w:eastAsia="en-GB"/>
              </w:rPr>
            </w:pPr>
            <w:r w:rsidRPr="00910B7B">
              <w:rPr>
                <w:rFonts w:cs="Arial"/>
                <w:sz w:val="22"/>
                <w:szCs w:val="22"/>
                <w:lang w:eastAsia="en-GB"/>
              </w:rPr>
              <w:t>NDA (Nuclear Decommissioning Authority)</w:t>
            </w:r>
          </w:p>
        </w:tc>
        <w:tc>
          <w:tcPr>
            <w:tcW w:w="1275" w:type="dxa"/>
            <w:tcBorders>
              <w:top w:val="nil"/>
              <w:left w:val="nil"/>
              <w:bottom w:val="nil"/>
              <w:right w:val="nil"/>
            </w:tcBorders>
            <w:shd w:val="clear" w:color="auto" w:fill="auto"/>
            <w:noWrap/>
            <w:vAlign w:val="bottom"/>
            <w:hideMark/>
          </w:tcPr>
          <w:p w14:paraId="2ED9CA78" w14:textId="77777777" w:rsidR="00910B7B" w:rsidRPr="00910B7B" w:rsidRDefault="00910B7B" w:rsidP="00910B7B">
            <w:pPr>
              <w:jc w:val="right"/>
              <w:rPr>
                <w:rFonts w:cs="Arial"/>
                <w:sz w:val="22"/>
                <w:szCs w:val="22"/>
                <w:lang w:eastAsia="en-GB"/>
              </w:rPr>
            </w:pPr>
            <w:r w:rsidRPr="00910B7B">
              <w:rPr>
                <w:rFonts w:cs="Arial"/>
                <w:sz w:val="22"/>
                <w:szCs w:val="22"/>
                <w:lang w:eastAsia="en-GB"/>
              </w:rPr>
              <w:t>100</w:t>
            </w:r>
          </w:p>
        </w:tc>
        <w:tc>
          <w:tcPr>
            <w:tcW w:w="1276" w:type="dxa"/>
            <w:tcBorders>
              <w:top w:val="nil"/>
              <w:left w:val="nil"/>
              <w:bottom w:val="nil"/>
              <w:right w:val="nil"/>
            </w:tcBorders>
            <w:shd w:val="clear" w:color="auto" w:fill="auto"/>
            <w:noWrap/>
            <w:vAlign w:val="bottom"/>
            <w:hideMark/>
          </w:tcPr>
          <w:p w14:paraId="74393CAD" w14:textId="77777777" w:rsidR="00910B7B" w:rsidRPr="00910B7B" w:rsidRDefault="00910B7B" w:rsidP="00910B7B">
            <w:pPr>
              <w:jc w:val="right"/>
              <w:rPr>
                <w:rFonts w:cs="Arial"/>
                <w:sz w:val="22"/>
                <w:szCs w:val="22"/>
                <w:lang w:eastAsia="en-GB"/>
              </w:rPr>
            </w:pPr>
            <w:r w:rsidRPr="00910B7B">
              <w:rPr>
                <w:rFonts w:cs="Arial"/>
                <w:sz w:val="22"/>
                <w:szCs w:val="22"/>
                <w:lang w:eastAsia="en-GB"/>
              </w:rPr>
              <w:t>5</w:t>
            </w:r>
          </w:p>
        </w:tc>
        <w:tc>
          <w:tcPr>
            <w:tcW w:w="425" w:type="dxa"/>
            <w:tcBorders>
              <w:top w:val="nil"/>
              <w:left w:val="nil"/>
              <w:bottom w:val="nil"/>
              <w:right w:val="single" w:sz="4" w:space="0" w:color="auto"/>
            </w:tcBorders>
            <w:shd w:val="clear" w:color="auto" w:fill="auto"/>
            <w:noWrap/>
            <w:vAlign w:val="bottom"/>
            <w:hideMark/>
          </w:tcPr>
          <w:p w14:paraId="52D9A5F1"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4DF73F90" w14:textId="77777777" w:rsidTr="00162C02">
        <w:trPr>
          <w:trHeight w:val="290"/>
          <w:jc w:val="center"/>
        </w:trPr>
        <w:tc>
          <w:tcPr>
            <w:tcW w:w="4957" w:type="dxa"/>
            <w:tcBorders>
              <w:top w:val="nil"/>
              <w:left w:val="single" w:sz="4" w:space="0" w:color="auto"/>
              <w:bottom w:val="nil"/>
              <w:right w:val="nil"/>
            </w:tcBorders>
            <w:shd w:val="clear" w:color="000000" w:fill="FFFFFF"/>
            <w:noWrap/>
            <w:vAlign w:val="bottom"/>
            <w:hideMark/>
          </w:tcPr>
          <w:p w14:paraId="19F4F6F7" w14:textId="77777777" w:rsidR="00910B7B" w:rsidRPr="00910B7B" w:rsidRDefault="00910B7B" w:rsidP="00910B7B">
            <w:pPr>
              <w:rPr>
                <w:rFonts w:cs="Arial"/>
                <w:sz w:val="22"/>
                <w:szCs w:val="22"/>
                <w:lang w:eastAsia="en-GB"/>
              </w:rPr>
            </w:pPr>
            <w:r w:rsidRPr="00910B7B">
              <w:rPr>
                <w:rFonts w:cs="Arial"/>
                <w:sz w:val="22"/>
                <w:szCs w:val="22"/>
                <w:lang w:eastAsia="en-GB"/>
              </w:rPr>
              <w:t>ERDF</w:t>
            </w:r>
          </w:p>
        </w:tc>
        <w:tc>
          <w:tcPr>
            <w:tcW w:w="1275" w:type="dxa"/>
            <w:tcBorders>
              <w:top w:val="nil"/>
              <w:left w:val="nil"/>
              <w:bottom w:val="nil"/>
              <w:right w:val="nil"/>
            </w:tcBorders>
            <w:shd w:val="clear" w:color="auto" w:fill="auto"/>
            <w:noWrap/>
            <w:vAlign w:val="bottom"/>
            <w:hideMark/>
          </w:tcPr>
          <w:p w14:paraId="65B31D26" w14:textId="77777777" w:rsidR="00910B7B" w:rsidRPr="00162C02" w:rsidRDefault="00910B7B" w:rsidP="00910B7B">
            <w:pPr>
              <w:jc w:val="right"/>
              <w:rPr>
                <w:rFonts w:cs="Arial"/>
                <w:sz w:val="22"/>
                <w:szCs w:val="22"/>
                <w:lang w:eastAsia="en-GB"/>
              </w:rPr>
            </w:pPr>
            <w:r w:rsidRPr="00162C02">
              <w:rPr>
                <w:rFonts w:cs="Arial"/>
                <w:sz w:val="22"/>
                <w:szCs w:val="22"/>
                <w:lang w:eastAsia="en-GB"/>
              </w:rPr>
              <w:t>196</w:t>
            </w:r>
          </w:p>
        </w:tc>
        <w:tc>
          <w:tcPr>
            <w:tcW w:w="1276" w:type="dxa"/>
            <w:tcBorders>
              <w:top w:val="nil"/>
              <w:left w:val="nil"/>
              <w:bottom w:val="nil"/>
              <w:right w:val="nil"/>
            </w:tcBorders>
            <w:shd w:val="clear" w:color="auto" w:fill="auto"/>
            <w:noWrap/>
            <w:vAlign w:val="bottom"/>
            <w:hideMark/>
          </w:tcPr>
          <w:p w14:paraId="23722D39" w14:textId="77777777" w:rsidR="00910B7B" w:rsidRPr="00162C02" w:rsidRDefault="00910B7B" w:rsidP="00910B7B">
            <w:pPr>
              <w:jc w:val="right"/>
              <w:rPr>
                <w:rFonts w:cs="Arial"/>
                <w:sz w:val="22"/>
                <w:szCs w:val="22"/>
                <w:lang w:eastAsia="en-GB"/>
              </w:rPr>
            </w:pPr>
            <w:r w:rsidRPr="00162C02">
              <w:rPr>
                <w:rFonts w:cs="Arial"/>
                <w:sz w:val="22"/>
                <w:szCs w:val="22"/>
                <w:lang w:eastAsia="en-GB"/>
              </w:rPr>
              <w:t>0</w:t>
            </w:r>
          </w:p>
        </w:tc>
        <w:tc>
          <w:tcPr>
            <w:tcW w:w="425" w:type="dxa"/>
            <w:tcBorders>
              <w:top w:val="nil"/>
              <w:left w:val="nil"/>
              <w:bottom w:val="nil"/>
              <w:right w:val="single" w:sz="4" w:space="0" w:color="auto"/>
            </w:tcBorders>
            <w:shd w:val="clear" w:color="auto" w:fill="auto"/>
            <w:noWrap/>
            <w:vAlign w:val="bottom"/>
            <w:hideMark/>
          </w:tcPr>
          <w:p w14:paraId="6E3DA531"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68E13016" w14:textId="77777777" w:rsidTr="00162C02">
        <w:trPr>
          <w:trHeight w:val="290"/>
          <w:jc w:val="center"/>
        </w:trPr>
        <w:tc>
          <w:tcPr>
            <w:tcW w:w="4957" w:type="dxa"/>
            <w:tcBorders>
              <w:top w:val="nil"/>
              <w:left w:val="single" w:sz="4" w:space="0" w:color="auto"/>
              <w:bottom w:val="nil"/>
              <w:right w:val="nil"/>
            </w:tcBorders>
            <w:shd w:val="clear" w:color="000000" w:fill="FFFFFF"/>
            <w:noWrap/>
            <w:vAlign w:val="bottom"/>
            <w:hideMark/>
          </w:tcPr>
          <w:p w14:paraId="214E4D68" w14:textId="77777777" w:rsidR="00910B7B" w:rsidRPr="00910B7B" w:rsidRDefault="00910B7B" w:rsidP="00910B7B">
            <w:pPr>
              <w:rPr>
                <w:rFonts w:cs="Arial"/>
                <w:sz w:val="22"/>
                <w:szCs w:val="22"/>
                <w:lang w:eastAsia="en-GB"/>
              </w:rPr>
            </w:pPr>
            <w:r w:rsidRPr="00910B7B">
              <w:rPr>
                <w:rFonts w:cs="Arial"/>
                <w:sz w:val="22"/>
                <w:szCs w:val="22"/>
                <w:lang w:eastAsia="en-GB"/>
              </w:rPr>
              <w:t>Copeland Borough Council</w:t>
            </w:r>
          </w:p>
        </w:tc>
        <w:tc>
          <w:tcPr>
            <w:tcW w:w="1275" w:type="dxa"/>
            <w:tcBorders>
              <w:top w:val="nil"/>
              <w:left w:val="nil"/>
              <w:bottom w:val="nil"/>
              <w:right w:val="nil"/>
            </w:tcBorders>
            <w:shd w:val="clear" w:color="auto" w:fill="auto"/>
            <w:noWrap/>
            <w:vAlign w:val="bottom"/>
            <w:hideMark/>
          </w:tcPr>
          <w:p w14:paraId="53FC5D4E" w14:textId="77777777" w:rsidR="00910B7B" w:rsidRPr="00910B7B" w:rsidRDefault="00910B7B" w:rsidP="00910B7B">
            <w:pPr>
              <w:jc w:val="right"/>
              <w:rPr>
                <w:rFonts w:cs="Arial"/>
                <w:sz w:val="22"/>
                <w:szCs w:val="22"/>
                <w:lang w:eastAsia="en-GB"/>
              </w:rPr>
            </w:pPr>
            <w:r w:rsidRPr="00910B7B">
              <w:rPr>
                <w:rFonts w:cs="Arial"/>
                <w:sz w:val="22"/>
                <w:szCs w:val="22"/>
                <w:lang w:eastAsia="en-GB"/>
              </w:rPr>
              <w:t>25</w:t>
            </w:r>
          </w:p>
        </w:tc>
        <w:tc>
          <w:tcPr>
            <w:tcW w:w="1276" w:type="dxa"/>
            <w:tcBorders>
              <w:top w:val="nil"/>
              <w:left w:val="nil"/>
              <w:bottom w:val="nil"/>
              <w:right w:val="nil"/>
            </w:tcBorders>
            <w:shd w:val="clear" w:color="auto" w:fill="auto"/>
            <w:noWrap/>
            <w:vAlign w:val="bottom"/>
            <w:hideMark/>
          </w:tcPr>
          <w:p w14:paraId="139460F7" w14:textId="77777777" w:rsidR="00910B7B" w:rsidRPr="00910B7B" w:rsidRDefault="00910B7B" w:rsidP="00910B7B">
            <w:pPr>
              <w:jc w:val="right"/>
              <w:rPr>
                <w:rFonts w:cs="Arial"/>
                <w:sz w:val="22"/>
                <w:szCs w:val="22"/>
                <w:lang w:eastAsia="en-GB"/>
              </w:rPr>
            </w:pPr>
            <w:r w:rsidRPr="00910B7B">
              <w:rPr>
                <w:rFonts w:cs="Arial"/>
                <w:sz w:val="22"/>
                <w:szCs w:val="22"/>
                <w:lang w:eastAsia="en-GB"/>
              </w:rPr>
              <w:t>74</w:t>
            </w:r>
          </w:p>
        </w:tc>
        <w:tc>
          <w:tcPr>
            <w:tcW w:w="425" w:type="dxa"/>
            <w:tcBorders>
              <w:top w:val="nil"/>
              <w:left w:val="nil"/>
              <w:bottom w:val="nil"/>
              <w:right w:val="single" w:sz="4" w:space="0" w:color="auto"/>
            </w:tcBorders>
            <w:shd w:val="clear" w:color="auto" w:fill="auto"/>
            <w:noWrap/>
            <w:vAlign w:val="bottom"/>
            <w:hideMark/>
          </w:tcPr>
          <w:p w14:paraId="3E589F39"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798A2CF2" w14:textId="77777777" w:rsidTr="00162C02">
        <w:trPr>
          <w:trHeight w:val="290"/>
          <w:jc w:val="center"/>
        </w:trPr>
        <w:tc>
          <w:tcPr>
            <w:tcW w:w="4957" w:type="dxa"/>
            <w:tcBorders>
              <w:top w:val="nil"/>
              <w:left w:val="single" w:sz="4" w:space="0" w:color="auto"/>
              <w:bottom w:val="nil"/>
              <w:right w:val="nil"/>
            </w:tcBorders>
            <w:shd w:val="clear" w:color="000000" w:fill="FFFFFF"/>
            <w:noWrap/>
            <w:vAlign w:val="bottom"/>
            <w:hideMark/>
          </w:tcPr>
          <w:p w14:paraId="21FEA8CA" w14:textId="77777777" w:rsidR="00910B7B" w:rsidRPr="00910B7B" w:rsidRDefault="00910B7B" w:rsidP="00910B7B">
            <w:pPr>
              <w:rPr>
                <w:rFonts w:cs="Arial"/>
                <w:sz w:val="22"/>
                <w:szCs w:val="22"/>
                <w:lang w:eastAsia="en-GB"/>
              </w:rPr>
            </w:pPr>
            <w:r w:rsidRPr="00910B7B">
              <w:rPr>
                <w:rFonts w:cs="Arial"/>
                <w:sz w:val="22"/>
                <w:szCs w:val="22"/>
                <w:lang w:eastAsia="en-GB"/>
              </w:rPr>
              <w:t>Eden District Council</w:t>
            </w:r>
          </w:p>
        </w:tc>
        <w:tc>
          <w:tcPr>
            <w:tcW w:w="1275" w:type="dxa"/>
            <w:tcBorders>
              <w:top w:val="nil"/>
              <w:left w:val="nil"/>
              <w:bottom w:val="nil"/>
              <w:right w:val="nil"/>
            </w:tcBorders>
            <w:shd w:val="clear" w:color="auto" w:fill="auto"/>
            <w:noWrap/>
            <w:vAlign w:val="bottom"/>
            <w:hideMark/>
          </w:tcPr>
          <w:p w14:paraId="419E1D55" w14:textId="77777777" w:rsidR="00910B7B" w:rsidRPr="00910B7B" w:rsidRDefault="00910B7B" w:rsidP="00910B7B">
            <w:pPr>
              <w:jc w:val="right"/>
              <w:rPr>
                <w:rFonts w:cs="Arial"/>
                <w:sz w:val="22"/>
                <w:szCs w:val="22"/>
                <w:lang w:eastAsia="en-GB"/>
              </w:rPr>
            </w:pPr>
            <w:r w:rsidRPr="00910B7B">
              <w:rPr>
                <w:rFonts w:cs="Arial"/>
                <w:sz w:val="22"/>
                <w:szCs w:val="22"/>
                <w:lang w:eastAsia="en-GB"/>
              </w:rPr>
              <w:t>12</w:t>
            </w:r>
          </w:p>
        </w:tc>
        <w:tc>
          <w:tcPr>
            <w:tcW w:w="1276" w:type="dxa"/>
            <w:tcBorders>
              <w:top w:val="nil"/>
              <w:left w:val="nil"/>
              <w:bottom w:val="nil"/>
              <w:right w:val="nil"/>
            </w:tcBorders>
            <w:shd w:val="clear" w:color="auto" w:fill="auto"/>
            <w:noWrap/>
            <w:vAlign w:val="bottom"/>
            <w:hideMark/>
          </w:tcPr>
          <w:p w14:paraId="69D81873" w14:textId="77777777" w:rsidR="00910B7B" w:rsidRPr="00910B7B" w:rsidRDefault="00910B7B" w:rsidP="00910B7B">
            <w:pPr>
              <w:jc w:val="right"/>
              <w:rPr>
                <w:rFonts w:cs="Arial"/>
                <w:sz w:val="22"/>
                <w:szCs w:val="22"/>
                <w:lang w:eastAsia="en-GB"/>
              </w:rPr>
            </w:pPr>
            <w:r w:rsidRPr="00910B7B">
              <w:rPr>
                <w:rFonts w:cs="Arial"/>
                <w:sz w:val="22"/>
                <w:szCs w:val="22"/>
                <w:lang w:eastAsia="en-GB"/>
              </w:rPr>
              <w:t>0</w:t>
            </w:r>
          </w:p>
        </w:tc>
        <w:tc>
          <w:tcPr>
            <w:tcW w:w="425" w:type="dxa"/>
            <w:tcBorders>
              <w:top w:val="nil"/>
              <w:left w:val="nil"/>
              <w:bottom w:val="nil"/>
              <w:right w:val="single" w:sz="4" w:space="0" w:color="auto"/>
            </w:tcBorders>
            <w:shd w:val="clear" w:color="auto" w:fill="auto"/>
            <w:noWrap/>
            <w:vAlign w:val="bottom"/>
            <w:hideMark/>
          </w:tcPr>
          <w:p w14:paraId="222ED410"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20D05A2A" w14:textId="77777777" w:rsidTr="00162C02">
        <w:trPr>
          <w:trHeight w:val="290"/>
          <w:jc w:val="center"/>
        </w:trPr>
        <w:tc>
          <w:tcPr>
            <w:tcW w:w="4957" w:type="dxa"/>
            <w:tcBorders>
              <w:top w:val="nil"/>
              <w:left w:val="single" w:sz="4" w:space="0" w:color="auto"/>
              <w:bottom w:val="nil"/>
              <w:right w:val="nil"/>
            </w:tcBorders>
            <w:shd w:val="clear" w:color="000000" w:fill="FFFFFF"/>
            <w:noWrap/>
            <w:vAlign w:val="bottom"/>
            <w:hideMark/>
          </w:tcPr>
          <w:p w14:paraId="44EB3687" w14:textId="77777777" w:rsidR="00910B7B" w:rsidRPr="00910B7B" w:rsidRDefault="00910B7B" w:rsidP="00910B7B">
            <w:pPr>
              <w:rPr>
                <w:rFonts w:cs="Arial"/>
                <w:sz w:val="22"/>
                <w:szCs w:val="22"/>
                <w:lang w:eastAsia="en-GB"/>
              </w:rPr>
            </w:pPr>
            <w:r w:rsidRPr="00910B7B">
              <w:rPr>
                <w:rFonts w:cs="Arial"/>
                <w:sz w:val="22"/>
                <w:szCs w:val="22"/>
                <w:lang w:eastAsia="en-GB"/>
              </w:rPr>
              <w:t>Natural England</w:t>
            </w:r>
          </w:p>
        </w:tc>
        <w:tc>
          <w:tcPr>
            <w:tcW w:w="1275" w:type="dxa"/>
            <w:tcBorders>
              <w:top w:val="nil"/>
              <w:left w:val="nil"/>
              <w:bottom w:val="nil"/>
              <w:right w:val="nil"/>
            </w:tcBorders>
            <w:shd w:val="clear" w:color="auto" w:fill="auto"/>
            <w:noWrap/>
            <w:vAlign w:val="bottom"/>
            <w:hideMark/>
          </w:tcPr>
          <w:p w14:paraId="0E97A134" w14:textId="77777777" w:rsidR="00910B7B" w:rsidRPr="00910B7B" w:rsidRDefault="00910B7B" w:rsidP="00910B7B">
            <w:pPr>
              <w:jc w:val="right"/>
              <w:rPr>
                <w:rFonts w:cs="Arial"/>
                <w:sz w:val="22"/>
                <w:szCs w:val="22"/>
                <w:lang w:eastAsia="en-GB"/>
              </w:rPr>
            </w:pPr>
            <w:r w:rsidRPr="00910B7B">
              <w:rPr>
                <w:rFonts w:cs="Arial"/>
                <w:sz w:val="22"/>
                <w:szCs w:val="22"/>
                <w:lang w:eastAsia="en-GB"/>
              </w:rPr>
              <w:t>0</w:t>
            </w:r>
          </w:p>
        </w:tc>
        <w:tc>
          <w:tcPr>
            <w:tcW w:w="1276" w:type="dxa"/>
            <w:tcBorders>
              <w:top w:val="nil"/>
              <w:left w:val="nil"/>
              <w:bottom w:val="nil"/>
              <w:right w:val="nil"/>
            </w:tcBorders>
            <w:shd w:val="clear" w:color="auto" w:fill="auto"/>
            <w:noWrap/>
            <w:vAlign w:val="bottom"/>
            <w:hideMark/>
          </w:tcPr>
          <w:p w14:paraId="6A0FF84B" w14:textId="77777777" w:rsidR="00910B7B" w:rsidRPr="00910B7B" w:rsidRDefault="00910B7B" w:rsidP="00910B7B">
            <w:pPr>
              <w:jc w:val="right"/>
              <w:rPr>
                <w:rFonts w:cs="Arial"/>
                <w:sz w:val="22"/>
                <w:szCs w:val="22"/>
                <w:lang w:eastAsia="en-GB"/>
              </w:rPr>
            </w:pPr>
            <w:r w:rsidRPr="00910B7B">
              <w:rPr>
                <w:rFonts w:cs="Arial"/>
                <w:sz w:val="22"/>
                <w:szCs w:val="22"/>
                <w:lang w:eastAsia="en-GB"/>
              </w:rPr>
              <w:t>427</w:t>
            </w:r>
          </w:p>
        </w:tc>
        <w:tc>
          <w:tcPr>
            <w:tcW w:w="425" w:type="dxa"/>
            <w:tcBorders>
              <w:top w:val="nil"/>
              <w:left w:val="nil"/>
              <w:bottom w:val="nil"/>
              <w:right w:val="single" w:sz="4" w:space="0" w:color="auto"/>
            </w:tcBorders>
            <w:shd w:val="clear" w:color="auto" w:fill="auto"/>
            <w:noWrap/>
            <w:vAlign w:val="bottom"/>
            <w:hideMark/>
          </w:tcPr>
          <w:p w14:paraId="01B53C20"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1619BFF4" w14:textId="77777777" w:rsidTr="00162C02">
        <w:trPr>
          <w:trHeight w:val="290"/>
          <w:jc w:val="center"/>
        </w:trPr>
        <w:tc>
          <w:tcPr>
            <w:tcW w:w="4957" w:type="dxa"/>
            <w:tcBorders>
              <w:top w:val="nil"/>
              <w:left w:val="single" w:sz="4" w:space="0" w:color="auto"/>
              <w:bottom w:val="nil"/>
              <w:right w:val="nil"/>
            </w:tcBorders>
            <w:shd w:val="clear" w:color="000000" w:fill="FFFFFF"/>
            <w:noWrap/>
            <w:vAlign w:val="bottom"/>
            <w:hideMark/>
          </w:tcPr>
          <w:p w14:paraId="741FBC1F" w14:textId="77777777" w:rsidR="00910B7B" w:rsidRPr="00910B7B" w:rsidRDefault="00910B7B" w:rsidP="00910B7B">
            <w:pPr>
              <w:rPr>
                <w:rFonts w:cs="Arial"/>
                <w:sz w:val="22"/>
                <w:szCs w:val="22"/>
                <w:lang w:eastAsia="en-GB"/>
              </w:rPr>
            </w:pPr>
            <w:r w:rsidRPr="00910B7B">
              <w:rPr>
                <w:rFonts w:cs="Arial"/>
                <w:sz w:val="22"/>
                <w:szCs w:val="22"/>
                <w:lang w:eastAsia="en-GB"/>
              </w:rPr>
              <w:t>Ribble Valley Trail repairs</w:t>
            </w:r>
          </w:p>
        </w:tc>
        <w:tc>
          <w:tcPr>
            <w:tcW w:w="1275" w:type="dxa"/>
            <w:tcBorders>
              <w:top w:val="nil"/>
              <w:left w:val="nil"/>
              <w:bottom w:val="nil"/>
              <w:right w:val="nil"/>
            </w:tcBorders>
            <w:shd w:val="clear" w:color="auto" w:fill="auto"/>
            <w:noWrap/>
            <w:vAlign w:val="bottom"/>
            <w:hideMark/>
          </w:tcPr>
          <w:p w14:paraId="0080F152" w14:textId="77777777" w:rsidR="00910B7B" w:rsidRPr="00910B7B" w:rsidRDefault="00910B7B" w:rsidP="00910B7B">
            <w:pPr>
              <w:jc w:val="right"/>
              <w:rPr>
                <w:rFonts w:cs="Arial"/>
                <w:sz w:val="22"/>
                <w:szCs w:val="22"/>
                <w:lang w:eastAsia="en-GB"/>
              </w:rPr>
            </w:pPr>
            <w:r w:rsidRPr="00910B7B">
              <w:rPr>
                <w:rFonts w:cs="Arial"/>
                <w:sz w:val="22"/>
                <w:szCs w:val="22"/>
                <w:lang w:eastAsia="en-GB"/>
              </w:rPr>
              <w:t>0</w:t>
            </w:r>
          </w:p>
        </w:tc>
        <w:tc>
          <w:tcPr>
            <w:tcW w:w="1276" w:type="dxa"/>
            <w:tcBorders>
              <w:top w:val="nil"/>
              <w:left w:val="nil"/>
              <w:bottom w:val="nil"/>
              <w:right w:val="nil"/>
            </w:tcBorders>
            <w:shd w:val="clear" w:color="auto" w:fill="auto"/>
            <w:noWrap/>
            <w:vAlign w:val="bottom"/>
            <w:hideMark/>
          </w:tcPr>
          <w:p w14:paraId="6DB6743C" w14:textId="77777777" w:rsidR="00910B7B" w:rsidRPr="00910B7B" w:rsidRDefault="00910B7B" w:rsidP="00910B7B">
            <w:pPr>
              <w:jc w:val="right"/>
              <w:rPr>
                <w:rFonts w:cs="Arial"/>
                <w:sz w:val="22"/>
                <w:szCs w:val="22"/>
                <w:lang w:eastAsia="en-GB"/>
              </w:rPr>
            </w:pPr>
            <w:r w:rsidRPr="00910B7B">
              <w:rPr>
                <w:rFonts w:cs="Arial"/>
                <w:sz w:val="22"/>
                <w:szCs w:val="22"/>
                <w:lang w:eastAsia="en-GB"/>
              </w:rPr>
              <w:t>6</w:t>
            </w:r>
          </w:p>
        </w:tc>
        <w:tc>
          <w:tcPr>
            <w:tcW w:w="425" w:type="dxa"/>
            <w:tcBorders>
              <w:top w:val="nil"/>
              <w:left w:val="nil"/>
              <w:bottom w:val="nil"/>
              <w:right w:val="single" w:sz="4" w:space="0" w:color="auto"/>
            </w:tcBorders>
            <w:shd w:val="clear" w:color="auto" w:fill="auto"/>
            <w:noWrap/>
            <w:vAlign w:val="bottom"/>
            <w:hideMark/>
          </w:tcPr>
          <w:p w14:paraId="0B960A67"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7C5E9312" w14:textId="77777777" w:rsidTr="00162C02">
        <w:trPr>
          <w:trHeight w:val="290"/>
          <w:jc w:val="center"/>
        </w:trPr>
        <w:tc>
          <w:tcPr>
            <w:tcW w:w="4957" w:type="dxa"/>
            <w:tcBorders>
              <w:top w:val="nil"/>
              <w:left w:val="single" w:sz="4" w:space="0" w:color="auto"/>
              <w:bottom w:val="nil"/>
              <w:right w:val="nil"/>
            </w:tcBorders>
            <w:shd w:val="clear" w:color="000000" w:fill="FFFFFF"/>
            <w:noWrap/>
            <w:vAlign w:val="bottom"/>
            <w:hideMark/>
          </w:tcPr>
          <w:p w14:paraId="74E59F65" w14:textId="77777777" w:rsidR="00910B7B" w:rsidRPr="00910B7B" w:rsidRDefault="00910B7B" w:rsidP="00910B7B">
            <w:pPr>
              <w:rPr>
                <w:rFonts w:cs="Arial"/>
                <w:sz w:val="22"/>
                <w:szCs w:val="22"/>
                <w:lang w:eastAsia="en-GB"/>
              </w:rPr>
            </w:pPr>
            <w:r w:rsidRPr="00910B7B">
              <w:rPr>
                <w:rFonts w:cs="Arial"/>
                <w:sz w:val="22"/>
                <w:szCs w:val="22"/>
                <w:lang w:eastAsia="en-GB"/>
              </w:rPr>
              <w:t>Cumberland Council</w:t>
            </w:r>
          </w:p>
        </w:tc>
        <w:tc>
          <w:tcPr>
            <w:tcW w:w="1275" w:type="dxa"/>
            <w:tcBorders>
              <w:top w:val="nil"/>
              <w:left w:val="nil"/>
              <w:bottom w:val="nil"/>
              <w:right w:val="nil"/>
            </w:tcBorders>
            <w:shd w:val="clear" w:color="auto" w:fill="auto"/>
            <w:noWrap/>
            <w:vAlign w:val="bottom"/>
            <w:hideMark/>
          </w:tcPr>
          <w:p w14:paraId="2820E8E5" w14:textId="77777777" w:rsidR="00910B7B" w:rsidRPr="00910B7B" w:rsidRDefault="00910B7B" w:rsidP="00910B7B">
            <w:pPr>
              <w:jc w:val="right"/>
              <w:rPr>
                <w:rFonts w:cs="Arial"/>
                <w:sz w:val="22"/>
                <w:szCs w:val="22"/>
                <w:lang w:eastAsia="en-GB"/>
              </w:rPr>
            </w:pPr>
            <w:r w:rsidRPr="00910B7B">
              <w:rPr>
                <w:rFonts w:cs="Arial"/>
                <w:sz w:val="22"/>
                <w:szCs w:val="22"/>
                <w:lang w:eastAsia="en-GB"/>
              </w:rPr>
              <w:t>0</w:t>
            </w:r>
          </w:p>
        </w:tc>
        <w:tc>
          <w:tcPr>
            <w:tcW w:w="1276" w:type="dxa"/>
            <w:tcBorders>
              <w:top w:val="nil"/>
              <w:left w:val="nil"/>
              <w:bottom w:val="nil"/>
              <w:right w:val="nil"/>
            </w:tcBorders>
            <w:shd w:val="clear" w:color="auto" w:fill="auto"/>
            <w:noWrap/>
            <w:vAlign w:val="bottom"/>
            <w:hideMark/>
          </w:tcPr>
          <w:p w14:paraId="11934EC5" w14:textId="77777777" w:rsidR="00910B7B" w:rsidRPr="00910B7B" w:rsidRDefault="00910B7B" w:rsidP="00910B7B">
            <w:pPr>
              <w:jc w:val="right"/>
              <w:rPr>
                <w:rFonts w:cs="Arial"/>
                <w:sz w:val="22"/>
                <w:szCs w:val="22"/>
                <w:lang w:eastAsia="en-GB"/>
              </w:rPr>
            </w:pPr>
            <w:r w:rsidRPr="00910B7B">
              <w:rPr>
                <w:rFonts w:cs="Arial"/>
                <w:sz w:val="22"/>
                <w:szCs w:val="22"/>
                <w:lang w:eastAsia="en-GB"/>
              </w:rPr>
              <w:t>4</w:t>
            </w:r>
          </w:p>
        </w:tc>
        <w:tc>
          <w:tcPr>
            <w:tcW w:w="425" w:type="dxa"/>
            <w:tcBorders>
              <w:top w:val="nil"/>
              <w:left w:val="nil"/>
              <w:bottom w:val="nil"/>
              <w:right w:val="single" w:sz="4" w:space="0" w:color="auto"/>
            </w:tcBorders>
            <w:shd w:val="clear" w:color="auto" w:fill="auto"/>
            <w:noWrap/>
            <w:vAlign w:val="bottom"/>
            <w:hideMark/>
          </w:tcPr>
          <w:p w14:paraId="5B418A2C"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2DE52648" w14:textId="77777777" w:rsidTr="00162C02">
        <w:trPr>
          <w:trHeight w:val="290"/>
          <w:jc w:val="center"/>
        </w:trPr>
        <w:tc>
          <w:tcPr>
            <w:tcW w:w="4957" w:type="dxa"/>
            <w:tcBorders>
              <w:top w:val="nil"/>
              <w:left w:val="single" w:sz="4" w:space="0" w:color="auto"/>
              <w:bottom w:val="nil"/>
              <w:right w:val="nil"/>
            </w:tcBorders>
            <w:shd w:val="clear" w:color="000000" w:fill="FFFFFF"/>
            <w:noWrap/>
            <w:vAlign w:val="bottom"/>
            <w:hideMark/>
          </w:tcPr>
          <w:p w14:paraId="533D189E" w14:textId="60D86ED0" w:rsidR="00910B7B" w:rsidRPr="00910B7B" w:rsidRDefault="00910B7B" w:rsidP="00910B7B">
            <w:pPr>
              <w:rPr>
                <w:rFonts w:cs="Arial"/>
                <w:sz w:val="22"/>
                <w:szCs w:val="22"/>
                <w:lang w:eastAsia="en-GB"/>
              </w:rPr>
            </w:pPr>
            <w:r w:rsidRPr="00910B7B">
              <w:rPr>
                <w:rFonts w:cs="Arial"/>
                <w:sz w:val="22"/>
                <w:szCs w:val="22"/>
                <w:lang w:eastAsia="en-GB"/>
              </w:rPr>
              <w:t>National Parks Partnership - Gen</w:t>
            </w:r>
            <w:r>
              <w:rPr>
                <w:rFonts w:cs="Arial"/>
                <w:sz w:val="22"/>
                <w:szCs w:val="22"/>
                <w:lang w:eastAsia="en-GB"/>
              </w:rPr>
              <w:t>e</w:t>
            </w:r>
            <w:r w:rsidRPr="00910B7B">
              <w:rPr>
                <w:rFonts w:cs="Arial"/>
                <w:sz w:val="22"/>
                <w:szCs w:val="22"/>
                <w:lang w:eastAsia="en-GB"/>
              </w:rPr>
              <w:t xml:space="preserve">ration Green </w:t>
            </w:r>
          </w:p>
        </w:tc>
        <w:tc>
          <w:tcPr>
            <w:tcW w:w="1275" w:type="dxa"/>
            <w:tcBorders>
              <w:top w:val="nil"/>
              <w:left w:val="nil"/>
              <w:bottom w:val="nil"/>
              <w:right w:val="nil"/>
            </w:tcBorders>
            <w:shd w:val="clear" w:color="auto" w:fill="auto"/>
            <w:noWrap/>
            <w:vAlign w:val="bottom"/>
            <w:hideMark/>
          </w:tcPr>
          <w:p w14:paraId="69E641A2" w14:textId="77777777" w:rsidR="00910B7B" w:rsidRPr="00910B7B" w:rsidRDefault="00910B7B" w:rsidP="00910B7B">
            <w:pPr>
              <w:jc w:val="right"/>
              <w:rPr>
                <w:rFonts w:cs="Arial"/>
                <w:sz w:val="22"/>
                <w:szCs w:val="22"/>
                <w:lang w:eastAsia="en-GB"/>
              </w:rPr>
            </w:pPr>
            <w:r w:rsidRPr="00910B7B">
              <w:rPr>
                <w:rFonts w:cs="Arial"/>
                <w:sz w:val="22"/>
                <w:szCs w:val="22"/>
                <w:lang w:eastAsia="en-GB"/>
              </w:rPr>
              <w:t>0</w:t>
            </w:r>
          </w:p>
        </w:tc>
        <w:tc>
          <w:tcPr>
            <w:tcW w:w="1276" w:type="dxa"/>
            <w:tcBorders>
              <w:top w:val="nil"/>
              <w:left w:val="nil"/>
              <w:bottom w:val="nil"/>
              <w:right w:val="nil"/>
            </w:tcBorders>
            <w:shd w:val="clear" w:color="auto" w:fill="auto"/>
            <w:noWrap/>
            <w:vAlign w:val="bottom"/>
            <w:hideMark/>
          </w:tcPr>
          <w:p w14:paraId="4170D4B2" w14:textId="77777777" w:rsidR="00910B7B" w:rsidRPr="00910B7B" w:rsidRDefault="00910B7B" w:rsidP="00910B7B">
            <w:pPr>
              <w:jc w:val="right"/>
              <w:rPr>
                <w:rFonts w:cs="Arial"/>
                <w:sz w:val="22"/>
                <w:szCs w:val="22"/>
                <w:lang w:eastAsia="en-GB"/>
              </w:rPr>
            </w:pPr>
            <w:r w:rsidRPr="00910B7B">
              <w:rPr>
                <w:rFonts w:cs="Arial"/>
                <w:sz w:val="22"/>
                <w:szCs w:val="22"/>
                <w:lang w:eastAsia="en-GB"/>
              </w:rPr>
              <w:t>30</w:t>
            </w:r>
          </w:p>
        </w:tc>
        <w:tc>
          <w:tcPr>
            <w:tcW w:w="425" w:type="dxa"/>
            <w:tcBorders>
              <w:top w:val="nil"/>
              <w:left w:val="nil"/>
              <w:bottom w:val="nil"/>
              <w:right w:val="single" w:sz="4" w:space="0" w:color="auto"/>
            </w:tcBorders>
            <w:shd w:val="clear" w:color="auto" w:fill="auto"/>
            <w:noWrap/>
            <w:vAlign w:val="bottom"/>
            <w:hideMark/>
          </w:tcPr>
          <w:p w14:paraId="209C7946"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3805D266" w14:textId="77777777" w:rsidTr="00162C02">
        <w:trPr>
          <w:trHeight w:val="290"/>
          <w:jc w:val="center"/>
        </w:trPr>
        <w:tc>
          <w:tcPr>
            <w:tcW w:w="4957" w:type="dxa"/>
            <w:tcBorders>
              <w:top w:val="nil"/>
              <w:left w:val="single" w:sz="4" w:space="0" w:color="auto"/>
              <w:bottom w:val="nil"/>
              <w:right w:val="nil"/>
            </w:tcBorders>
            <w:shd w:val="clear" w:color="000000" w:fill="FFFFFF"/>
            <w:noWrap/>
            <w:vAlign w:val="bottom"/>
            <w:hideMark/>
          </w:tcPr>
          <w:p w14:paraId="4AFA664E" w14:textId="6BE4C315" w:rsidR="00910B7B" w:rsidRPr="00910B7B" w:rsidRDefault="00910B7B" w:rsidP="00910B7B">
            <w:pPr>
              <w:rPr>
                <w:rFonts w:cs="Arial"/>
                <w:sz w:val="22"/>
                <w:szCs w:val="22"/>
                <w:lang w:eastAsia="en-GB"/>
              </w:rPr>
            </w:pPr>
            <w:r w:rsidRPr="00910B7B">
              <w:rPr>
                <w:rFonts w:cs="Arial"/>
                <w:sz w:val="22"/>
                <w:szCs w:val="22"/>
                <w:lang w:eastAsia="en-GB"/>
              </w:rPr>
              <w:t>Action with communities</w:t>
            </w:r>
          </w:p>
        </w:tc>
        <w:tc>
          <w:tcPr>
            <w:tcW w:w="1275" w:type="dxa"/>
            <w:tcBorders>
              <w:top w:val="nil"/>
              <w:left w:val="nil"/>
              <w:bottom w:val="nil"/>
              <w:right w:val="nil"/>
            </w:tcBorders>
            <w:shd w:val="clear" w:color="auto" w:fill="auto"/>
            <w:noWrap/>
            <w:vAlign w:val="bottom"/>
            <w:hideMark/>
          </w:tcPr>
          <w:p w14:paraId="0333A97D" w14:textId="77777777" w:rsidR="00910B7B" w:rsidRPr="00910B7B" w:rsidRDefault="00910B7B" w:rsidP="00910B7B">
            <w:pPr>
              <w:jc w:val="right"/>
              <w:rPr>
                <w:rFonts w:cs="Arial"/>
                <w:sz w:val="22"/>
                <w:szCs w:val="22"/>
                <w:lang w:eastAsia="en-GB"/>
              </w:rPr>
            </w:pPr>
            <w:r w:rsidRPr="00910B7B">
              <w:rPr>
                <w:rFonts w:cs="Arial"/>
                <w:sz w:val="22"/>
                <w:szCs w:val="22"/>
                <w:lang w:eastAsia="en-GB"/>
              </w:rPr>
              <w:t>0</w:t>
            </w:r>
          </w:p>
        </w:tc>
        <w:tc>
          <w:tcPr>
            <w:tcW w:w="1276" w:type="dxa"/>
            <w:tcBorders>
              <w:top w:val="nil"/>
              <w:left w:val="nil"/>
              <w:bottom w:val="nil"/>
              <w:right w:val="nil"/>
            </w:tcBorders>
            <w:shd w:val="clear" w:color="auto" w:fill="auto"/>
            <w:noWrap/>
            <w:vAlign w:val="bottom"/>
            <w:hideMark/>
          </w:tcPr>
          <w:p w14:paraId="6FF9CA25" w14:textId="77777777" w:rsidR="00910B7B" w:rsidRPr="00910B7B" w:rsidRDefault="00910B7B" w:rsidP="00910B7B">
            <w:pPr>
              <w:jc w:val="right"/>
              <w:rPr>
                <w:rFonts w:cs="Arial"/>
                <w:sz w:val="22"/>
                <w:szCs w:val="22"/>
                <w:lang w:eastAsia="en-GB"/>
              </w:rPr>
            </w:pPr>
            <w:r w:rsidRPr="00910B7B">
              <w:rPr>
                <w:rFonts w:cs="Arial"/>
                <w:sz w:val="22"/>
                <w:szCs w:val="22"/>
                <w:lang w:eastAsia="en-GB"/>
              </w:rPr>
              <w:t>10</w:t>
            </w:r>
          </w:p>
        </w:tc>
        <w:tc>
          <w:tcPr>
            <w:tcW w:w="425" w:type="dxa"/>
            <w:tcBorders>
              <w:top w:val="nil"/>
              <w:left w:val="nil"/>
              <w:bottom w:val="nil"/>
              <w:right w:val="single" w:sz="4" w:space="0" w:color="auto"/>
            </w:tcBorders>
            <w:shd w:val="clear" w:color="auto" w:fill="auto"/>
            <w:noWrap/>
            <w:vAlign w:val="bottom"/>
            <w:hideMark/>
          </w:tcPr>
          <w:p w14:paraId="5CCCCDF3"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6B644B34" w14:textId="77777777" w:rsidTr="00162C02">
        <w:trPr>
          <w:trHeight w:val="290"/>
          <w:jc w:val="center"/>
        </w:trPr>
        <w:tc>
          <w:tcPr>
            <w:tcW w:w="4957" w:type="dxa"/>
            <w:tcBorders>
              <w:top w:val="nil"/>
              <w:left w:val="single" w:sz="4" w:space="0" w:color="auto"/>
              <w:bottom w:val="nil"/>
              <w:right w:val="nil"/>
            </w:tcBorders>
            <w:shd w:val="clear" w:color="000000" w:fill="FFFFFF"/>
            <w:noWrap/>
            <w:vAlign w:val="bottom"/>
            <w:hideMark/>
          </w:tcPr>
          <w:p w14:paraId="526554D7" w14:textId="77777777" w:rsidR="00910B7B" w:rsidRPr="00910B7B" w:rsidRDefault="00910B7B" w:rsidP="00910B7B">
            <w:pPr>
              <w:rPr>
                <w:rFonts w:cs="Arial"/>
                <w:sz w:val="22"/>
                <w:szCs w:val="22"/>
                <w:lang w:eastAsia="en-GB"/>
              </w:rPr>
            </w:pPr>
            <w:r w:rsidRPr="00910B7B">
              <w:rPr>
                <w:rFonts w:cs="Arial"/>
                <w:sz w:val="22"/>
                <w:szCs w:val="22"/>
                <w:lang w:eastAsia="en-GB"/>
              </w:rPr>
              <w:t>Westmorland and Furness</w:t>
            </w:r>
          </w:p>
        </w:tc>
        <w:tc>
          <w:tcPr>
            <w:tcW w:w="1275" w:type="dxa"/>
            <w:tcBorders>
              <w:top w:val="nil"/>
              <w:left w:val="nil"/>
              <w:bottom w:val="nil"/>
              <w:right w:val="nil"/>
            </w:tcBorders>
            <w:shd w:val="clear" w:color="auto" w:fill="auto"/>
            <w:noWrap/>
            <w:vAlign w:val="bottom"/>
            <w:hideMark/>
          </w:tcPr>
          <w:p w14:paraId="1474A861" w14:textId="77777777" w:rsidR="00910B7B" w:rsidRPr="00910B7B" w:rsidRDefault="00910B7B" w:rsidP="00910B7B">
            <w:pPr>
              <w:jc w:val="right"/>
              <w:rPr>
                <w:rFonts w:cs="Arial"/>
                <w:sz w:val="22"/>
                <w:szCs w:val="22"/>
                <w:lang w:eastAsia="en-GB"/>
              </w:rPr>
            </w:pPr>
            <w:r w:rsidRPr="00910B7B">
              <w:rPr>
                <w:rFonts w:cs="Arial"/>
                <w:sz w:val="22"/>
                <w:szCs w:val="22"/>
                <w:lang w:eastAsia="en-GB"/>
              </w:rPr>
              <w:t>0</w:t>
            </w:r>
          </w:p>
        </w:tc>
        <w:tc>
          <w:tcPr>
            <w:tcW w:w="1276" w:type="dxa"/>
            <w:tcBorders>
              <w:top w:val="nil"/>
              <w:left w:val="nil"/>
              <w:bottom w:val="nil"/>
              <w:right w:val="nil"/>
            </w:tcBorders>
            <w:shd w:val="clear" w:color="auto" w:fill="auto"/>
            <w:noWrap/>
            <w:vAlign w:val="bottom"/>
            <w:hideMark/>
          </w:tcPr>
          <w:p w14:paraId="5A6C56C5" w14:textId="77777777" w:rsidR="00910B7B" w:rsidRPr="00910B7B" w:rsidRDefault="00910B7B" w:rsidP="00910B7B">
            <w:pPr>
              <w:jc w:val="right"/>
              <w:rPr>
                <w:rFonts w:cs="Arial"/>
                <w:sz w:val="22"/>
                <w:szCs w:val="22"/>
                <w:lang w:eastAsia="en-GB"/>
              </w:rPr>
            </w:pPr>
            <w:r w:rsidRPr="00910B7B">
              <w:rPr>
                <w:rFonts w:cs="Arial"/>
                <w:sz w:val="22"/>
                <w:szCs w:val="22"/>
                <w:lang w:eastAsia="en-GB"/>
              </w:rPr>
              <w:t>132</w:t>
            </w:r>
          </w:p>
        </w:tc>
        <w:tc>
          <w:tcPr>
            <w:tcW w:w="425" w:type="dxa"/>
            <w:tcBorders>
              <w:top w:val="nil"/>
              <w:left w:val="nil"/>
              <w:bottom w:val="nil"/>
              <w:right w:val="single" w:sz="4" w:space="0" w:color="auto"/>
            </w:tcBorders>
            <w:shd w:val="clear" w:color="auto" w:fill="auto"/>
            <w:noWrap/>
            <w:vAlign w:val="bottom"/>
            <w:hideMark/>
          </w:tcPr>
          <w:p w14:paraId="0949B2FD"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074C304E" w14:textId="77777777" w:rsidTr="00162C02">
        <w:trPr>
          <w:trHeight w:val="290"/>
          <w:jc w:val="center"/>
        </w:trPr>
        <w:tc>
          <w:tcPr>
            <w:tcW w:w="4957" w:type="dxa"/>
            <w:tcBorders>
              <w:top w:val="nil"/>
              <w:left w:val="single" w:sz="4" w:space="0" w:color="auto"/>
              <w:bottom w:val="nil"/>
              <w:right w:val="nil"/>
            </w:tcBorders>
            <w:shd w:val="clear" w:color="000000" w:fill="FFFFFF"/>
            <w:noWrap/>
            <w:vAlign w:val="bottom"/>
            <w:hideMark/>
          </w:tcPr>
          <w:p w14:paraId="01A60C0C" w14:textId="77777777" w:rsidR="00910B7B" w:rsidRPr="00910B7B" w:rsidRDefault="00910B7B" w:rsidP="00910B7B">
            <w:pPr>
              <w:rPr>
                <w:rFonts w:cs="Arial"/>
                <w:sz w:val="22"/>
                <w:szCs w:val="22"/>
                <w:lang w:eastAsia="en-GB"/>
              </w:rPr>
            </w:pPr>
            <w:r w:rsidRPr="00910B7B">
              <w:rPr>
                <w:rFonts w:cs="Arial"/>
                <w:sz w:val="22"/>
                <w:szCs w:val="22"/>
                <w:lang w:eastAsia="en-GB"/>
              </w:rPr>
              <w:t> </w:t>
            </w:r>
          </w:p>
        </w:tc>
        <w:tc>
          <w:tcPr>
            <w:tcW w:w="1275" w:type="dxa"/>
            <w:tcBorders>
              <w:top w:val="nil"/>
              <w:left w:val="nil"/>
              <w:bottom w:val="nil"/>
              <w:right w:val="nil"/>
            </w:tcBorders>
            <w:shd w:val="clear" w:color="auto" w:fill="auto"/>
            <w:noWrap/>
            <w:vAlign w:val="bottom"/>
            <w:hideMark/>
          </w:tcPr>
          <w:p w14:paraId="5A28C91A" w14:textId="77777777" w:rsidR="00910B7B" w:rsidRPr="00910B7B" w:rsidRDefault="00910B7B" w:rsidP="00910B7B">
            <w:pPr>
              <w:rPr>
                <w:rFonts w:cs="Arial"/>
                <w:sz w:val="22"/>
                <w:szCs w:val="22"/>
                <w:lang w:eastAsia="en-GB"/>
              </w:rPr>
            </w:pPr>
            <w:r w:rsidRPr="00910B7B">
              <w:rPr>
                <w:rFonts w:cs="Arial"/>
                <w:sz w:val="22"/>
                <w:szCs w:val="22"/>
                <w:lang w:eastAsia="en-GB"/>
              </w:rPr>
              <w:t> </w:t>
            </w:r>
          </w:p>
        </w:tc>
        <w:tc>
          <w:tcPr>
            <w:tcW w:w="1276" w:type="dxa"/>
            <w:tcBorders>
              <w:top w:val="nil"/>
              <w:left w:val="nil"/>
              <w:bottom w:val="nil"/>
              <w:right w:val="nil"/>
            </w:tcBorders>
            <w:shd w:val="clear" w:color="auto" w:fill="auto"/>
            <w:noWrap/>
            <w:vAlign w:val="bottom"/>
            <w:hideMark/>
          </w:tcPr>
          <w:p w14:paraId="69B7D2BF" w14:textId="77777777" w:rsidR="00910B7B" w:rsidRPr="00910B7B" w:rsidRDefault="00910B7B" w:rsidP="00910B7B">
            <w:pPr>
              <w:rPr>
                <w:rFonts w:cs="Arial"/>
                <w:sz w:val="22"/>
                <w:szCs w:val="22"/>
                <w:lang w:eastAsia="en-GB"/>
              </w:rPr>
            </w:pPr>
            <w:r w:rsidRPr="00910B7B">
              <w:rPr>
                <w:rFonts w:cs="Arial"/>
                <w:sz w:val="22"/>
                <w:szCs w:val="22"/>
                <w:lang w:eastAsia="en-GB"/>
              </w:rPr>
              <w:t> </w:t>
            </w:r>
          </w:p>
        </w:tc>
        <w:tc>
          <w:tcPr>
            <w:tcW w:w="425" w:type="dxa"/>
            <w:tcBorders>
              <w:top w:val="nil"/>
              <w:left w:val="nil"/>
              <w:bottom w:val="nil"/>
              <w:right w:val="single" w:sz="4" w:space="0" w:color="auto"/>
            </w:tcBorders>
            <w:shd w:val="clear" w:color="auto" w:fill="auto"/>
            <w:noWrap/>
            <w:vAlign w:val="bottom"/>
            <w:hideMark/>
          </w:tcPr>
          <w:p w14:paraId="4C1CC8B2" w14:textId="77777777" w:rsidR="00910B7B" w:rsidRPr="00910B7B" w:rsidRDefault="00910B7B" w:rsidP="00910B7B">
            <w:pPr>
              <w:rPr>
                <w:rFonts w:ascii="Calibri" w:hAnsi="Calibri" w:cs="Calibri"/>
                <w:color w:val="000000"/>
                <w:sz w:val="22"/>
                <w:szCs w:val="22"/>
                <w:lang w:eastAsia="en-GB"/>
              </w:rPr>
            </w:pPr>
            <w:r w:rsidRPr="00910B7B">
              <w:rPr>
                <w:rFonts w:ascii="Calibri" w:hAnsi="Calibri" w:cs="Calibri"/>
                <w:color w:val="000000"/>
                <w:sz w:val="22"/>
                <w:szCs w:val="22"/>
                <w:lang w:eastAsia="en-GB"/>
              </w:rPr>
              <w:t> </w:t>
            </w:r>
          </w:p>
        </w:tc>
      </w:tr>
      <w:tr w:rsidR="00910B7B" w:rsidRPr="00910B7B" w14:paraId="374E0430" w14:textId="77777777" w:rsidTr="00162C02">
        <w:trPr>
          <w:trHeight w:val="300"/>
          <w:jc w:val="center"/>
        </w:trPr>
        <w:tc>
          <w:tcPr>
            <w:tcW w:w="4957" w:type="dxa"/>
            <w:tcBorders>
              <w:top w:val="nil"/>
              <w:left w:val="single" w:sz="4" w:space="0" w:color="auto"/>
              <w:bottom w:val="nil"/>
              <w:right w:val="nil"/>
            </w:tcBorders>
            <w:shd w:val="clear" w:color="000000" w:fill="FFFFFF"/>
            <w:noWrap/>
            <w:vAlign w:val="bottom"/>
            <w:hideMark/>
          </w:tcPr>
          <w:p w14:paraId="10E5D96F" w14:textId="77777777" w:rsidR="00910B7B" w:rsidRPr="00910B7B" w:rsidRDefault="00910B7B" w:rsidP="00910B7B">
            <w:pPr>
              <w:rPr>
                <w:rFonts w:cs="Arial"/>
                <w:sz w:val="20"/>
                <w:szCs w:val="20"/>
                <w:lang w:eastAsia="en-GB"/>
              </w:rPr>
            </w:pPr>
            <w:r w:rsidRPr="00910B7B">
              <w:rPr>
                <w:rFonts w:cs="Arial"/>
                <w:sz w:val="20"/>
                <w:szCs w:val="20"/>
                <w:lang w:eastAsia="en-GB"/>
              </w:rPr>
              <w:t> </w:t>
            </w:r>
          </w:p>
        </w:tc>
        <w:tc>
          <w:tcPr>
            <w:tcW w:w="1275" w:type="dxa"/>
            <w:tcBorders>
              <w:top w:val="single" w:sz="4" w:space="0" w:color="auto"/>
              <w:left w:val="nil"/>
              <w:bottom w:val="double" w:sz="6" w:space="0" w:color="auto"/>
              <w:right w:val="nil"/>
            </w:tcBorders>
            <w:shd w:val="clear" w:color="auto" w:fill="auto"/>
            <w:noWrap/>
            <w:vAlign w:val="bottom"/>
            <w:hideMark/>
          </w:tcPr>
          <w:p w14:paraId="5CD33A89" w14:textId="77777777" w:rsidR="00910B7B" w:rsidRPr="00910B7B" w:rsidRDefault="00910B7B" w:rsidP="00910B7B">
            <w:pPr>
              <w:jc w:val="right"/>
              <w:rPr>
                <w:rFonts w:cs="Arial"/>
                <w:b/>
                <w:bCs/>
                <w:sz w:val="20"/>
                <w:szCs w:val="20"/>
                <w:lang w:eastAsia="en-GB"/>
              </w:rPr>
            </w:pPr>
            <w:r w:rsidRPr="00910B7B">
              <w:rPr>
                <w:rFonts w:cs="Arial"/>
                <w:b/>
                <w:bCs/>
                <w:sz w:val="20"/>
                <w:szCs w:val="20"/>
                <w:lang w:eastAsia="en-GB"/>
              </w:rPr>
              <w:t>2,860</w:t>
            </w:r>
          </w:p>
        </w:tc>
        <w:tc>
          <w:tcPr>
            <w:tcW w:w="1276" w:type="dxa"/>
            <w:tcBorders>
              <w:top w:val="single" w:sz="4" w:space="0" w:color="auto"/>
              <w:left w:val="nil"/>
              <w:bottom w:val="double" w:sz="6" w:space="0" w:color="auto"/>
              <w:right w:val="nil"/>
            </w:tcBorders>
            <w:shd w:val="clear" w:color="auto" w:fill="auto"/>
            <w:noWrap/>
            <w:vAlign w:val="bottom"/>
            <w:hideMark/>
          </w:tcPr>
          <w:p w14:paraId="2E7970FD" w14:textId="77777777" w:rsidR="00910B7B" w:rsidRPr="00910B7B" w:rsidRDefault="00910B7B" w:rsidP="00910B7B">
            <w:pPr>
              <w:jc w:val="right"/>
              <w:rPr>
                <w:rFonts w:cs="Arial"/>
                <w:b/>
                <w:bCs/>
                <w:sz w:val="20"/>
                <w:szCs w:val="20"/>
                <w:lang w:eastAsia="en-GB"/>
              </w:rPr>
            </w:pPr>
            <w:r w:rsidRPr="00910B7B">
              <w:rPr>
                <w:rFonts w:cs="Arial"/>
                <w:b/>
                <w:bCs/>
                <w:sz w:val="20"/>
                <w:szCs w:val="20"/>
                <w:lang w:eastAsia="en-GB"/>
              </w:rPr>
              <w:t>2,987</w:t>
            </w:r>
          </w:p>
        </w:tc>
        <w:tc>
          <w:tcPr>
            <w:tcW w:w="425" w:type="dxa"/>
            <w:tcBorders>
              <w:top w:val="nil"/>
              <w:left w:val="nil"/>
              <w:bottom w:val="nil"/>
              <w:right w:val="single" w:sz="4" w:space="0" w:color="auto"/>
            </w:tcBorders>
            <w:shd w:val="clear" w:color="auto" w:fill="auto"/>
            <w:noWrap/>
            <w:vAlign w:val="bottom"/>
            <w:hideMark/>
          </w:tcPr>
          <w:p w14:paraId="03F05DE0" w14:textId="77777777" w:rsidR="00910B7B" w:rsidRPr="00910B7B" w:rsidRDefault="00910B7B" w:rsidP="00910B7B">
            <w:pPr>
              <w:rPr>
                <w:rFonts w:cs="Arial"/>
                <w:sz w:val="20"/>
                <w:szCs w:val="20"/>
                <w:lang w:eastAsia="en-GB"/>
              </w:rPr>
            </w:pPr>
            <w:r w:rsidRPr="00910B7B">
              <w:rPr>
                <w:rFonts w:cs="Arial"/>
                <w:sz w:val="20"/>
                <w:szCs w:val="20"/>
                <w:lang w:eastAsia="en-GB"/>
              </w:rPr>
              <w:t> </w:t>
            </w:r>
          </w:p>
        </w:tc>
      </w:tr>
      <w:tr w:rsidR="00910B7B" w:rsidRPr="00910B7B" w14:paraId="2B6F28E5" w14:textId="77777777" w:rsidTr="00162C02">
        <w:trPr>
          <w:trHeight w:val="310"/>
          <w:jc w:val="center"/>
        </w:trPr>
        <w:tc>
          <w:tcPr>
            <w:tcW w:w="4957" w:type="dxa"/>
            <w:tcBorders>
              <w:top w:val="nil"/>
              <w:left w:val="single" w:sz="4" w:space="0" w:color="auto"/>
              <w:bottom w:val="single" w:sz="4" w:space="0" w:color="auto"/>
              <w:right w:val="nil"/>
            </w:tcBorders>
            <w:shd w:val="clear" w:color="000000" w:fill="FFFFFF"/>
            <w:noWrap/>
            <w:vAlign w:val="bottom"/>
            <w:hideMark/>
          </w:tcPr>
          <w:p w14:paraId="4703668D" w14:textId="77777777" w:rsidR="00910B7B" w:rsidRPr="00910B7B" w:rsidRDefault="00910B7B" w:rsidP="00910B7B">
            <w:pPr>
              <w:rPr>
                <w:rFonts w:cs="Arial"/>
                <w:sz w:val="20"/>
                <w:szCs w:val="20"/>
                <w:lang w:eastAsia="en-GB"/>
              </w:rPr>
            </w:pPr>
            <w:r w:rsidRPr="00910B7B">
              <w:rPr>
                <w:rFonts w:cs="Arial"/>
                <w:sz w:val="20"/>
                <w:szCs w:val="20"/>
                <w:lang w:eastAsia="en-GB"/>
              </w:rPr>
              <w:t> </w:t>
            </w:r>
          </w:p>
        </w:tc>
        <w:tc>
          <w:tcPr>
            <w:tcW w:w="1275" w:type="dxa"/>
            <w:tcBorders>
              <w:top w:val="nil"/>
              <w:left w:val="nil"/>
              <w:bottom w:val="single" w:sz="4" w:space="0" w:color="auto"/>
              <w:right w:val="nil"/>
            </w:tcBorders>
            <w:shd w:val="clear" w:color="auto" w:fill="auto"/>
            <w:noWrap/>
            <w:vAlign w:val="bottom"/>
            <w:hideMark/>
          </w:tcPr>
          <w:p w14:paraId="68820324" w14:textId="77777777" w:rsidR="00910B7B" w:rsidRPr="00910B7B" w:rsidRDefault="00910B7B" w:rsidP="00910B7B">
            <w:pPr>
              <w:jc w:val="center"/>
              <w:rPr>
                <w:rFonts w:cs="Arial"/>
                <w:color w:val="FFFFFF"/>
                <w:lang w:eastAsia="en-GB"/>
              </w:rPr>
            </w:pPr>
            <w:r w:rsidRPr="00910B7B">
              <w:rPr>
                <w:rFonts w:cs="Arial"/>
                <w:color w:val="FFFFFF"/>
                <w:lang w:eastAsia="en-GB"/>
              </w:rPr>
              <w:t>#REF!</w:t>
            </w:r>
          </w:p>
        </w:tc>
        <w:tc>
          <w:tcPr>
            <w:tcW w:w="1276" w:type="dxa"/>
            <w:tcBorders>
              <w:top w:val="nil"/>
              <w:left w:val="nil"/>
              <w:bottom w:val="single" w:sz="4" w:space="0" w:color="auto"/>
              <w:right w:val="nil"/>
            </w:tcBorders>
            <w:shd w:val="clear" w:color="auto" w:fill="auto"/>
            <w:noWrap/>
            <w:vAlign w:val="bottom"/>
            <w:hideMark/>
          </w:tcPr>
          <w:p w14:paraId="5EBF66B3" w14:textId="77777777" w:rsidR="00910B7B" w:rsidRPr="00910B7B" w:rsidRDefault="00910B7B" w:rsidP="00910B7B">
            <w:pPr>
              <w:jc w:val="center"/>
              <w:rPr>
                <w:rFonts w:cs="Arial"/>
                <w:color w:val="FFFFFF"/>
                <w:lang w:eastAsia="en-GB"/>
              </w:rPr>
            </w:pPr>
            <w:r w:rsidRPr="00910B7B">
              <w:rPr>
                <w:rFonts w:cs="Arial"/>
                <w:color w:val="FFFFFF"/>
                <w:lang w:eastAsia="en-GB"/>
              </w:rPr>
              <w:t>#REF!</w:t>
            </w:r>
          </w:p>
        </w:tc>
        <w:tc>
          <w:tcPr>
            <w:tcW w:w="425" w:type="dxa"/>
            <w:tcBorders>
              <w:top w:val="nil"/>
              <w:left w:val="nil"/>
              <w:bottom w:val="single" w:sz="4" w:space="0" w:color="auto"/>
              <w:right w:val="single" w:sz="4" w:space="0" w:color="auto"/>
            </w:tcBorders>
            <w:shd w:val="clear" w:color="auto" w:fill="auto"/>
            <w:noWrap/>
            <w:vAlign w:val="bottom"/>
            <w:hideMark/>
          </w:tcPr>
          <w:p w14:paraId="6FD3CD12" w14:textId="77777777" w:rsidR="00910B7B" w:rsidRPr="00910B7B" w:rsidRDefault="00910B7B" w:rsidP="00910B7B">
            <w:pPr>
              <w:rPr>
                <w:rFonts w:cs="Arial"/>
                <w:sz w:val="20"/>
                <w:szCs w:val="20"/>
                <w:lang w:eastAsia="en-GB"/>
              </w:rPr>
            </w:pPr>
            <w:r w:rsidRPr="00910B7B">
              <w:rPr>
                <w:rFonts w:cs="Arial"/>
                <w:sz w:val="20"/>
                <w:szCs w:val="20"/>
                <w:lang w:eastAsia="en-GB"/>
              </w:rPr>
              <w:t> </w:t>
            </w:r>
          </w:p>
        </w:tc>
      </w:tr>
    </w:tbl>
    <w:p w14:paraId="6182E94B" w14:textId="77777777" w:rsidR="008B6E87" w:rsidRPr="004D5CA8" w:rsidRDefault="008B6E87" w:rsidP="0070459C">
      <w:pPr>
        <w:rPr>
          <w:highlight w:val="yellow"/>
          <w:lang w:eastAsia="en-GB"/>
        </w:rPr>
      </w:pPr>
    </w:p>
    <w:p w14:paraId="373BAFEC" w14:textId="6F2D3D7C" w:rsidR="00843769" w:rsidRDefault="00843769" w:rsidP="0070459C">
      <w:pPr>
        <w:rPr>
          <w:highlight w:val="yellow"/>
        </w:rPr>
      </w:pPr>
    </w:p>
    <w:p w14:paraId="71A548A6" w14:textId="1CF67AC6" w:rsidR="00086244" w:rsidRPr="004D057F" w:rsidRDefault="00086244" w:rsidP="0070459C">
      <w:bookmarkStart w:id="208" w:name="_MON_1401090588"/>
      <w:bookmarkStart w:id="209" w:name="_MON_1401090604"/>
      <w:bookmarkStart w:id="210" w:name="_MON_1401090646"/>
      <w:bookmarkStart w:id="211" w:name="_MON_1401090679"/>
      <w:bookmarkStart w:id="212" w:name="_MON_1401090815"/>
      <w:bookmarkStart w:id="213" w:name="_MON_1401538940"/>
      <w:bookmarkStart w:id="214" w:name="_MON_1402138132"/>
      <w:bookmarkStart w:id="215" w:name="_MON_1402295472"/>
      <w:bookmarkStart w:id="216" w:name="_MON_1429554843"/>
      <w:bookmarkStart w:id="217" w:name="_MON_1368513026"/>
      <w:bookmarkStart w:id="218" w:name="_MON_1368513066"/>
      <w:bookmarkStart w:id="219" w:name="_MON_1368513144"/>
      <w:bookmarkStart w:id="220" w:name="_MON_1368624392"/>
      <w:bookmarkStart w:id="221" w:name="_MON_1368813962"/>
      <w:bookmarkStart w:id="222" w:name="_MON_1368814042"/>
      <w:bookmarkStart w:id="223" w:name="_MON_1368814084"/>
      <w:bookmarkStart w:id="224" w:name="_MON_1368814200"/>
      <w:bookmarkStart w:id="225" w:name="_MON_1368814223"/>
      <w:bookmarkStart w:id="226" w:name="_MON_1368814259"/>
      <w:bookmarkStart w:id="227" w:name="_MON_1368814276"/>
      <w:bookmarkStart w:id="228" w:name="_MON_1369553150"/>
      <w:bookmarkStart w:id="229" w:name="_MON_1369646286"/>
      <w:bookmarkStart w:id="230" w:name="_MON_1369726948"/>
      <w:bookmarkStart w:id="231" w:name="_MON_1369726970"/>
      <w:bookmarkStart w:id="232" w:name="_MON_1369743713"/>
      <w:bookmarkStart w:id="233" w:name="_MON_1369743727"/>
      <w:bookmarkStart w:id="234" w:name="_MON_1370170248"/>
      <w:bookmarkStart w:id="235" w:name="_MON_1370170419"/>
      <w:bookmarkStart w:id="236" w:name="_MON_1370694538"/>
      <w:bookmarkStart w:id="237" w:name="_MON_1395560709"/>
      <w:bookmarkStart w:id="238" w:name="_MON_1401090094"/>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162C02">
        <w:t>£24</w:t>
      </w:r>
      <w:r w:rsidR="00936DF9" w:rsidRPr="00162C02">
        <w:t>5</w:t>
      </w:r>
      <w:r w:rsidRPr="00162C02">
        <w:t>k of capital</w:t>
      </w:r>
      <w:r w:rsidR="00936DF9" w:rsidRPr="00162C02">
        <w:t xml:space="preserve"> ESIF</w:t>
      </w:r>
      <w:r w:rsidRPr="00162C02">
        <w:t xml:space="preserve"> grant was credited as specific grant income to the cost of services as REFCUS grant, off-setting expenditure of a capital nature on assets that were not owned by the Authority.</w:t>
      </w:r>
      <w:r w:rsidRPr="004D057F">
        <w:t xml:space="preserve"> </w:t>
      </w:r>
    </w:p>
    <w:p w14:paraId="0DBD2FAC" w14:textId="77777777" w:rsidR="00086244" w:rsidRDefault="00086244" w:rsidP="0070459C">
      <w:pPr>
        <w:rPr>
          <w:lang w:eastAsia="en-GB"/>
        </w:rPr>
      </w:pPr>
    </w:p>
    <w:p w14:paraId="07D743E5" w14:textId="5B79555B" w:rsidR="000D7C2D" w:rsidRDefault="004D057F" w:rsidP="0070459C">
      <w:pPr>
        <w:rPr>
          <w:lang w:eastAsia="en-GB"/>
        </w:rPr>
      </w:pPr>
      <w:r>
        <w:rPr>
          <w:lang w:eastAsia="en-GB"/>
        </w:rPr>
        <w:t>In addition, as part of the Low Carbon Lake District 2 scheme, the Authority acted as accountable body for other partners in the programme.</w:t>
      </w:r>
      <w:r w:rsidR="00E0146C">
        <w:rPr>
          <w:lang w:eastAsia="en-GB"/>
        </w:rPr>
        <w:t xml:space="preserve"> Income and expenditure relating to these have been excluded from the Authority’s accounts on the basis that the Authority was acting as an agent in these transactions. </w:t>
      </w:r>
      <w:r w:rsidR="0053249D">
        <w:rPr>
          <w:lang w:eastAsia="en-GB"/>
        </w:rPr>
        <w:t xml:space="preserve">Grant </w:t>
      </w:r>
      <w:r w:rsidR="007D5C25">
        <w:rPr>
          <w:lang w:eastAsia="en-GB"/>
        </w:rPr>
        <w:t>relating</w:t>
      </w:r>
      <w:r w:rsidR="0053249D">
        <w:rPr>
          <w:lang w:eastAsia="en-GB"/>
        </w:rPr>
        <w:t xml:space="preserve"> to partners in the year totalled £</w:t>
      </w:r>
      <w:r w:rsidR="00162C02">
        <w:rPr>
          <w:lang w:eastAsia="en-GB"/>
        </w:rPr>
        <w:t>617</w:t>
      </w:r>
      <w:r w:rsidR="0053249D">
        <w:rPr>
          <w:lang w:eastAsia="en-GB"/>
        </w:rPr>
        <w:t>k (£3</w:t>
      </w:r>
      <w:r w:rsidR="00936DF9">
        <w:rPr>
          <w:lang w:eastAsia="en-GB"/>
        </w:rPr>
        <w:t>94</w:t>
      </w:r>
      <w:r w:rsidR="0053249D">
        <w:rPr>
          <w:lang w:eastAsia="en-GB"/>
        </w:rPr>
        <w:t>k in 202</w:t>
      </w:r>
      <w:r w:rsidR="00936DF9">
        <w:rPr>
          <w:lang w:eastAsia="en-GB"/>
        </w:rPr>
        <w:t>2</w:t>
      </w:r>
      <w:r w:rsidR="0053249D">
        <w:rPr>
          <w:lang w:eastAsia="en-GB"/>
        </w:rPr>
        <w:t>/2</w:t>
      </w:r>
      <w:r w:rsidR="00936DF9">
        <w:rPr>
          <w:lang w:eastAsia="en-GB"/>
        </w:rPr>
        <w:t>3</w:t>
      </w:r>
      <w:r w:rsidR="0053249D">
        <w:rPr>
          <w:lang w:eastAsia="en-GB"/>
        </w:rPr>
        <w:t>), this mostly related to payments made to the Lake District Foundation carbon reduction grants programme</w:t>
      </w:r>
      <w:r w:rsidR="00162C02">
        <w:rPr>
          <w:lang w:eastAsia="en-GB"/>
        </w:rPr>
        <w:t xml:space="preserve"> as set out in the related parties note above</w:t>
      </w:r>
      <w:r w:rsidR="0053249D">
        <w:rPr>
          <w:lang w:eastAsia="en-GB"/>
        </w:rPr>
        <w:t>.</w:t>
      </w:r>
    </w:p>
    <w:p w14:paraId="23005278" w14:textId="77777777" w:rsidR="000D7C2D" w:rsidRDefault="000D7C2D" w:rsidP="0070459C">
      <w:pPr>
        <w:rPr>
          <w:lang w:eastAsia="en-GB"/>
        </w:rPr>
      </w:pPr>
    </w:p>
    <w:p w14:paraId="485A473A" w14:textId="6BA02CE6" w:rsidR="008F2002" w:rsidRDefault="00800183" w:rsidP="0070459C">
      <w:pPr>
        <w:rPr>
          <w:lang w:eastAsia="en-GB"/>
        </w:rPr>
      </w:pPr>
      <w:r w:rsidRPr="00375FC3">
        <w:rPr>
          <w:lang w:eastAsia="en-GB"/>
        </w:rPr>
        <w:t>The Authority</w:t>
      </w:r>
      <w:r w:rsidR="00375FC3">
        <w:rPr>
          <w:lang w:eastAsia="en-GB"/>
        </w:rPr>
        <w:t xml:space="preserve"> has also </w:t>
      </w:r>
      <w:r w:rsidR="00FA6F6D" w:rsidRPr="00375FC3">
        <w:rPr>
          <w:lang w:eastAsia="en-GB"/>
        </w:rPr>
        <w:t>receive</w:t>
      </w:r>
      <w:r w:rsidR="00375FC3">
        <w:rPr>
          <w:lang w:eastAsia="en-GB"/>
        </w:rPr>
        <w:t>d</w:t>
      </w:r>
      <w:r w:rsidRPr="00375FC3">
        <w:rPr>
          <w:lang w:eastAsia="en-GB"/>
        </w:rPr>
        <w:t xml:space="preserve"> grant </w:t>
      </w:r>
      <w:r w:rsidR="00375FC3">
        <w:rPr>
          <w:lang w:eastAsia="en-GB"/>
        </w:rPr>
        <w:t xml:space="preserve">with unmet conditions </w:t>
      </w:r>
      <w:r w:rsidRPr="00375FC3">
        <w:rPr>
          <w:lang w:eastAsia="en-GB"/>
        </w:rPr>
        <w:t>that it has yet to recognise</w:t>
      </w:r>
      <w:r w:rsidR="00375FC3">
        <w:rPr>
          <w:lang w:eastAsia="en-GB"/>
        </w:rPr>
        <w:t xml:space="preserve"> as income</w:t>
      </w:r>
      <w:r w:rsidRPr="00375FC3">
        <w:rPr>
          <w:lang w:eastAsia="en-GB"/>
        </w:rPr>
        <w:t>.</w:t>
      </w:r>
      <w:r w:rsidR="00375FC3">
        <w:rPr>
          <w:lang w:eastAsia="en-GB"/>
        </w:rPr>
        <w:t xml:space="preserve"> The following were held as grant receipts in advance:</w:t>
      </w:r>
    </w:p>
    <w:p w14:paraId="4DB07F9F" w14:textId="77777777" w:rsidR="00375FC3" w:rsidRDefault="00375FC3" w:rsidP="0070459C">
      <w:pPr>
        <w:rPr>
          <w:lang w:eastAsia="en-GB"/>
        </w:rPr>
      </w:pPr>
    </w:p>
    <w:p w14:paraId="47104888" w14:textId="77777777" w:rsidR="00936DF9" w:rsidRDefault="00FB2AB8" w:rsidP="0070459C">
      <w:pPr>
        <w:rPr>
          <w:lang w:eastAsia="en-GB"/>
        </w:rPr>
      </w:pPr>
      <w:r w:rsidRPr="00375FC3">
        <w:rPr>
          <w:lang w:eastAsia="en-GB"/>
        </w:rPr>
        <w:t xml:space="preserve">         </w:t>
      </w:r>
    </w:p>
    <w:tbl>
      <w:tblPr>
        <w:tblW w:w="6676" w:type="dxa"/>
        <w:jc w:val="center"/>
        <w:tblLook w:val="04A0" w:firstRow="1" w:lastRow="0" w:firstColumn="1" w:lastColumn="0" w:noHBand="0" w:noVBand="1"/>
      </w:tblPr>
      <w:tblGrid>
        <w:gridCol w:w="3402"/>
        <w:gridCol w:w="1418"/>
        <w:gridCol w:w="1417"/>
        <w:gridCol w:w="439"/>
      </w:tblGrid>
      <w:tr w:rsidR="00936DF9" w:rsidRPr="00936DF9" w14:paraId="7C578587" w14:textId="77777777" w:rsidTr="00434AE0">
        <w:trPr>
          <w:trHeight w:val="290"/>
          <w:jc w:val="center"/>
        </w:trPr>
        <w:tc>
          <w:tcPr>
            <w:tcW w:w="3402" w:type="dxa"/>
            <w:tcBorders>
              <w:top w:val="nil"/>
              <w:left w:val="nil"/>
              <w:bottom w:val="nil"/>
              <w:right w:val="nil"/>
            </w:tcBorders>
            <w:shd w:val="clear" w:color="000000" w:fill="000000"/>
            <w:noWrap/>
            <w:vAlign w:val="bottom"/>
            <w:hideMark/>
          </w:tcPr>
          <w:p w14:paraId="56BB5CA7" w14:textId="77777777" w:rsidR="00936DF9" w:rsidRPr="00936DF9" w:rsidRDefault="00936DF9" w:rsidP="00936DF9">
            <w:pPr>
              <w:rPr>
                <w:rFonts w:cs="Arial"/>
                <w:color w:val="FFFFFF"/>
                <w:sz w:val="20"/>
                <w:szCs w:val="20"/>
                <w:lang w:eastAsia="en-GB"/>
              </w:rPr>
            </w:pPr>
            <w:r w:rsidRPr="00936DF9">
              <w:rPr>
                <w:rFonts w:cs="Arial"/>
                <w:color w:val="FFFFFF"/>
                <w:sz w:val="20"/>
                <w:szCs w:val="20"/>
                <w:lang w:eastAsia="en-GB"/>
              </w:rPr>
              <w:t> </w:t>
            </w:r>
          </w:p>
        </w:tc>
        <w:tc>
          <w:tcPr>
            <w:tcW w:w="1418" w:type="dxa"/>
            <w:tcBorders>
              <w:top w:val="nil"/>
              <w:left w:val="nil"/>
              <w:bottom w:val="nil"/>
              <w:right w:val="nil"/>
            </w:tcBorders>
            <w:shd w:val="clear" w:color="000000" w:fill="000000"/>
            <w:noWrap/>
            <w:vAlign w:val="bottom"/>
            <w:hideMark/>
          </w:tcPr>
          <w:p w14:paraId="6CDE44F0" w14:textId="77777777" w:rsidR="00936DF9" w:rsidRPr="00936DF9" w:rsidRDefault="00936DF9" w:rsidP="00936DF9">
            <w:pPr>
              <w:rPr>
                <w:rFonts w:cs="Arial"/>
                <w:color w:val="FFFFFF"/>
                <w:sz w:val="20"/>
                <w:szCs w:val="20"/>
                <w:lang w:eastAsia="en-GB"/>
              </w:rPr>
            </w:pPr>
            <w:r w:rsidRPr="00936DF9">
              <w:rPr>
                <w:rFonts w:cs="Arial"/>
                <w:color w:val="FFFFFF"/>
                <w:sz w:val="20"/>
                <w:szCs w:val="20"/>
                <w:lang w:eastAsia="en-GB"/>
              </w:rPr>
              <w:t> </w:t>
            </w:r>
          </w:p>
        </w:tc>
        <w:tc>
          <w:tcPr>
            <w:tcW w:w="1417" w:type="dxa"/>
            <w:tcBorders>
              <w:top w:val="nil"/>
              <w:left w:val="nil"/>
              <w:bottom w:val="nil"/>
              <w:right w:val="nil"/>
            </w:tcBorders>
            <w:shd w:val="clear" w:color="000000" w:fill="000000"/>
            <w:noWrap/>
            <w:vAlign w:val="bottom"/>
            <w:hideMark/>
          </w:tcPr>
          <w:p w14:paraId="260795F6" w14:textId="77777777" w:rsidR="00936DF9" w:rsidRPr="00936DF9" w:rsidRDefault="00936DF9" w:rsidP="00936DF9">
            <w:pPr>
              <w:rPr>
                <w:rFonts w:cs="Arial"/>
                <w:color w:val="FFFFFF"/>
                <w:sz w:val="20"/>
                <w:szCs w:val="20"/>
                <w:lang w:eastAsia="en-GB"/>
              </w:rPr>
            </w:pPr>
            <w:r w:rsidRPr="00936DF9">
              <w:rPr>
                <w:rFonts w:cs="Arial"/>
                <w:color w:val="FFFFFF"/>
                <w:sz w:val="20"/>
                <w:szCs w:val="20"/>
                <w:lang w:eastAsia="en-GB"/>
              </w:rPr>
              <w:t> </w:t>
            </w:r>
          </w:p>
        </w:tc>
        <w:tc>
          <w:tcPr>
            <w:tcW w:w="439" w:type="dxa"/>
            <w:tcBorders>
              <w:top w:val="nil"/>
              <w:left w:val="nil"/>
              <w:bottom w:val="nil"/>
              <w:right w:val="nil"/>
            </w:tcBorders>
            <w:shd w:val="clear" w:color="000000" w:fill="000000"/>
            <w:noWrap/>
            <w:vAlign w:val="bottom"/>
            <w:hideMark/>
          </w:tcPr>
          <w:p w14:paraId="0C10D211" w14:textId="77777777" w:rsidR="00936DF9" w:rsidRPr="00936DF9" w:rsidRDefault="00936DF9" w:rsidP="00936DF9">
            <w:pPr>
              <w:rPr>
                <w:rFonts w:cs="Arial"/>
                <w:color w:val="FFFFFF"/>
                <w:sz w:val="20"/>
                <w:szCs w:val="20"/>
                <w:lang w:eastAsia="en-GB"/>
              </w:rPr>
            </w:pPr>
            <w:r w:rsidRPr="00936DF9">
              <w:rPr>
                <w:rFonts w:cs="Arial"/>
                <w:color w:val="FFFFFF"/>
                <w:sz w:val="20"/>
                <w:szCs w:val="20"/>
                <w:lang w:eastAsia="en-GB"/>
              </w:rPr>
              <w:t> </w:t>
            </w:r>
          </w:p>
        </w:tc>
      </w:tr>
      <w:tr w:rsidR="00936DF9" w:rsidRPr="00936DF9" w14:paraId="2F52F8F6" w14:textId="77777777" w:rsidTr="00434AE0">
        <w:trPr>
          <w:trHeight w:val="290"/>
          <w:jc w:val="center"/>
        </w:trPr>
        <w:tc>
          <w:tcPr>
            <w:tcW w:w="3402" w:type="dxa"/>
            <w:tcBorders>
              <w:top w:val="single" w:sz="4" w:space="0" w:color="auto"/>
              <w:left w:val="nil"/>
              <w:bottom w:val="nil"/>
              <w:right w:val="nil"/>
            </w:tcBorders>
            <w:shd w:val="clear" w:color="000000" w:fill="000000"/>
            <w:noWrap/>
            <w:vAlign w:val="bottom"/>
            <w:hideMark/>
          </w:tcPr>
          <w:p w14:paraId="44AA8474" w14:textId="77777777" w:rsidR="00936DF9" w:rsidRPr="00936DF9" w:rsidRDefault="00936DF9" w:rsidP="00936DF9">
            <w:pPr>
              <w:rPr>
                <w:rFonts w:cs="Arial"/>
                <w:color w:val="FFFFFF"/>
                <w:sz w:val="20"/>
                <w:szCs w:val="20"/>
                <w:lang w:eastAsia="en-GB"/>
              </w:rPr>
            </w:pPr>
            <w:r w:rsidRPr="00936DF9">
              <w:rPr>
                <w:rFonts w:cs="Arial"/>
                <w:color w:val="FFFFFF"/>
                <w:sz w:val="20"/>
                <w:szCs w:val="20"/>
                <w:lang w:eastAsia="en-GB"/>
              </w:rPr>
              <w:t> </w:t>
            </w:r>
          </w:p>
        </w:tc>
        <w:tc>
          <w:tcPr>
            <w:tcW w:w="1418" w:type="dxa"/>
            <w:tcBorders>
              <w:top w:val="single" w:sz="4" w:space="0" w:color="auto"/>
              <w:left w:val="nil"/>
              <w:bottom w:val="nil"/>
              <w:right w:val="nil"/>
            </w:tcBorders>
            <w:shd w:val="clear" w:color="000000" w:fill="000000"/>
            <w:noWrap/>
            <w:vAlign w:val="bottom"/>
            <w:hideMark/>
          </w:tcPr>
          <w:p w14:paraId="5CA82C15" w14:textId="77777777" w:rsidR="00936DF9" w:rsidRPr="00936DF9" w:rsidRDefault="00936DF9" w:rsidP="00936DF9">
            <w:pPr>
              <w:jc w:val="center"/>
              <w:rPr>
                <w:rFonts w:cs="Arial"/>
                <w:b/>
                <w:bCs/>
                <w:color w:val="FFFFFF"/>
                <w:sz w:val="20"/>
                <w:szCs w:val="20"/>
                <w:lang w:eastAsia="en-GB"/>
              </w:rPr>
            </w:pPr>
            <w:r w:rsidRPr="00936DF9">
              <w:rPr>
                <w:rFonts w:cs="Arial"/>
                <w:b/>
                <w:bCs/>
                <w:color w:val="FFFFFF"/>
                <w:sz w:val="20"/>
                <w:szCs w:val="20"/>
                <w:lang w:eastAsia="en-GB"/>
              </w:rPr>
              <w:t>2022/23</w:t>
            </w:r>
          </w:p>
        </w:tc>
        <w:tc>
          <w:tcPr>
            <w:tcW w:w="1417" w:type="dxa"/>
            <w:tcBorders>
              <w:top w:val="single" w:sz="4" w:space="0" w:color="auto"/>
              <w:left w:val="nil"/>
              <w:bottom w:val="nil"/>
              <w:right w:val="nil"/>
            </w:tcBorders>
            <w:shd w:val="clear" w:color="000000" w:fill="000000"/>
            <w:noWrap/>
            <w:vAlign w:val="bottom"/>
            <w:hideMark/>
          </w:tcPr>
          <w:p w14:paraId="3AB00895" w14:textId="77777777" w:rsidR="00936DF9" w:rsidRPr="00936DF9" w:rsidRDefault="00936DF9" w:rsidP="00936DF9">
            <w:pPr>
              <w:jc w:val="center"/>
              <w:rPr>
                <w:rFonts w:cs="Arial"/>
                <w:b/>
                <w:bCs/>
                <w:color w:val="FFFFFF"/>
                <w:sz w:val="20"/>
                <w:szCs w:val="20"/>
                <w:lang w:eastAsia="en-GB"/>
              </w:rPr>
            </w:pPr>
            <w:r w:rsidRPr="00936DF9">
              <w:rPr>
                <w:rFonts w:cs="Arial"/>
                <w:b/>
                <w:bCs/>
                <w:color w:val="FFFFFF"/>
                <w:sz w:val="20"/>
                <w:szCs w:val="20"/>
                <w:lang w:eastAsia="en-GB"/>
              </w:rPr>
              <w:t>2023/24</w:t>
            </w:r>
          </w:p>
        </w:tc>
        <w:tc>
          <w:tcPr>
            <w:tcW w:w="439" w:type="dxa"/>
            <w:tcBorders>
              <w:top w:val="single" w:sz="4" w:space="0" w:color="auto"/>
              <w:left w:val="nil"/>
              <w:bottom w:val="nil"/>
              <w:right w:val="single" w:sz="4" w:space="0" w:color="auto"/>
            </w:tcBorders>
            <w:shd w:val="clear" w:color="000000" w:fill="000000"/>
            <w:noWrap/>
            <w:vAlign w:val="bottom"/>
            <w:hideMark/>
          </w:tcPr>
          <w:p w14:paraId="0E4605A3" w14:textId="77777777" w:rsidR="00936DF9" w:rsidRPr="00936DF9" w:rsidRDefault="00936DF9" w:rsidP="00936DF9">
            <w:pPr>
              <w:rPr>
                <w:rFonts w:cs="Arial"/>
                <w:color w:val="FFFFFF"/>
                <w:sz w:val="20"/>
                <w:szCs w:val="20"/>
                <w:lang w:eastAsia="en-GB"/>
              </w:rPr>
            </w:pPr>
            <w:r w:rsidRPr="00936DF9">
              <w:rPr>
                <w:rFonts w:cs="Arial"/>
                <w:color w:val="FFFFFF"/>
                <w:sz w:val="20"/>
                <w:szCs w:val="20"/>
                <w:lang w:eastAsia="en-GB"/>
              </w:rPr>
              <w:t> </w:t>
            </w:r>
          </w:p>
        </w:tc>
      </w:tr>
      <w:tr w:rsidR="00936DF9" w:rsidRPr="00936DF9" w14:paraId="3CB10BCB" w14:textId="77777777" w:rsidTr="00434AE0">
        <w:trPr>
          <w:trHeight w:val="290"/>
          <w:jc w:val="center"/>
        </w:trPr>
        <w:tc>
          <w:tcPr>
            <w:tcW w:w="3402" w:type="dxa"/>
            <w:tcBorders>
              <w:top w:val="nil"/>
              <w:left w:val="nil"/>
              <w:bottom w:val="nil"/>
              <w:right w:val="nil"/>
            </w:tcBorders>
            <w:shd w:val="clear" w:color="000000" w:fill="000000"/>
            <w:noWrap/>
            <w:vAlign w:val="bottom"/>
            <w:hideMark/>
          </w:tcPr>
          <w:p w14:paraId="1D25B86E" w14:textId="77777777" w:rsidR="00936DF9" w:rsidRPr="00936DF9" w:rsidRDefault="00936DF9" w:rsidP="00936DF9">
            <w:pPr>
              <w:rPr>
                <w:rFonts w:cs="Arial"/>
                <w:color w:val="FFFFFF"/>
                <w:sz w:val="20"/>
                <w:szCs w:val="20"/>
                <w:lang w:eastAsia="en-GB"/>
              </w:rPr>
            </w:pPr>
            <w:r w:rsidRPr="00936DF9">
              <w:rPr>
                <w:rFonts w:cs="Arial"/>
                <w:color w:val="FFFFFF"/>
                <w:sz w:val="20"/>
                <w:szCs w:val="20"/>
                <w:lang w:eastAsia="en-GB"/>
              </w:rPr>
              <w:t> </w:t>
            </w:r>
          </w:p>
        </w:tc>
        <w:tc>
          <w:tcPr>
            <w:tcW w:w="1418" w:type="dxa"/>
            <w:tcBorders>
              <w:top w:val="nil"/>
              <w:left w:val="nil"/>
              <w:bottom w:val="nil"/>
              <w:right w:val="nil"/>
            </w:tcBorders>
            <w:shd w:val="clear" w:color="000000" w:fill="000000"/>
            <w:noWrap/>
            <w:vAlign w:val="bottom"/>
            <w:hideMark/>
          </w:tcPr>
          <w:p w14:paraId="4B211D3E" w14:textId="77777777" w:rsidR="00936DF9" w:rsidRPr="00936DF9" w:rsidRDefault="00936DF9" w:rsidP="00936DF9">
            <w:pPr>
              <w:jc w:val="center"/>
              <w:rPr>
                <w:rFonts w:cs="Arial"/>
                <w:b/>
                <w:bCs/>
                <w:color w:val="FFFFFF"/>
                <w:sz w:val="20"/>
                <w:szCs w:val="20"/>
                <w:lang w:eastAsia="en-GB"/>
              </w:rPr>
            </w:pPr>
            <w:r w:rsidRPr="00936DF9">
              <w:rPr>
                <w:rFonts w:cs="Arial"/>
                <w:b/>
                <w:bCs/>
                <w:color w:val="FFFFFF"/>
                <w:sz w:val="20"/>
                <w:szCs w:val="20"/>
                <w:lang w:eastAsia="en-GB"/>
              </w:rPr>
              <w:t>£000</w:t>
            </w:r>
          </w:p>
        </w:tc>
        <w:tc>
          <w:tcPr>
            <w:tcW w:w="1417" w:type="dxa"/>
            <w:tcBorders>
              <w:top w:val="nil"/>
              <w:left w:val="nil"/>
              <w:bottom w:val="nil"/>
              <w:right w:val="nil"/>
            </w:tcBorders>
            <w:shd w:val="clear" w:color="000000" w:fill="000000"/>
            <w:noWrap/>
            <w:vAlign w:val="bottom"/>
            <w:hideMark/>
          </w:tcPr>
          <w:p w14:paraId="506B9FBA" w14:textId="77777777" w:rsidR="00936DF9" w:rsidRPr="00936DF9" w:rsidRDefault="00936DF9" w:rsidP="00936DF9">
            <w:pPr>
              <w:jc w:val="center"/>
              <w:rPr>
                <w:rFonts w:cs="Arial"/>
                <w:b/>
                <w:bCs/>
                <w:color w:val="FFFFFF"/>
                <w:sz w:val="20"/>
                <w:szCs w:val="20"/>
                <w:lang w:eastAsia="en-GB"/>
              </w:rPr>
            </w:pPr>
            <w:r w:rsidRPr="00936DF9">
              <w:rPr>
                <w:rFonts w:cs="Arial"/>
                <w:b/>
                <w:bCs/>
                <w:color w:val="FFFFFF"/>
                <w:sz w:val="20"/>
                <w:szCs w:val="20"/>
                <w:lang w:eastAsia="en-GB"/>
              </w:rPr>
              <w:t>£000</w:t>
            </w:r>
          </w:p>
        </w:tc>
        <w:tc>
          <w:tcPr>
            <w:tcW w:w="439" w:type="dxa"/>
            <w:tcBorders>
              <w:top w:val="nil"/>
              <w:left w:val="nil"/>
              <w:bottom w:val="nil"/>
              <w:right w:val="single" w:sz="4" w:space="0" w:color="auto"/>
            </w:tcBorders>
            <w:shd w:val="clear" w:color="000000" w:fill="000000"/>
            <w:noWrap/>
            <w:vAlign w:val="bottom"/>
            <w:hideMark/>
          </w:tcPr>
          <w:p w14:paraId="4BDB71FE" w14:textId="77777777" w:rsidR="00936DF9" w:rsidRPr="00936DF9" w:rsidRDefault="00936DF9" w:rsidP="00936DF9">
            <w:pPr>
              <w:rPr>
                <w:rFonts w:cs="Arial"/>
                <w:color w:val="FFFFFF"/>
                <w:sz w:val="20"/>
                <w:szCs w:val="20"/>
                <w:lang w:eastAsia="en-GB"/>
              </w:rPr>
            </w:pPr>
            <w:r w:rsidRPr="00936DF9">
              <w:rPr>
                <w:rFonts w:cs="Arial"/>
                <w:color w:val="FFFFFF"/>
                <w:sz w:val="20"/>
                <w:szCs w:val="20"/>
                <w:lang w:eastAsia="en-GB"/>
              </w:rPr>
              <w:t> </w:t>
            </w:r>
          </w:p>
        </w:tc>
      </w:tr>
      <w:tr w:rsidR="00936DF9" w:rsidRPr="00936DF9" w14:paraId="51E972CA" w14:textId="77777777" w:rsidTr="00434AE0">
        <w:trPr>
          <w:trHeight w:val="290"/>
          <w:jc w:val="center"/>
        </w:trPr>
        <w:tc>
          <w:tcPr>
            <w:tcW w:w="3402" w:type="dxa"/>
            <w:tcBorders>
              <w:top w:val="nil"/>
              <w:left w:val="single" w:sz="4" w:space="0" w:color="auto"/>
              <w:bottom w:val="nil"/>
              <w:right w:val="nil"/>
            </w:tcBorders>
            <w:shd w:val="clear" w:color="auto" w:fill="auto"/>
            <w:noWrap/>
            <w:vAlign w:val="bottom"/>
            <w:hideMark/>
          </w:tcPr>
          <w:p w14:paraId="6F1E4183" w14:textId="77777777" w:rsidR="00936DF9" w:rsidRPr="00936DF9" w:rsidRDefault="00936DF9" w:rsidP="00936DF9">
            <w:pPr>
              <w:rPr>
                <w:rFonts w:cs="Arial"/>
                <w:sz w:val="20"/>
                <w:szCs w:val="20"/>
                <w:lang w:eastAsia="en-GB"/>
              </w:rPr>
            </w:pPr>
            <w:r w:rsidRPr="00936DF9">
              <w:rPr>
                <w:rFonts w:cs="Arial"/>
                <w:sz w:val="20"/>
                <w:szCs w:val="20"/>
                <w:lang w:eastAsia="en-GB"/>
              </w:rPr>
              <w:t> </w:t>
            </w:r>
          </w:p>
        </w:tc>
        <w:tc>
          <w:tcPr>
            <w:tcW w:w="1418" w:type="dxa"/>
            <w:tcBorders>
              <w:top w:val="nil"/>
              <w:left w:val="nil"/>
              <w:bottom w:val="nil"/>
              <w:right w:val="nil"/>
            </w:tcBorders>
            <w:shd w:val="clear" w:color="auto" w:fill="auto"/>
            <w:noWrap/>
            <w:vAlign w:val="bottom"/>
            <w:hideMark/>
          </w:tcPr>
          <w:p w14:paraId="76C42577" w14:textId="77777777" w:rsidR="00936DF9" w:rsidRPr="00936DF9" w:rsidRDefault="00936DF9" w:rsidP="00936DF9">
            <w:pPr>
              <w:rPr>
                <w:rFonts w:cs="Arial"/>
                <w:sz w:val="20"/>
                <w:szCs w:val="20"/>
                <w:lang w:eastAsia="en-GB"/>
              </w:rPr>
            </w:pPr>
          </w:p>
        </w:tc>
        <w:tc>
          <w:tcPr>
            <w:tcW w:w="1417" w:type="dxa"/>
            <w:tcBorders>
              <w:top w:val="nil"/>
              <w:left w:val="nil"/>
              <w:bottom w:val="nil"/>
              <w:right w:val="nil"/>
            </w:tcBorders>
            <w:shd w:val="clear" w:color="auto" w:fill="auto"/>
            <w:noWrap/>
            <w:vAlign w:val="bottom"/>
            <w:hideMark/>
          </w:tcPr>
          <w:p w14:paraId="5DDE2F34" w14:textId="77777777" w:rsidR="00936DF9" w:rsidRPr="00936DF9" w:rsidRDefault="00936DF9" w:rsidP="00936DF9">
            <w:pPr>
              <w:rPr>
                <w:rFonts w:ascii="Times New Roman" w:hAnsi="Times New Roman"/>
                <w:sz w:val="20"/>
                <w:szCs w:val="20"/>
                <w:lang w:eastAsia="en-GB"/>
              </w:rPr>
            </w:pPr>
          </w:p>
        </w:tc>
        <w:tc>
          <w:tcPr>
            <w:tcW w:w="439" w:type="dxa"/>
            <w:tcBorders>
              <w:top w:val="nil"/>
              <w:left w:val="nil"/>
              <w:bottom w:val="nil"/>
              <w:right w:val="single" w:sz="4" w:space="0" w:color="auto"/>
            </w:tcBorders>
            <w:shd w:val="clear" w:color="auto" w:fill="auto"/>
            <w:noWrap/>
            <w:vAlign w:val="bottom"/>
            <w:hideMark/>
          </w:tcPr>
          <w:p w14:paraId="2FC5CA2A"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936DF9" w:rsidRPr="00936DF9" w14:paraId="39818F81" w14:textId="77777777" w:rsidTr="00434AE0">
        <w:trPr>
          <w:trHeight w:val="300"/>
          <w:jc w:val="center"/>
        </w:trPr>
        <w:tc>
          <w:tcPr>
            <w:tcW w:w="3402" w:type="dxa"/>
            <w:tcBorders>
              <w:top w:val="nil"/>
              <w:left w:val="single" w:sz="4" w:space="0" w:color="auto"/>
              <w:bottom w:val="nil"/>
              <w:right w:val="nil"/>
            </w:tcBorders>
            <w:shd w:val="clear" w:color="auto" w:fill="auto"/>
            <w:noWrap/>
            <w:vAlign w:val="bottom"/>
            <w:hideMark/>
          </w:tcPr>
          <w:p w14:paraId="03E59ECE" w14:textId="77777777" w:rsidR="00936DF9" w:rsidRPr="00936DF9" w:rsidRDefault="00936DF9" w:rsidP="00936DF9">
            <w:pPr>
              <w:rPr>
                <w:rFonts w:cs="Arial"/>
                <w:b/>
                <w:bCs/>
                <w:lang w:eastAsia="en-GB"/>
              </w:rPr>
            </w:pPr>
            <w:r w:rsidRPr="00936DF9">
              <w:rPr>
                <w:rFonts w:cs="Arial"/>
                <w:b/>
                <w:bCs/>
                <w:lang w:eastAsia="en-GB"/>
              </w:rPr>
              <w:t>Grant Receipts in Advance</w:t>
            </w:r>
          </w:p>
        </w:tc>
        <w:tc>
          <w:tcPr>
            <w:tcW w:w="1418" w:type="dxa"/>
            <w:tcBorders>
              <w:top w:val="nil"/>
              <w:left w:val="nil"/>
              <w:bottom w:val="nil"/>
              <w:right w:val="nil"/>
            </w:tcBorders>
            <w:shd w:val="clear" w:color="auto" w:fill="auto"/>
            <w:noWrap/>
            <w:vAlign w:val="bottom"/>
            <w:hideMark/>
          </w:tcPr>
          <w:p w14:paraId="1B09FC23" w14:textId="77777777" w:rsidR="00936DF9" w:rsidRPr="00936DF9" w:rsidRDefault="00936DF9" w:rsidP="00936DF9">
            <w:pPr>
              <w:rPr>
                <w:rFonts w:cs="Arial"/>
                <w:b/>
                <w:bCs/>
                <w:lang w:eastAsia="en-GB"/>
              </w:rPr>
            </w:pPr>
          </w:p>
        </w:tc>
        <w:tc>
          <w:tcPr>
            <w:tcW w:w="1417" w:type="dxa"/>
            <w:tcBorders>
              <w:top w:val="nil"/>
              <w:left w:val="nil"/>
              <w:bottom w:val="nil"/>
              <w:right w:val="nil"/>
            </w:tcBorders>
            <w:shd w:val="clear" w:color="auto" w:fill="auto"/>
            <w:noWrap/>
            <w:vAlign w:val="bottom"/>
            <w:hideMark/>
          </w:tcPr>
          <w:p w14:paraId="691A8023" w14:textId="77777777" w:rsidR="00936DF9" w:rsidRPr="00936DF9" w:rsidRDefault="00936DF9" w:rsidP="00936DF9">
            <w:pPr>
              <w:rPr>
                <w:rFonts w:ascii="Times New Roman" w:hAnsi="Times New Roman"/>
                <w:sz w:val="20"/>
                <w:szCs w:val="20"/>
                <w:lang w:eastAsia="en-GB"/>
              </w:rPr>
            </w:pPr>
          </w:p>
        </w:tc>
        <w:tc>
          <w:tcPr>
            <w:tcW w:w="439" w:type="dxa"/>
            <w:tcBorders>
              <w:top w:val="nil"/>
              <w:left w:val="nil"/>
              <w:bottom w:val="nil"/>
              <w:right w:val="single" w:sz="4" w:space="0" w:color="auto"/>
            </w:tcBorders>
            <w:shd w:val="clear" w:color="auto" w:fill="auto"/>
            <w:noWrap/>
            <w:vAlign w:val="bottom"/>
            <w:hideMark/>
          </w:tcPr>
          <w:p w14:paraId="38B2AC1C"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936DF9" w:rsidRPr="00936DF9" w14:paraId="3725366D" w14:textId="77777777" w:rsidTr="00434AE0">
        <w:trPr>
          <w:trHeight w:val="300"/>
          <w:jc w:val="center"/>
        </w:trPr>
        <w:tc>
          <w:tcPr>
            <w:tcW w:w="3402" w:type="dxa"/>
            <w:tcBorders>
              <w:top w:val="nil"/>
              <w:left w:val="single" w:sz="4" w:space="0" w:color="auto"/>
              <w:bottom w:val="nil"/>
              <w:right w:val="nil"/>
            </w:tcBorders>
            <w:shd w:val="clear" w:color="auto" w:fill="auto"/>
            <w:noWrap/>
            <w:vAlign w:val="bottom"/>
            <w:hideMark/>
          </w:tcPr>
          <w:p w14:paraId="3A6B1FD4" w14:textId="77777777" w:rsidR="00936DF9" w:rsidRPr="00936DF9" w:rsidRDefault="00936DF9" w:rsidP="00936DF9">
            <w:pPr>
              <w:rPr>
                <w:rFonts w:cs="Arial"/>
                <w:b/>
                <w:bCs/>
                <w:lang w:eastAsia="en-GB"/>
              </w:rPr>
            </w:pPr>
            <w:r w:rsidRPr="00936DF9">
              <w:rPr>
                <w:rFonts w:cs="Arial"/>
                <w:b/>
                <w:bCs/>
                <w:lang w:eastAsia="en-GB"/>
              </w:rPr>
              <w:t> </w:t>
            </w:r>
          </w:p>
        </w:tc>
        <w:tc>
          <w:tcPr>
            <w:tcW w:w="1418" w:type="dxa"/>
            <w:tcBorders>
              <w:top w:val="nil"/>
              <w:left w:val="nil"/>
              <w:bottom w:val="nil"/>
              <w:right w:val="nil"/>
            </w:tcBorders>
            <w:shd w:val="clear" w:color="auto" w:fill="auto"/>
            <w:noWrap/>
            <w:vAlign w:val="bottom"/>
            <w:hideMark/>
          </w:tcPr>
          <w:p w14:paraId="3AB0EB4C" w14:textId="77777777" w:rsidR="00936DF9" w:rsidRPr="00936DF9" w:rsidRDefault="00936DF9" w:rsidP="00936DF9">
            <w:pPr>
              <w:rPr>
                <w:rFonts w:cs="Arial"/>
                <w:b/>
                <w:bCs/>
                <w:lang w:eastAsia="en-GB"/>
              </w:rPr>
            </w:pPr>
          </w:p>
        </w:tc>
        <w:tc>
          <w:tcPr>
            <w:tcW w:w="1417" w:type="dxa"/>
            <w:tcBorders>
              <w:top w:val="nil"/>
              <w:left w:val="nil"/>
              <w:bottom w:val="nil"/>
              <w:right w:val="nil"/>
            </w:tcBorders>
            <w:shd w:val="clear" w:color="auto" w:fill="auto"/>
            <w:noWrap/>
            <w:vAlign w:val="bottom"/>
            <w:hideMark/>
          </w:tcPr>
          <w:p w14:paraId="303F8FF0" w14:textId="77777777" w:rsidR="00936DF9" w:rsidRPr="00936DF9" w:rsidRDefault="00936DF9" w:rsidP="00936DF9">
            <w:pPr>
              <w:rPr>
                <w:rFonts w:ascii="Times New Roman" w:hAnsi="Times New Roman"/>
                <w:sz w:val="20"/>
                <w:szCs w:val="20"/>
                <w:lang w:eastAsia="en-GB"/>
              </w:rPr>
            </w:pPr>
          </w:p>
        </w:tc>
        <w:tc>
          <w:tcPr>
            <w:tcW w:w="439" w:type="dxa"/>
            <w:tcBorders>
              <w:top w:val="nil"/>
              <w:left w:val="nil"/>
              <w:bottom w:val="nil"/>
              <w:right w:val="single" w:sz="4" w:space="0" w:color="auto"/>
            </w:tcBorders>
            <w:shd w:val="clear" w:color="auto" w:fill="auto"/>
            <w:noWrap/>
            <w:vAlign w:val="bottom"/>
            <w:hideMark/>
          </w:tcPr>
          <w:p w14:paraId="1181AF0D"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936DF9" w:rsidRPr="00936DF9" w14:paraId="1DB5B1AF" w14:textId="77777777" w:rsidTr="00434AE0">
        <w:trPr>
          <w:trHeight w:val="300"/>
          <w:jc w:val="center"/>
        </w:trPr>
        <w:tc>
          <w:tcPr>
            <w:tcW w:w="3402" w:type="dxa"/>
            <w:tcBorders>
              <w:top w:val="nil"/>
              <w:left w:val="single" w:sz="4" w:space="0" w:color="auto"/>
              <w:bottom w:val="nil"/>
              <w:right w:val="nil"/>
            </w:tcBorders>
            <w:shd w:val="clear" w:color="auto" w:fill="auto"/>
            <w:noWrap/>
            <w:vAlign w:val="bottom"/>
            <w:hideMark/>
          </w:tcPr>
          <w:p w14:paraId="29A5CFFC" w14:textId="77777777" w:rsidR="00936DF9" w:rsidRPr="00162C02" w:rsidRDefault="00936DF9" w:rsidP="00936DF9">
            <w:pPr>
              <w:rPr>
                <w:rFonts w:cs="Arial"/>
                <w:sz w:val="24"/>
                <w:szCs w:val="24"/>
                <w:lang w:eastAsia="en-GB"/>
              </w:rPr>
            </w:pPr>
            <w:r w:rsidRPr="00162C02">
              <w:rPr>
                <w:rFonts w:cs="Arial"/>
                <w:sz w:val="24"/>
                <w:szCs w:val="24"/>
                <w:lang w:eastAsia="en-GB"/>
              </w:rPr>
              <w:t>National Grid</w:t>
            </w:r>
          </w:p>
        </w:tc>
        <w:tc>
          <w:tcPr>
            <w:tcW w:w="1418" w:type="dxa"/>
            <w:tcBorders>
              <w:top w:val="nil"/>
              <w:left w:val="nil"/>
              <w:bottom w:val="nil"/>
              <w:right w:val="nil"/>
            </w:tcBorders>
            <w:shd w:val="clear" w:color="auto" w:fill="auto"/>
            <w:noWrap/>
            <w:vAlign w:val="bottom"/>
            <w:hideMark/>
          </w:tcPr>
          <w:p w14:paraId="5928CEF6"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175</w:t>
            </w:r>
          </w:p>
        </w:tc>
        <w:tc>
          <w:tcPr>
            <w:tcW w:w="1417" w:type="dxa"/>
            <w:tcBorders>
              <w:top w:val="nil"/>
              <w:left w:val="nil"/>
              <w:bottom w:val="nil"/>
              <w:right w:val="nil"/>
            </w:tcBorders>
            <w:shd w:val="clear" w:color="auto" w:fill="auto"/>
            <w:noWrap/>
            <w:vAlign w:val="bottom"/>
            <w:hideMark/>
          </w:tcPr>
          <w:p w14:paraId="0D989A19"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75</w:t>
            </w:r>
          </w:p>
        </w:tc>
        <w:tc>
          <w:tcPr>
            <w:tcW w:w="439" w:type="dxa"/>
            <w:tcBorders>
              <w:top w:val="nil"/>
              <w:left w:val="nil"/>
              <w:bottom w:val="nil"/>
              <w:right w:val="single" w:sz="4" w:space="0" w:color="auto"/>
            </w:tcBorders>
            <w:shd w:val="clear" w:color="auto" w:fill="auto"/>
            <w:noWrap/>
            <w:vAlign w:val="bottom"/>
            <w:hideMark/>
          </w:tcPr>
          <w:p w14:paraId="325C65AF"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936DF9" w:rsidRPr="00936DF9" w14:paraId="110F4C88" w14:textId="77777777" w:rsidTr="00434AE0">
        <w:trPr>
          <w:trHeight w:val="300"/>
          <w:jc w:val="center"/>
        </w:trPr>
        <w:tc>
          <w:tcPr>
            <w:tcW w:w="3402" w:type="dxa"/>
            <w:tcBorders>
              <w:top w:val="nil"/>
              <w:left w:val="single" w:sz="4" w:space="0" w:color="auto"/>
              <w:bottom w:val="nil"/>
              <w:right w:val="nil"/>
            </w:tcBorders>
            <w:shd w:val="clear" w:color="auto" w:fill="auto"/>
            <w:noWrap/>
            <w:vAlign w:val="bottom"/>
            <w:hideMark/>
          </w:tcPr>
          <w:p w14:paraId="5E6E4882" w14:textId="77777777" w:rsidR="00936DF9" w:rsidRPr="00162C02" w:rsidRDefault="00936DF9" w:rsidP="00936DF9">
            <w:pPr>
              <w:rPr>
                <w:rFonts w:cs="Arial"/>
                <w:sz w:val="24"/>
                <w:szCs w:val="24"/>
                <w:lang w:eastAsia="en-GB"/>
              </w:rPr>
            </w:pPr>
            <w:r w:rsidRPr="00162C02">
              <w:rPr>
                <w:rFonts w:cs="Arial"/>
                <w:sz w:val="24"/>
                <w:szCs w:val="24"/>
                <w:lang w:eastAsia="en-GB"/>
              </w:rPr>
              <w:t xml:space="preserve">Cumbria Country Council </w:t>
            </w:r>
          </w:p>
        </w:tc>
        <w:tc>
          <w:tcPr>
            <w:tcW w:w="1418" w:type="dxa"/>
            <w:tcBorders>
              <w:top w:val="nil"/>
              <w:left w:val="nil"/>
              <w:bottom w:val="nil"/>
              <w:right w:val="nil"/>
            </w:tcBorders>
            <w:shd w:val="clear" w:color="auto" w:fill="auto"/>
            <w:noWrap/>
            <w:vAlign w:val="bottom"/>
            <w:hideMark/>
          </w:tcPr>
          <w:p w14:paraId="47E09D6F"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76</w:t>
            </w:r>
          </w:p>
        </w:tc>
        <w:tc>
          <w:tcPr>
            <w:tcW w:w="1417" w:type="dxa"/>
            <w:tcBorders>
              <w:top w:val="nil"/>
              <w:left w:val="nil"/>
              <w:bottom w:val="nil"/>
              <w:right w:val="nil"/>
            </w:tcBorders>
            <w:shd w:val="clear" w:color="auto" w:fill="auto"/>
            <w:noWrap/>
            <w:vAlign w:val="bottom"/>
            <w:hideMark/>
          </w:tcPr>
          <w:p w14:paraId="0F048EFB"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0</w:t>
            </w:r>
          </w:p>
        </w:tc>
        <w:tc>
          <w:tcPr>
            <w:tcW w:w="439" w:type="dxa"/>
            <w:tcBorders>
              <w:top w:val="nil"/>
              <w:left w:val="nil"/>
              <w:bottom w:val="nil"/>
              <w:right w:val="single" w:sz="4" w:space="0" w:color="auto"/>
            </w:tcBorders>
            <w:shd w:val="clear" w:color="auto" w:fill="auto"/>
            <w:noWrap/>
            <w:vAlign w:val="bottom"/>
            <w:hideMark/>
          </w:tcPr>
          <w:p w14:paraId="3CEDFCFD"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936DF9" w:rsidRPr="00936DF9" w14:paraId="326C8CC7" w14:textId="77777777" w:rsidTr="00434AE0">
        <w:trPr>
          <w:trHeight w:val="300"/>
          <w:jc w:val="center"/>
        </w:trPr>
        <w:tc>
          <w:tcPr>
            <w:tcW w:w="3402" w:type="dxa"/>
            <w:tcBorders>
              <w:top w:val="nil"/>
              <w:left w:val="single" w:sz="4" w:space="0" w:color="auto"/>
              <w:bottom w:val="nil"/>
              <w:right w:val="nil"/>
            </w:tcBorders>
            <w:shd w:val="clear" w:color="auto" w:fill="auto"/>
            <w:noWrap/>
            <w:vAlign w:val="bottom"/>
            <w:hideMark/>
          </w:tcPr>
          <w:p w14:paraId="12F7AFFC" w14:textId="77777777" w:rsidR="00936DF9" w:rsidRPr="00162C02" w:rsidRDefault="00936DF9" w:rsidP="00936DF9">
            <w:pPr>
              <w:rPr>
                <w:rFonts w:cs="Arial"/>
                <w:sz w:val="24"/>
                <w:szCs w:val="24"/>
                <w:lang w:eastAsia="en-GB"/>
              </w:rPr>
            </w:pPr>
            <w:r w:rsidRPr="00162C02">
              <w:rPr>
                <w:rFonts w:cs="Arial"/>
                <w:sz w:val="24"/>
                <w:szCs w:val="24"/>
                <w:lang w:eastAsia="en-GB"/>
              </w:rPr>
              <w:t>Copeland Borough Council</w:t>
            </w:r>
          </w:p>
        </w:tc>
        <w:tc>
          <w:tcPr>
            <w:tcW w:w="1418" w:type="dxa"/>
            <w:tcBorders>
              <w:top w:val="nil"/>
              <w:left w:val="nil"/>
              <w:bottom w:val="nil"/>
              <w:right w:val="nil"/>
            </w:tcBorders>
            <w:shd w:val="clear" w:color="auto" w:fill="auto"/>
            <w:noWrap/>
            <w:vAlign w:val="bottom"/>
            <w:hideMark/>
          </w:tcPr>
          <w:p w14:paraId="43272153"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74</w:t>
            </w:r>
          </w:p>
        </w:tc>
        <w:tc>
          <w:tcPr>
            <w:tcW w:w="1417" w:type="dxa"/>
            <w:tcBorders>
              <w:top w:val="nil"/>
              <w:left w:val="nil"/>
              <w:bottom w:val="nil"/>
              <w:right w:val="nil"/>
            </w:tcBorders>
            <w:shd w:val="clear" w:color="auto" w:fill="auto"/>
            <w:noWrap/>
            <w:vAlign w:val="bottom"/>
            <w:hideMark/>
          </w:tcPr>
          <w:p w14:paraId="4F3651A1"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0</w:t>
            </w:r>
          </w:p>
        </w:tc>
        <w:tc>
          <w:tcPr>
            <w:tcW w:w="439" w:type="dxa"/>
            <w:tcBorders>
              <w:top w:val="nil"/>
              <w:left w:val="nil"/>
              <w:bottom w:val="nil"/>
              <w:right w:val="single" w:sz="4" w:space="0" w:color="auto"/>
            </w:tcBorders>
            <w:shd w:val="clear" w:color="auto" w:fill="auto"/>
            <w:noWrap/>
            <w:vAlign w:val="bottom"/>
            <w:hideMark/>
          </w:tcPr>
          <w:p w14:paraId="71E67D94"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936DF9" w:rsidRPr="00936DF9" w14:paraId="6FA2048F" w14:textId="77777777" w:rsidTr="00434AE0">
        <w:trPr>
          <w:trHeight w:val="300"/>
          <w:jc w:val="center"/>
        </w:trPr>
        <w:tc>
          <w:tcPr>
            <w:tcW w:w="3402" w:type="dxa"/>
            <w:tcBorders>
              <w:top w:val="nil"/>
              <w:left w:val="single" w:sz="4" w:space="0" w:color="auto"/>
              <w:bottom w:val="nil"/>
              <w:right w:val="nil"/>
            </w:tcBorders>
            <w:shd w:val="clear" w:color="auto" w:fill="auto"/>
            <w:noWrap/>
            <w:vAlign w:val="bottom"/>
            <w:hideMark/>
          </w:tcPr>
          <w:p w14:paraId="09618B6F" w14:textId="77777777" w:rsidR="00936DF9" w:rsidRPr="00162C02" w:rsidRDefault="00936DF9" w:rsidP="00936DF9">
            <w:pPr>
              <w:rPr>
                <w:rFonts w:cs="Arial"/>
                <w:sz w:val="24"/>
                <w:szCs w:val="24"/>
                <w:lang w:eastAsia="en-GB"/>
              </w:rPr>
            </w:pPr>
            <w:r w:rsidRPr="00162C02">
              <w:rPr>
                <w:rFonts w:cs="Arial"/>
                <w:sz w:val="24"/>
                <w:szCs w:val="24"/>
                <w:lang w:eastAsia="en-GB"/>
              </w:rPr>
              <w:t>Copeland Community Fund</w:t>
            </w:r>
          </w:p>
        </w:tc>
        <w:tc>
          <w:tcPr>
            <w:tcW w:w="1418" w:type="dxa"/>
            <w:tcBorders>
              <w:top w:val="nil"/>
              <w:left w:val="nil"/>
              <w:bottom w:val="nil"/>
              <w:right w:val="nil"/>
            </w:tcBorders>
            <w:shd w:val="clear" w:color="auto" w:fill="auto"/>
            <w:noWrap/>
            <w:vAlign w:val="bottom"/>
            <w:hideMark/>
          </w:tcPr>
          <w:p w14:paraId="7E2ECC54"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22</w:t>
            </w:r>
          </w:p>
        </w:tc>
        <w:tc>
          <w:tcPr>
            <w:tcW w:w="1417" w:type="dxa"/>
            <w:tcBorders>
              <w:top w:val="nil"/>
              <w:left w:val="nil"/>
              <w:bottom w:val="nil"/>
              <w:right w:val="nil"/>
            </w:tcBorders>
            <w:shd w:val="clear" w:color="auto" w:fill="auto"/>
            <w:noWrap/>
            <w:vAlign w:val="bottom"/>
            <w:hideMark/>
          </w:tcPr>
          <w:p w14:paraId="6461BCC2"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0</w:t>
            </w:r>
          </w:p>
        </w:tc>
        <w:tc>
          <w:tcPr>
            <w:tcW w:w="439" w:type="dxa"/>
            <w:tcBorders>
              <w:top w:val="nil"/>
              <w:left w:val="nil"/>
              <w:bottom w:val="nil"/>
              <w:right w:val="single" w:sz="4" w:space="0" w:color="auto"/>
            </w:tcBorders>
            <w:shd w:val="clear" w:color="auto" w:fill="auto"/>
            <w:noWrap/>
            <w:vAlign w:val="bottom"/>
            <w:hideMark/>
          </w:tcPr>
          <w:p w14:paraId="14933D44"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936DF9" w:rsidRPr="00936DF9" w14:paraId="58B0328D" w14:textId="77777777" w:rsidTr="00434AE0">
        <w:trPr>
          <w:trHeight w:val="300"/>
          <w:jc w:val="center"/>
        </w:trPr>
        <w:tc>
          <w:tcPr>
            <w:tcW w:w="3402" w:type="dxa"/>
            <w:tcBorders>
              <w:top w:val="nil"/>
              <w:left w:val="single" w:sz="4" w:space="0" w:color="auto"/>
              <w:bottom w:val="nil"/>
              <w:right w:val="nil"/>
            </w:tcBorders>
            <w:shd w:val="clear" w:color="auto" w:fill="auto"/>
            <w:noWrap/>
            <w:vAlign w:val="bottom"/>
            <w:hideMark/>
          </w:tcPr>
          <w:p w14:paraId="3595DE42" w14:textId="201DF03B" w:rsidR="00936DF9" w:rsidRPr="00162C02" w:rsidRDefault="00936DF9" w:rsidP="00936DF9">
            <w:pPr>
              <w:rPr>
                <w:rFonts w:cs="Arial"/>
                <w:sz w:val="24"/>
                <w:szCs w:val="24"/>
                <w:lang w:eastAsia="en-GB"/>
              </w:rPr>
            </w:pPr>
            <w:r w:rsidRPr="00162C02">
              <w:rPr>
                <w:rFonts w:cs="Arial"/>
                <w:sz w:val="24"/>
                <w:szCs w:val="24"/>
                <w:lang w:eastAsia="en-GB"/>
              </w:rPr>
              <w:t xml:space="preserve">Private </w:t>
            </w:r>
            <w:r w:rsidR="00CB1023">
              <w:rPr>
                <w:rFonts w:cs="Arial"/>
                <w:sz w:val="24"/>
                <w:szCs w:val="24"/>
                <w:lang w:eastAsia="en-GB"/>
              </w:rPr>
              <w:t>I</w:t>
            </w:r>
            <w:r w:rsidRPr="00162C02">
              <w:rPr>
                <w:rFonts w:cs="Arial"/>
                <w:sz w:val="24"/>
                <w:szCs w:val="24"/>
                <w:lang w:eastAsia="en-GB"/>
              </w:rPr>
              <w:t>ndivduals</w:t>
            </w:r>
          </w:p>
        </w:tc>
        <w:tc>
          <w:tcPr>
            <w:tcW w:w="1418" w:type="dxa"/>
            <w:tcBorders>
              <w:top w:val="nil"/>
              <w:left w:val="nil"/>
              <w:bottom w:val="nil"/>
              <w:right w:val="nil"/>
            </w:tcBorders>
            <w:shd w:val="clear" w:color="auto" w:fill="auto"/>
            <w:noWrap/>
            <w:vAlign w:val="bottom"/>
            <w:hideMark/>
          </w:tcPr>
          <w:p w14:paraId="517C4AA4"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2</w:t>
            </w:r>
          </w:p>
        </w:tc>
        <w:tc>
          <w:tcPr>
            <w:tcW w:w="1417" w:type="dxa"/>
            <w:tcBorders>
              <w:top w:val="nil"/>
              <w:left w:val="nil"/>
              <w:bottom w:val="nil"/>
              <w:right w:val="nil"/>
            </w:tcBorders>
            <w:shd w:val="clear" w:color="auto" w:fill="auto"/>
            <w:noWrap/>
            <w:vAlign w:val="bottom"/>
            <w:hideMark/>
          </w:tcPr>
          <w:p w14:paraId="2848460E"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0</w:t>
            </w:r>
          </w:p>
        </w:tc>
        <w:tc>
          <w:tcPr>
            <w:tcW w:w="439" w:type="dxa"/>
            <w:tcBorders>
              <w:top w:val="nil"/>
              <w:left w:val="nil"/>
              <w:bottom w:val="nil"/>
              <w:right w:val="single" w:sz="4" w:space="0" w:color="auto"/>
            </w:tcBorders>
            <w:shd w:val="clear" w:color="auto" w:fill="auto"/>
            <w:noWrap/>
            <w:vAlign w:val="bottom"/>
            <w:hideMark/>
          </w:tcPr>
          <w:p w14:paraId="77B43DB5"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936DF9" w:rsidRPr="00936DF9" w14:paraId="06C61A95" w14:textId="77777777" w:rsidTr="00434AE0">
        <w:trPr>
          <w:trHeight w:val="300"/>
          <w:jc w:val="center"/>
        </w:trPr>
        <w:tc>
          <w:tcPr>
            <w:tcW w:w="3402" w:type="dxa"/>
            <w:tcBorders>
              <w:top w:val="nil"/>
              <w:left w:val="single" w:sz="4" w:space="0" w:color="auto"/>
              <w:bottom w:val="nil"/>
              <w:right w:val="nil"/>
            </w:tcBorders>
            <w:shd w:val="clear" w:color="auto" w:fill="auto"/>
            <w:noWrap/>
            <w:vAlign w:val="bottom"/>
            <w:hideMark/>
          </w:tcPr>
          <w:p w14:paraId="7A903757" w14:textId="77777777" w:rsidR="00936DF9" w:rsidRPr="00162C02" w:rsidRDefault="00936DF9" w:rsidP="00936DF9">
            <w:pPr>
              <w:rPr>
                <w:rFonts w:cs="Arial"/>
                <w:sz w:val="24"/>
                <w:szCs w:val="24"/>
                <w:lang w:eastAsia="en-GB"/>
              </w:rPr>
            </w:pPr>
            <w:r w:rsidRPr="00162C02">
              <w:rPr>
                <w:rFonts w:cs="Arial"/>
                <w:sz w:val="24"/>
                <w:szCs w:val="24"/>
                <w:lang w:eastAsia="en-GB"/>
              </w:rPr>
              <w:t>Allerdale Borough Council</w:t>
            </w:r>
          </w:p>
        </w:tc>
        <w:tc>
          <w:tcPr>
            <w:tcW w:w="1418" w:type="dxa"/>
            <w:tcBorders>
              <w:top w:val="nil"/>
              <w:left w:val="nil"/>
              <w:bottom w:val="nil"/>
              <w:right w:val="nil"/>
            </w:tcBorders>
            <w:shd w:val="clear" w:color="auto" w:fill="auto"/>
            <w:noWrap/>
            <w:vAlign w:val="bottom"/>
            <w:hideMark/>
          </w:tcPr>
          <w:p w14:paraId="09A808EF"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6</w:t>
            </w:r>
          </w:p>
        </w:tc>
        <w:tc>
          <w:tcPr>
            <w:tcW w:w="1417" w:type="dxa"/>
            <w:tcBorders>
              <w:top w:val="nil"/>
              <w:left w:val="nil"/>
              <w:bottom w:val="nil"/>
              <w:right w:val="nil"/>
            </w:tcBorders>
            <w:shd w:val="clear" w:color="auto" w:fill="auto"/>
            <w:noWrap/>
            <w:vAlign w:val="bottom"/>
            <w:hideMark/>
          </w:tcPr>
          <w:p w14:paraId="0E6B63E9"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0</w:t>
            </w:r>
          </w:p>
        </w:tc>
        <w:tc>
          <w:tcPr>
            <w:tcW w:w="439" w:type="dxa"/>
            <w:tcBorders>
              <w:top w:val="nil"/>
              <w:left w:val="nil"/>
              <w:bottom w:val="nil"/>
              <w:right w:val="single" w:sz="4" w:space="0" w:color="auto"/>
            </w:tcBorders>
            <w:shd w:val="clear" w:color="auto" w:fill="auto"/>
            <w:noWrap/>
            <w:vAlign w:val="bottom"/>
            <w:hideMark/>
          </w:tcPr>
          <w:p w14:paraId="48E4A621"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936DF9" w:rsidRPr="00936DF9" w14:paraId="4216953A" w14:textId="77777777" w:rsidTr="00434AE0">
        <w:trPr>
          <w:trHeight w:val="300"/>
          <w:jc w:val="center"/>
        </w:trPr>
        <w:tc>
          <w:tcPr>
            <w:tcW w:w="3402" w:type="dxa"/>
            <w:tcBorders>
              <w:top w:val="nil"/>
              <w:left w:val="single" w:sz="4" w:space="0" w:color="auto"/>
              <w:bottom w:val="nil"/>
              <w:right w:val="nil"/>
            </w:tcBorders>
            <w:shd w:val="clear" w:color="auto" w:fill="auto"/>
            <w:noWrap/>
            <w:vAlign w:val="bottom"/>
            <w:hideMark/>
          </w:tcPr>
          <w:p w14:paraId="78F66A64" w14:textId="77777777" w:rsidR="00936DF9" w:rsidRPr="00162C02" w:rsidRDefault="00936DF9" w:rsidP="00936DF9">
            <w:pPr>
              <w:rPr>
                <w:rFonts w:cs="Arial"/>
                <w:sz w:val="24"/>
                <w:szCs w:val="24"/>
                <w:lang w:eastAsia="en-GB"/>
              </w:rPr>
            </w:pPr>
            <w:r w:rsidRPr="00162C02">
              <w:rPr>
                <w:rFonts w:cs="Arial"/>
                <w:sz w:val="24"/>
                <w:szCs w:val="24"/>
                <w:lang w:eastAsia="en-GB"/>
              </w:rPr>
              <w:t>Lake District Foundation</w:t>
            </w:r>
          </w:p>
        </w:tc>
        <w:tc>
          <w:tcPr>
            <w:tcW w:w="1418" w:type="dxa"/>
            <w:tcBorders>
              <w:top w:val="nil"/>
              <w:left w:val="nil"/>
              <w:bottom w:val="nil"/>
              <w:right w:val="nil"/>
            </w:tcBorders>
            <w:shd w:val="clear" w:color="auto" w:fill="auto"/>
            <w:noWrap/>
            <w:vAlign w:val="bottom"/>
            <w:hideMark/>
          </w:tcPr>
          <w:p w14:paraId="205C7B3C"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5</w:t>
            </w:r>
          </w:p>
        </w:tc>
        <w:tc>
          <w:tcPr>
            <w:tcW w:w="1417" w:type="dxa"/>
            <w:tcBorders>
              <w:top w:val="nil"/>
              <w:left w:val="nil"/>
              <w:bottom w:val="nil"/>
              <w:right w:val="nil"/>
            </w:tcBorders>
            <w:shd w:val="clear" w:color="auto" w:fill="auto"/>
            <w:noWrap/>
            <w:vAlign w:val="bottom"/>
            <w:hideMark/>
          </w:tcPr>
          <w:p w14:paraId="16F07ED9"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5</w:t>
            </w:r>
          </w:p>
        </w:tc>
        <w:tc>
          <w:tcPr>
            <w:tcW w:w="439" w:type="dxa"/>
            <w:tcBorders>
              <w:top w:val="nil"/>
              <w:left w:val="nil"/>
              <w:bottom w:val="nil"/>
              <w:right w:val="single" w:sz="4" w:space="0" w:color="auto"/>
            </w:tcBorders>
            <w:shd w:val="clear" w:color="auto" w:fill="auto"/>
            <w:noWrap/>
            <w:vAlign w:val="bottom"/>
            <w:hideMark/>
          </w:tcPr>
          <w:p w14:paraId="233EFA57"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936DF9" w:rsidRPr="00936DF9" w14:paraId="519FAFAA" w14:textId="77777777" w:rsidTr="00434AE0">
        <w:trPr>
          <w:trHeight w:val="300"/>
          <w:jc w:val="center"/>
        </w:trPr>
        <w:tc>
          <w:tcPr>
            <w:tcW w:w="3402" w:type="dxa"/>
            <w:tcBorders>
              <w:top w:val="nil"/>
              <w:left w:val="single" w:sz="4" w:space="0" w:color="auto"/>
              <w:bottom w:val="nil"/>
              <w:right w:val="nil"/>
            </w:tcBorders>
            <w:shd w:val="clear" w:color="auto" w:fill="auto"/>
            <w:noWrap/>
            <w:vAlign w:val="bottom"/>
            <w:hideMark/>
          </w:tcPr>
          <w:p w14:paraId="77679FB1" w14:textId="77777777" w:rsidR="00936DF9" w:rsidRPr="00162C02" w:rsidRDefault="00936DF9" w:rsidP="00936DF9">
            <w:pPr>
              <w:rPr>
                <w:rFonts w:cs="Arial"/>
                <w:sz w:val="24"/>
                <w:szCs w:val="24"/>
                <w:lang w:eastAsia="en-GB"/>
              </w:rPr>
            </w:pPr>
            <w:r w:rsidRPr="00162C02">
              <w:rPr>
                <w:rFonts w:cs="Arial"/>
                <w:sz w:val="24"/>
                <w:szCs w:val="24"/>
                <w:lang w:eastAsia="en-GB"/>
              </w:rPr>
              <w:t>Woodland Trust</w:t>
            </w:r>
          </w:p>
        </w:tc>
        <w:tc>
          <w:tcPr>
            <w:tcW w:w="1418" w:type="dxa"/>
            <w:tcBorders>
              <w:top w:val="nil"/>
              <w:left w:val="nil"/>
              <w:bottom w:val="nil"/>
              <w:right w:val="nil"/>
            </w:tcBorders>
            <w:shd w:val="clear" w:color="auto" w:fill="auto"/>
            <w:noWrap/>
            <w:vAlign w:val="bottom"/>
            <w:hideMark/>
          </w:tcPr>
          <w:p w14:paraId="5D665065"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89</w:t>
            </w:r>
          </w:p>
        </w:tc>
        <w:tc>
          <w:tcPr>
            <w:tcW w:w="1417" w:type="dxa"/>
            <w:tcBorders>
              <w:top w:val="nil"/>
              <w:left w:val="nil"/>
              <w:bottom w:val="nil"/>
              <w:right w:val="nil"/>
            </w:tcBorders>
            <w:shd w:val="clear" w:color="auto" w:fill="auto"/>
            <w:noWrap/>
            <w:vAlign w:val="bottom"/>
            <w:hideMark/>
          </w:tcPr>
          <w:p w14:paraId="39271FB6"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85</w:t>
            </w:r>
          </w:p>
        </w:tc>
        <w:tc>
          <w:tcPr>
            <w:tcW w:w="439" w:type="dxa"/>
            <w:tcBorders>
              <w:top w:val="nil"/>
              <w:left w:val="nil"/>
              <w:bottom w:val="nil"/>
              <w:right w:val="single" w:sz="4" w:space="0" w:color="auto"/>
            </w:tcBorders>
            <w:shd w:val="clear" w:color="auto" w:fill="auto"/>
            <w:noWrap/>
            <w:vAlign w:val="bottom"/>
            <w:hideMark/>
          </w:tcPr>
          <w:p w14:paraId="2CF86DF9"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936DF9" w:rsidRPr="00936DF9" w14:paraId="20F582C5" w14:textId="77777777" w:rsidTr="00434AE0">
        <w:trPr>
          <w:trHeight w:val="300"/>
          <w:jc w:val="center"/>
        </w:trPr>
        <w:tc>
          <w:tcPr>
            <w:tcW w:w="3402" w:type="dxa"/>
            <w:tcBorders>
              <w:top w:val="nil"/>
              <w:left w:val="single" w:sz="4" w:space="0" w:color="auto"/>
              <w:bottom w:val="nil"/>
              <w:right w:val="nil"/>
            </w:tcBorders>
            <w:shd w:val="clear" w:color="auto" w:fill="auto"/>
            <w:noWrap/>
            <w:vAlign w:val="bottom"/>
            <w:hideMark/>
          </w:tcPr>
          <w:p w14:paraId="7622EE29" w14:textId="77777777" w:rsidR="00936DF9" w:rsidRPr="00162C02" w:rsidRDefault="00936DF9" w:rsidP="00936DF9">
            <w:pPr>
              <w:rPr>
                <w:rFonts w:cs="Arial"/>
                <w:sz w:val="24"/>
                <w:szCs w:val="24"/>
                <w:lang w:eastAsia="en-GB"/>
              </w:rPr>
            </w:pPr>
            <w:r w:rsidRPr="00162C02">
              <w:rPr>
                <w:rFonts w:cs="Arial"/>
                <w:sz w:val="24"/>
                <w:szCs w:val="24"/>
                <w:lang w:eastAsia="en-GB"/>
              </w:rPr>
              <w:t>Estee Lauder</w:t>
            </w:r>
          </w:p>
        </w:tc>
        <w:tc>
          <w:tcPr>
            <w:tcW w:w="1418" w:type="dxa"/>
            <w:tcBorders>
              <w:top w:val="nil"/>
              <w:left w:val="nil"/>
              <w:bottom w:val="nil"/>
              <w:right w:val="nil"/>
            </w:tcBorders>
            <w:shd w:val="clear" w:color="auto" w:fill="auto"/>
            <w:noWrap/>
            <w:vAlign w:val="bottom"/>
            <w:hideMark/>
          </w:tcPr>
          <w:p w14:paraId="3517A031"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22</w:t>
            </w:r>
          </w:p>
        </w:tc>
        <w:tc>
          <w:tcPr>
            <w:tcW w:w="1417" w:type="dxa"/>
            <w:tcBorders>
              <w:top w:val="nil"/>
              <w:left w:val="nil"/>
              <w:bottom w:val="nil"/>
              <w:right w:val="nil"/>
            </w:tcBorders>
            <w:shd w:val="clear" w:color="auto" w:fill="auto"/>
            <w:noWrap/>
            <w:vAlign w:val="bottom"/>
            <w:hideMark/>
          </w:tcPr>
          <w:p w14:paraId="66695708"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9</w:t>
            </w:r>
          </w:p>
        </w:tc>
        <w:tc>
          <w:tcPr>
            <w:tcW w:w="439" w:type="dxa"/>
            <w:tcBorders>
              <w:top w:val="nil"/>
              <w:left w:val="nil"/>
              <w:bottom w:val="nil"/>
              <w:right w:val="single" w:sz="4" w:space="0" w:color="auto"/>
            </w:tcBorders>
            <w:shd w:val="clear" w:color="auto" w:fill="auto"/>
            <w:noWrap/>
            <w:vAlign w:val="bottom"/>
            <w:hideMark/>
          </w:tcPr>
          <w:p w14:paraId="723CC8F0"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936DF9" w:rsidRPr="00936DF9" w14:paraId="79CEF5D7" w14:textId="77777777" w:rsidTr="00434AE0">
        <w:trPr>
          <w:trHeight w:val="300"/>
          <w:jc w:val="center"/>
        </w:trPr>
        <w:tc>
          <w:tcPr>
            <w:tcW w:w="3402" w:type="dxa"/>
            <w:tcBorders>
              <w:top w:val="nil"/>
              <w:left w:val="single" w:sz="4" w:space="0" w:color="auto"/>
              <w:bottom w:val="nil"/>
              <w:right w:val="nil"/>
            </w:tcBorders>
            <w:shd w:val="clear" w:color="auto" w:fill="auto"/>
            <w:noWrap/>
            <w:vAlign w:val="bottom"/>
            <w:hideMark/>
          </w:tcPr>
          <w:p w14:paraId="05A6827B" w14:textId="77777777" w:rsidR="00936DF9" w:rsidRPr="00162C02" w:rsidRDefault="00936DF9" w:rsidP="00936DF9">
            <w:pPr>
              <w:rPr>
                <w:rFonts w:cs="Arial"/>
                <w:sz w:val="24"/>
                <w:szCs w:val="24"/>
                <w:lang w:eastAsia="en-GB"/>
              </w:rPr>
            </w:pPr>
            <w:r w:rsidRPr="00162C02">
              <w:rPr>
                <w:rFonts w:cs="Arial"/>
                <w:sz w:val="24"/>
                <w:szCs w:val="24"/>
                <w:lang w:eastAsia="en-GB"/>
              </w:rPr>
              <w:t>Westmorland &amp; Furness</w:t>
            </w:r>
          </w:p>
        </w:tc>
        <w:tc>
          <w:tcPr>
            <w:tcW w:w="1418" w:type="dxa"/>
            <w:tcBorders>
              <w:top w:val="nil"/>
              <w:left w:val="nil"/>
              <w:bottom w:val="nil"/>
              <w:right w:val="nil"/>
            </w:tcBorders>
            <w:shd w:val="clear" w:color="auto" w:fill="auto"/>
            <w:noWrap/>
            <w:vAlign w:val="bottom"/>
            <w:hideMark/>
          </w:tcPr>
          <w:p w14:paraId="5FE86406"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0</w:t>
            </w:r>
          </w:p>
        </w:tc>
        <w:tc>
          <w:tcPr>
            <w:tcW w:w="1417" w:type="dxa"/>
            <w:tcBorders>
              <w:top w:val="nil"/>
              <w:left w:val="nil"/>
              <w:bottom w:val="nil"/>
              <w:right w:val="nil"/>
            </w:tcBorders>
            <w:shd w:val="clear" w:color="auto" w:fill="auto"/>
            <w:noWrap/>
            <w:vAlign w:val="bottom"/>
            <w:hideMark/>
          </w:tcPr>
          <w:p w14:paraId="715234FC" w14:textId="4F2C4800" w:rsidR="00936DF9" w:rsidRPr="00162C02" w:rsidRDefault="00411D8F" w:rsidP="00936DF9">
            <w:pPr>
              <w:jc w:val="right"/>
              <w:rPr>
                <w:rFonts w:cs="Arial"/>
                <w:color w:val="000000"/>
                <w:sz w:val="24"/>
                <w:szCs w:val="24"/>
                <w:lang w:eastAsia="en-GB"/>
              </w:rPr>
            </w:pPr>
            <w:r>
              <w:rPr>
                <w:rFonts w:cs="Arial"/>
                <w:color w:val="000000"/>
                <w:sz w:val="24"/>
                <w:szCs w:val="24"/>
                <w:lang w:eastAsia="en-GB"/>
              </w:rPr>
              <w:t>95</w:t>
            </w:r>
          </w:p>
        </w:tc>
        <w:tc>
          <w:tcPr>
            <w:tcW w:w="439" w:type="dxa"/>
            <w:tcBorders>
              <w:top w:val="nil"/>
              <w:left w:val="nil"/>
              <w:bottom w:val="nil"/>
              <w:right w:val="single" w:sz="4" w:space="0" w:color="auto"/>
            </w:tcBorders>
            <w:shd w:val="clear" w:color="auto" w:fill="auto"/>
            <w:noWrap/>
            <w:vAlign w:val="bottom"/>
            <w:hideMark/>
          </w:tcPr>
          <w:p w14:paraId="79C79C95"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936DF9" w:rsidRPr="00936DF9" w14:paraId="6704405D" w14:textId="77777777" w:rsidTr="00434AE0">
        <w:trPr>
          <w:trHeight w:val="290"/>
          <w:jc w:val="center"/>
        </w:trPr>
        <w:tc>
          <w:tcPr>
            <w:tcW w:w="3402" w:type="dxa"/>
            <w:tcBorders>
              <w:top w:val="nil"/>
              <w:left w:val="single" w:sz="4" w:space="0" w:color="auto"/>
              <w:bottom w:val="nil"/>
              <w:right w:val="nil"/>
            </w:tcBorders>
            <w:shd w:val="clear" w:color="auto" w:fill="auto"/>
            <w:noWrap/>
            <w:vAlign w:val="bottom"/>
            <w:hideMark/>
          </w:tcPr>
          <w:p w14:paraId="13BA20BC" w14:textId="77777777" w:rsidR="00936DF9" w:rsidRPr="00162C02" w:rsidRDefault="00936DF9" w:rsidP="00936DF9">
            <w:pPr>
              <w:rPr>
                <w:rFonts w:cs="Arial"/>
                <w:color w:val="000000"/>
                <w:sz w:val="24"/>
                <w:szCs w:val="24"/>
                <w:lang w:eastAsia="en-GB"/>
              </w:rPr>
            </w:pPr>
            <w:r w:rsidRPr="00162C02">
              <w:rPr>
                <w:rFonts w:cs="Arial"/>
                <w:color w:val="000000"/>
                <w:sz w:val="24"/>
                <w:szCs w:val="24"/>
                <w:lang w:eastAsia="en-GB"/>
              </w:rPr>
              <w:t>Alpine Fire Engines</w:t>
            </w:r>
          </w:p>
        </w:tc>
        <w:tc>
          <w:tcPr>
            <w:tcW w:w="1418" w:type="dxa"/>
            <w:tcBorders>
              <w:top w:val="nil"/>
              <w:left w:val="nil"/>
              <w:bottom w:val="nil"/>
              <w:right w:val="nil"/>
            </w:tcBorders>
            <w:shd w:val="clear" w:color="auto" w:fill="auto"/>
            <w:noWrap/>
            <w:vAlign w:val="bottom"/>
            <w:hideMark/>
          </w:tcPr>
          <w:p w14:paraId="668687DD"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0</w:t>
            </w:r>
          </w:p>
        </w:tc>
        <w:tc>
          <w:tcPr>
            <w:tcW w:w="1417" w:type="dxa"/>
            <w:tcBorders>
              <w:top w:val="nil"/>
              <w:left w:val="nil"/>
              <w:bottom w:val="nil"/>
              <w:right w:val="nil"/>
            </w:tcBorders>
            <w:shd w:val="clear" w:color="auto" w:fill="auto"/>
            <w:noWrap/>
            <w:vAlign w:val="bottom"/>
            <w:hideMark/>
          </w:tcPr>
          <w:p w14:paraId="521712A2"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5</w:t>
            </w:r>
          </w:p>
        </w:tc>
        <w:tc>
          <w:tcPr>
            <w:tcW w:w="439" w:type="dxa"/>
            <w:tcBorders>
              <w:top w:val="nil"/>
              <w:left w:val="nil"/>
              <w:bottom w:val="nil"/>
              <w:right w:val="single" w:sz="4" w:space="0" w:color="auto"/>
            </w:tcBorders>
            <w:shd w:val="clear" w:color="auto" w:fill="auto"/>
            <w:noWrap/>
            <w:vAlign w:val="bottom"/>
            <w:hideMark/>
          </w:tcPr>
          <w:p w14:paraId="5A32B986"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936DF9" w:rsidRPr="00936DF9" w14:paraId="1177221E" w14:textId="77777777" w:rsidTr="00434AE0">
        <w:trPr>
          <w:trHeight w:val="290"/>
          <w:jc w:val="center"/>
        </w:trPr>
        <w:tc>
          <w:tcPr>
            <w:tcW w:w="3402" w:type="dxa"/>
            <w:tcBorders>
              <w:top w:val="nil"/>
              <w:left w:val="single" w:sz="4" w:space="0" w:color="auto"/>
              <w:bottom w:val="nil"/>
              <w:right w:val="nil"/>
            </w:tcBorders>
            <w:shd w:val="clear" w:color="auto" w:fill="auto"/>
            <w:noWrap/>
            <w:vAlign w:val="bottom"/>
            <w:hideMark/>
          </w:tcPr>
          <w:p w14:paraId="29262533" w14:textId="77777777" w:rsidR="00936DF9" w:rsidRPr="00162C02" w:rsidRDefault="00936DF9" w:rsidP="00936DF9">
            <w:pPr>
              <w:rPr>
                <w:rFonts w:cs="Arial"/>
                <w:color w:val="000000"/>
                <w:sz w:val="24"/>
                <w:szCs w:val="24"/>
                <w:lang w:eastAsia="en-GB"/>
              </w:rPr>
            </w:pPr>
            <w:r w:rsidRPr="00162C02">
              <w:rPr>
                <w:rFonts w:cs="Arial"/>
                <w:color w:val="000000"/>
                <w:sz w:val="24"/>
                <w:szCs w:val="24"/>
                <w:lang w:eastAsia="en-GB"/>
              </w:rPr>
              <w:t xml:space="preserve">Police Crime Commissioner </w:t>
            </w:r>
          </w:p>
        </w:tc>
        <w:tc>
          <w:tcPr>
            <w:tcW w:w="1418" w:type="dxa"/>
            <w:tcBorders>
              <w:top w:val="nil"/>
              <w:left w:val="nil"/>
              <w:bottom w:val="nil"/>
              <w:right w:val="nil"/>
            </w:tcBorders>
            <w:shd w:val="clear" w:color="auto" w:fill="auto"/>
            <w:noWrap/>
            <w:vAlign w:val="bottom"/>
            <w:hideMark/>
          </w:tcPr>
          <w:p w14:paraId="376DE135"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0</w:t>
            </w:r>
          </w:p>
        </w:tc>
        <w:tc>
          <w:tcPr>
            <w:tcW w:w="1417" w:type="dxa"/>
            <w:tcBorders>
              <w:top w:val="nil"/>
              <w:left w:val="nil"/>
              <w:bottom w:val="nil"/>
              <w:right w:val="nil"/>
            </w:tcBorders>
            <w:shd w:val="clear" w:color="auto" w:fill="auto"/>
            <w:noWrap/>
            <w:vAlign w:val="bottom"/>
            <w:hideMark/>
          </w:tcPr>
          <w:p w14:paraId="0D657344"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3</w:t>
            </w:r>
          </w:p>
        </w:tc>
        <w:tc>
          <w:tcPr>
            <w:tcW w:w="439" w:type="dxa"/>
            <w:tcBorders>
              <w:top w:val="nil"/>
              <w:left w:val="nil"/>
              <w:bottom w:val="nil"/>
              <w:right w:val="single" w:sz="4" w:space="0" w:color="auto"/>
            </w:tcBorders>
            <w:shd w:val="clear" w:color="auto" w:fill="auto"/>
            <w:noWrap/>
            <w:vAlign w:val="bottom"/>
            <w:hideMark/>
          </w:tcPr>
          <w:p w14:paraId="0803B659"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936DF9" w:rsidRPr="00936DF9" w14:paraId="293DF6C1" w14:textId="77777777" w:rsidTr="00434AE0">
        <w:trPr>
          <w:trHeight w:val="290"/>
          <w:jc w:val="center"/>
        </w:trPr>
        <w:tc>
          <w:tcPr>
            <w:tcW w:w="3402" w:type="dxa"/>
            <w:tcBorders>
              <w:top w:val="nil"/>
              <w:left w:val="single" w:sz="4" w:space="0" w:color="auto"/>
              <w:bottom w:val="nil"/>
              <w:right w:val="nil"/>
            </w:tcBorders>
            <w:shd w:val="clear" w:color="auto" w:fill="auto"/>
            <w:noWrap/>
            <w:vAlign w:val="bottom"/>
            <w:hideMark/>
          </w:tcPr>
          <w:p w14:paraId="22648BB4" w14:textId="77777777" w:rsidR="00936DF9" w:rsidRPr="00162C02" w:rsidRDefault="00936DF9" w:rsidP="00936DF9">
            <w:pPr>
              <w:rPr>
                <w:rFonts w:cs="Arial"/>
                <w:color w:val="000000"/>
                <w:sz w:val="24"/>
                <w:szCs w:val="24"/>
                <w:lang w:eastAsia="en-GB"/>
              </w:rPr>
            </w:pPr>
            <w:r w:rsidRPr="00162C02">
              <w:rPr>
                <w:rFonts w:cs="Arial"/>
                <w:color w:val="000000"/>
                <w:sz w:val="24"/>
                <w:szCs w:val="24"/>
                <w:lang w:eastAsia="en-GB"/>
              </w:rPr>
              <w:t>National Parks England</w:t>
            </w:r>
          </w:p>
        </w:tc>
        <w:tc>
          <w:tcPr>
            <w:tcW w:w="1418" w:type="dxa"/>
            <w:tcBorders>
              <w:top w:val="nil"/>
              <w:left w:val="nil"/>
              <w:bottom w:val="nil"/>
              <w:right w:val="nil"/>
            </w:tcBorders>
            <w:shd w:val="clear" w:color="auto" w:fill="auto"/>
            <w:noWrap/>
            <w:vAlign w:val="bottom"/>
            <w:hideMark/>
          </w:tcPr>
          <w:p w14:paraId="065031B7"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0</w:t>
            </w:r>
          </w:p>
        </w:tc>
        <w:tc>
          <w:tcPr>
            <w:tcW w:w="1417" w:type="dxa"/>
            <w:tcBorders>
              <w:top w:val="nil"/>
              <w:left w:val="nil"/>
              <w:bottom w:val="nil"/>
              <w:right w:val="nil"/>
            </w:tcBorders>
            <w:shd w:val="clear" w:color="auto" w:fill="auto"/>
            <w:noWrap/>
            <w:vAlign w:val="bottom"/>
            <w:hideMark/>
          </w:tcPr>
          <w:p w14:paraId="4D8FEB3B"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2</w:t>
            </w:r>
          </w:p>
        </w:tc>
        <w:tc>
          <w:tcPr>
            <w:tcW w:w="439" w:type="dxa"/>
            <w:tcBorders>
              <w:top w:val="nil"/>
              <w:left w:val="nil"/>
              <w:bottom w:val="nil"/>
              <w:right w:val="single" w:sz="4" w:space="0" w:color="auto"/>
            </w:tcBorders>
            <w:shd w:val="clear" w:color="auto" w:fill="auto"/>
            <w:noWrap/>
            <w:vAlign w:val="bottom"/>
            <w:hideMark/>
          </w:tcPr>
          <w:p w14:paraId="254027A7"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434AE0" w:rsidRPr="00936DF9" w14:paraId="47942282" w14:textId="77777777" w:rsidTr="00434AE0">
        <w:trPr>
          <w:trHeight w:val="290"/>
          <w:jc w:val="center"/>
        </w:trPr>
        <w:tc>
          <w:tcPr>
            <w:tcW w:w="3402" w:type="dxa"/>
            <w:tcBorders>
              <w:top w:val="nil"/>
              <w:left w:val="single" w:sz="4" w:space="0" w:color="auto"/>
              <w:bottom w:val="nil"/>
              <w:right w:val="nil"/>
            </w:tcBorders>
            <w:shd w:val="clear" w:color="auto" w:fill="auto"/>
            <w:noWrap/>
            <w:vAlign w:val="bottom"/>
          </w:tcPr>
          <w:p w14:paraId="1883D621" w14:textId="339AF0E8" w:rsidR="00434AE0" w:rsidRDefault="00434AE0" w:rsidP="00936DF9">
            <w:pPr>
              <w:rPr>
                <w:rFonts w:cs="Arial"/>
                <w:color w:val="000000"/>
                <w:sz w:val="24"/>
                <w:szCs w:val="24"/>
                <w:lang w:eastAsia="en-GB"/>
              </w:rPr>
            </w:pPr>
            <w:r>
              <w:rPr>
                <w:rFonts w:cs="Arial"/>
                <w:color w:val="000000"/>
                <w:sz w:val="24"/>
                <w:szCs w:val="24"/>
                <w:lang w:eastAsia="en-GB"/>
              </w:rPr>
              <w:t>C</w:t>
            </w:r>
            <w:r w:rsidRPr="00162C02">
              <w:rPr>
                <w:rFonts w:cs="Arial"/>
                <w:color w:val="000000"/>
                <w:sz w:val="24"/>
                <w:szCs w:val="24"/>
                <w:lang w:eastAsia="en-GB"/>
              </w:rPr>
              <w:t>umbria Woodlands</w:t>
            </w:r>
          </w:p>
        </w:tc>
        <w:tc>
          <w:tcPr>
            <w:tcW w:w="1418" w:type="dxa"/>
            <w:tcBorders>
              <w:top w:val="nil"/>
              <w:left w:val="nil"/>
              <w:bottom w:val="nil"/>
              <w:right w:val="nil"/>
            </w:tcBorders>
            <w:shd w:val="clear" w:color="auto" w:fill="auto"/>
            <w:noWrap/>
            <w:vAlign w:val="bottom"/>
          </w:tcPr>
          <w:p w14:paraId="14BA687D" w14:textId="5A18B937" w:rsidR="00434AE0" w:rsidRPr="00162C02" w:rsidRDefault="00434AE0" w:rsidP="00936DF9">
            <w:pPr>
              <w:jc w:val="right"/>
              <w:rPr>
                <w:rFonts w:cs="Arial"/>
                <w:color w:val="000000"/>
                <w:sz w:val="24"/>
                <w:szCs w:val="24"/>
                <w:lang w:eastAsia="en-GB"/>
              </w:rPr>
            </w:pPr>
            <w:r>
              <w:rPr>
                <w:rFonts w:cs="Arial"/>
                <w:color w:val="000000"/>
                <w:sz w:val="24"/>
                <w:szCs w:val="24"/>
                <w:lang w:eastAsia="en-GB"/>
              </w:rPr>
              <w:t>0</w:t>
            </w:r>
          </w:p>
        </w:tc>
        <w:tc>
          <w:tcPr>
            <w:tcW w:w="1417" w:type="dxa"/>
            <w:tcBorders>
              <w:top w:val="nil"/>
              <w:left w:val="nil"/>
              <w:bottom w:val="nil"/>
              <w:right w:val="nil"/>
            </w:tcBorders>
            <w:shd w:val="clear" w:color="auto" w:fill="auto"/>
            <w:noWrap/>
            <w:vAlign w:val="bottom"/>
          </w:tcPr>
          <w:p w14:paraId="4E47353D" w14:textId="18DEDEB9" w:rsidR="00434AE0" w:rsidRPr="00162C02" w:rsidRDefault="00434AE0" w:rsidP="00936DF9">
            <w:pPr>
              <w:jc w:val="right"/>
              <w:rPr>
                <w:rFonts w:cs="Arial"/>
                <w:color w:val="000000"/>
                <w:sz w:val="24"/>
                <w:szCs w:val="24"/>
                <w:lang w:eastAsia="en-GB"/>
              </w:rPr>
            </w:pPr>
            <w:r>
              <w:rPr>
                <w:rFonts w:cs="Arial"/>
                <w:color w:val="000000"/>
                <w:sz w:val="24"/>
                <w:szCs w:val="24"/>
                <w:lang w:eastAsia="en-GB"/>
              </w:rPr>
              <w:t>16</w:t>
            </w:r>
          </w:p>
        </w:tc>
        <w:tc>
          <w:tcPr>
            <w:tcW w:w="439" w:type="dxa"/>
            <w:tcBorders>
              <w:top w:val="nil"/>
              <w:left w:val="nil"/>
              <w:bottom w:val="nil"/>
              <w:right w:val="single" w:sz="4" w:space="0" w:color="auto"/>
            </w:tcBorders>
            <w:shd w:val="clear" w:color="auto" w:fill="auto"/>
            <w:noWrap/>
            <w:vAlign w:val="bottom"/>
          </w:tcPr>
          <w:p w14:paraId="1CD236FC" w14:textId="77777777" w:rsidR="00434AE0" w:rsidRPr="00936DF9" w:rsidRDefault="00434AE0" w:rsidP="00936DF9">
            <w:pPr>
              <w:rPr>
                <w:rFonts w:cs="Arial"/>
                <w:sz w:val="20"/>
                <w:szCs w:val="20"/>
                <w:lang w:eastAsia="en-GB"/>
              </w:rPr>
            </w:pPr>
          </w:p>
        </w:tc>
      </w:tr>
      <w:tr w:rsidR="00434AE0" w:rsidRPr="00936DF9" w14:paraId="181AC0C2" w14:textId="77777777" w:rsidTr="00434AE0">
        <w:trPr>
          <w:trHeight w:val="290"/>
          <w:jc w:val="center"/>
        </w:trPr>
        <w:tc>
          <w:tcPr>
            <w:tcW w:w="3402" w:type="dxa"/>
            <w:tcBorders>
              <w:top w:val="nil"/>
              <w:left w:val="single" w:sz="4" w:space="0" w:color="auto"/>
              <w:bottom w:val="nil"/>
              <w:right w:val="nil"/>
            </w:tcBorders>
            <w:shd w:val="clear" w:color="auto" w:fill="auto"/>
            <w:noWrap/>
            <w:vAlign w:val="bottom"/>
          </w:tcPr>
          <w:p w14:paraId="3DAFBCD6" w14:textId="378CE83C" w:rsidR="00434AE0" w:rsidRDefault="00434AE0" w:rsidP="00936DF9">
            <w:pPr>
              <w:rPr>
                <w:rFonts w:cs="Arial"/>
                <w:color w:val="000000"/>
                <w:sz w:val="24"/>
                <w:szCs w:val="24"/>
                <w:lang w:eastAsia="en-GB"/>
              </w:rPr>
            </w:pPr>
            <w:r>
              <w:rPr>
                <w:rFonts w:cs="Arial"/>
                <w:color w:val="000000"/>
                <w:sz w:val="24"/>
                <w:szCs w:val="24"/>
                <w:lang w:eastAsia="en-GB"/>
              </w:rPr>
              <w:t>Cumberland Council</w:t>
            </w:r>
          </w:p>
        </w:tc>
        <w:tc>
          <w:tcPr>
            <w:tcW w:w="1418" w:type="dxa"/>
            <w:tcBorders>
              <w:top w:val="nil"/>
              <w:left w:val="nil"/>
              <w:bottom w:val="nil"/>
              <w:right w:val="nil"/>
            </w:tcBorders>
            <w:shd w:val="clear" w:color="auto" w:fill="auto"/>
            <w:noWrap/>
            <w:vAlign w:val="bottom"/>
          </w:tcPr>
          <w:p w14:paraId="19EC2886" w14:textId="33B6184B" w:rsidR="00434AE0" w:rsidRPr="00162C02" w:rsidRDefault="00434AE0" w:rsidP="00936DF9">
            <w:pPr>
              <w:jc w:val="right"/>
              <w:rPr>
                <w:rFonts w:cs="Arial"/>
                <w:color w:val="000000"/>
                <w:sz w:val="24"/>
                <w:szCs w:val="24"/>
                <w:lang w:eastAsia="en-GB"/>
              </w:rPr>
            </w:pPr>
            <w:r>
              <w:rPr>
                <w:rFonts w:cs="Arial"/>
                <w:color w:val="000000"/>
                <w:sz w:val="24"/>
                <w:szCs w:val="24"/>
                <w:lang w:eastAsia="en-GB"/>
              </w:rPr>
              <w:t>0</w:t>
            </w:r>
          </w:p>
        </w:tc>
        <w:tc>
          <w:tcPr>
            <w:tcW w:w="1417" w:type="dxa"/>
            <w:tcBorders>
              <w:top w:val="nil"/>
              <w:left w:val="nil"/>
              <w:bottom w:val="nil"/>
              <w:right w:val="nil"/>
            </w:tcBorders>
            <w:shd w:val="clear" w:color="auto" w:fill="auto"/>
            <w:noWrap/>
            <w:vAlign w:val="bottom"/>
          </w:tcPr>
          <w:p w14:paraId="13DB5ACC" w14:textId="77D73191" w:rsidR="00434AE0" w:rsidRDefault="00434AE0" w:rsidP="00936DF9">
            <w:pPr>
              <w:jc w:val="right"/>
              <w:rPr>
                <w:rFonts w:cs="Arial"/>
                <w:color w:val="000000"/>
                <w:sz w:val="24"/>
                <w:szCs w:val="24"/>
                <w:lang w:eastAsia="en-GB"/>
              </w:rPr>
            </w:pPr>
            <w:r>
              <w:rPr>
                <w:rFonts w:cs="Arial"/>
                <w:color w:val="000000"/>
                <w:sz w:val="24"/>
                <w:szCs w:val="24"/>
                <w:lang w:eastAsia="en-GB"/>
              </w:rPr>
              <w:t>20</w:t>
            </w:r>
          </w:p>
        </w:tc>
        <w:tc>
          <w:tcPr>
            <w:tcW w:w="439" w:type="dxa"/>
            <w:tcBorders>
              <w:top w:val="nil"/>
              <w:left w:val="nil"/>
              <w:bottom w:val="nil"/>
              <w:right w:val="single" w:sz="4" w:space="0" w:color="auto"/>
            </w:tcBorders>
            <w:shd w:val="clear" w:color="auto" w:fill="auto"/>
            <w:noWrap/>
            <w:vAlign w:val="bottom"/>
          </w:tcPr>
          <w:p w14:paraId="61370DD6" w14:textId="77777777" w:rsidR="00434AE0" w:rsidRPr="00936DF9" w:rsidRDefault="00434AE0" w:rsidP="00936DF9">
            <w:pPr>
              <w:rPr>
                <w:rFonts w:cs="Arial"/>
                <w:sz w:val="20"/>
                <w:szCs w:val="20"/>
                <w:lang w:eastAsia="en-GB"/>
              </w:rPr>
            </w:pPr>
          </w:p>
        </w:tc>
      </w:tr>
      <w:tr w:rsidR="00936DF9" w:rsidRPr="00936DF9" w14:paraId="19F5AF46" w14:textId="77777777" w:rsidTr="00434AE0">
        <w:trPr>
          <w:trHeight w:val="290"/>
          <w:jc w:val="center"/>
        </w:trPr>
        <w:tc>
          <w:tcPr>
            <w:tcW w:w="3402" w:type="dxa"/>
            <w:tcBorders>
              <w:top w:val="nil"/>
              <w:left w:val="single" w:sz="4" w:space="0" w:color="auto"/>
              <w:bottom w:val="nil"/>
              <w:right w:val="nil"/>
            </w:tcBorders>
            <w:shd w:val="clear" w:color="auto" w:fill="auto"/>
            <w:noWrap/>
            <w:vAlign w:val="bottom"/>
            <w:hideMark/>
          </w:tcPr>
          <w:p w14:paraId="49300FB9" w14:textId="789E43EE" w:rsidR="00936DF9" w:rsidRPr="00162C02" w:rsidRDefault="00434AE0" w:rsidP="00936DF9">
            <w:pPr>
              <w:rPr>
                <w:rFonts w:cs="Arial"/>
                <w:color w:val="000000"/>
                <w:sz w:val="24"/>
                <w:szCs w:val="24"/>
                <w:lang w:eastAsia="en-GB"/>
              </w:rPr>
            </w:pPr>
            <w:r>
              <w:rPr>
                <w:rFonts w:cs="Arial"/>
                <w:color w:val="000000"/>
                <w:sz w:val="24"/>
                <w:szCs w:val="24"/>
                <w:lang w:eastAsia="en-GB"/>
              </w:rPr>
              <w:t>National Trust</w:t>
            </w:r>
            <w:r w:rsidR="00936DF9" w:rsidRPr="00162C02">
              <w:rPr>
                <w:rFonts w:cs="Arial"/>
                <w:color w:val="000000"/>
                <w:sz w:val="24"/>
                <w:szCs w:val="24"/>
                <w:lang w:eastAsia="en-GB"/>
              </w:rPr>
              <w:t xml:space="preserve"> </w:t>
            </w:r>
          </w:p>
        </w:tc>
        <w:tc>
          <w:tcPr>
            <w:tcW w:w="1418" w:type="dxa"/>
            <w:tcBorders>
              <w:top w:val="nil"/>
              <w:left w:val="nil"/>
              <w:bottom w:val="nil"/>
              <w:right w:val="nil"/>
            </w:tcBorders>
            <w:shd w:val="clear" w:color="auto" w:fill="auto"/>
            <w:noWrap/>
            <w:vAlign w:val="bottom"/>
            <w:hideMark/>
          </w:tcPr>
          <w:p w14:paraId="53D7FC3B" w14:textId="77777777" w:rsidR="00936DF9" w:rsidRPr="00162C02" w:rsidRDefault="00936DF9" w:rsidP="00936DF9">
            <w:pPr>
              <w:jc w:val="right"/>
              <w:rPr>
                <w:rFonts w:cs="Arial"/>
                <w:color w:val="000000"/>
                <w:sz w:val="24"/>
                <w:szCs w:val="24"/>
                <w:lang w:eastAsia="en-GB"/>
              </w:rPr>
            </w:pPr>
            <w:r w:rsidRPr="00162C02">
              <w:rPr>
                <w:rFonts w:cs="Arial"/>
                <w:color w:val="000000"/>
                <w:sz w:val="24"/>
                <w:szCs w:val="24"/>
                <w:lang w:eastAsia="en-GB"/>
              </w:rPr>
              <w:t>0</w:t>
            </w:r>
          </w:p>
        </w:tc>
        <w:tc>
          <w:tcPr>
            <w:tcW w:w="1417" w:type="dxa"/>
            <w:tcBorders>
              <w:top w:val="nil"/>
              <w:left w:val="nil"/>
              <w:bottom w:val="nil"/>
              <w:right w:val="nil"/>
            </w:tcBorders>
            <w:shd w:val="clear" w:color="auto" w:fill="auto"/>
            <w:noWrap/>
            <w:vAlign w:val="bottom"/>
            <w:hideMark/>
          </w:tcPr>
          <w:p w14:paraId="1FF43CFA" w14:textId="6173C784" w:rsidR="00936DF9" w:rsidRPr="00162C02" w:rsidRDefault="00434AE0" w:rsidP="00936DF9">
            <w:pPr>
              <w:jc w:val="right"/>
              <w:rPr>
                <w:rFonts w:cs="Arial"/>
                <w:color w:val="000000"/>
                <w:sz w:val="24"/>
                <w:szCs w:val="24"/>
                <w:lang w:eastAsia="en-GB"/>
              </w:rPr>
            </w:pPr>
            <w:r>
              <w:rPr>
                <w:rFonts w:cs="Arial"/>
                <w:color w:val="000000"/>
                <w:sz w:val="24"/>
                <w:szCs w:val="24"/>
                <w:lang w:eastAsia="en-GB"/>
              </w:rPr>
              <w:t>20</w:t>
            </w:r>
          </w:p>
        </w:tc>
        <w:tc>
          <w:tcPr>
            <w:tcW w:w="439" w:type="dxa"/>
            <w:tcBorders>
              <w:top w:val="nil"/>
              <w:left w:val="nil"/>
              <w:bottom w:val="nil"/>
              <w:right w:val="single" w:sz="4" w:space="0" w:color="auto"/>
            </w:tcBorders>
            <w:shd w:val="clear" w:color="auto" w:fill="auto"/>
            <w:noWrap/>
            <w:vAlign w:val="bottom"/>
            <w:hideMark/>
          </w:tcPr>
          <w:p w14:paraId="77D3F89E" w14:textId="77777777" w:rsidR="00936DF9" w:rsidRPr="00936DF9" w:rsidRDefault="00936DF9" w:rsidP="00936DF9">
            <w:pPr>
              <w:rPr>
                <w:rFonts w:cs="Arial"/>
                <w:sz w:val="20"/>
                <w:szCs w:val="20"/>
                <w:lang w:eastAsia="en-GB"/>
              </w:rPr>
            </w:pPr>
            <w:r w:rsidRPr="00936DF9">
              <w:rPr>
                <w:rFonts w:cs="Arial"/>
                <w:sz w:val="20"/>
                <w:szCs w:val="20"/>
                <w:lang w:eastAsia="en-GB"/>
              </w:rPr>
              <w:t> </w:t>
            </w:r>
          </w:p>
        </w:tc>
      </w:tr>
      <w:tr w:rsidR="00434AE0" w:rsidRPr="00936DF9" w14:paraId="55313C04" w14:textId="77777777" w:rsidTr="00434AE0">
        <w:trPr>
          <w:trHeight w:val="300"/>
          <w:jc w:val="center"/>
        </w:trPr>
        <w:tc>
          <w:tcPr>
            <w:tcW w:w="3402" w:type="dxa"/>
            <w:tcBorders>
              <w:top w:val="nil"/>
              <w:left w:val="single" w:sz="4" w:space="0" w:color="auto"/>
              <w:bottom w:val="nil"/>
              <w:right w:val="nil"/>
            </w:tcBorders>
            <w:shd w:val="clear" w:color="auto" w:fill="auto"/>
            <w:noWrap/>
            <w:vAlign w:val="bottom"/>
            <w:hideMark/>
          </w:tcPr>
          <w:p w14:paraId="30B65296" w14:textId="77777777" w:rsidR="00434AE0" w:rsidRPr="00936DF9" w:rsidRDefault="00434AE0" w:rsidP="00434AE0">
            <w:pPr>
              <w:rPr>
                <w:rFonts w:cs="Arial"/>
                <w:sz w:val="20"/>
                <w:szCs w:val="20"/>
                <w:lang w:eastAsia="en-GB"/>
              </w:rPr>
            </w:pPr>
            <w:r w:rsidRPr="00936DF9">
              <w:rPr>
                <w:rFonts w:cs="Arial"/>
                <w:sz w:val="20"/>
                <w:szCs w:val="20"/>
                <w:lang w:eastAsia="en-GB"/>
              </w:rPr>
              <w:t> </w:t>
            </w:r>
          </w:p>
        </w:tc>
        <w:tc>
          <w:tcPr>
            <w:tcW w:w="1418" w:type="dxa"/>
            <w:tcBorders>
              <w:top w:val="single" w:sz="4" w:space="0" w:color="auto"/>
              <w:left w:val="nil"/>
              <w:bottom w:val="double" w:sz="6" w:space="0" w:color="auto"/>
              <w:right w:val="nil"/>
            </w:tcBorders>
            <w:shd w:val="clear" w:color="auto" w:fill="auto"/>
            <w:noWrap/>
            <w:vAlign w:val="bottom"/>
            <w:hideMark/>
          </w:tcPr>
          <w:p w14:paraId="5D8B0CDF" w14:textId="77777777" w:rsidR="00434AE0" w:rsidRPr="00936DF9" w:rsidRDefault="00434AE0" w:rsidP="00434AE0">
            <w:pPr>
              <w:jc w:val="right"/>
              <w:rPr>
                <w:rFonts w:cs="Arial"/>
                <w:b/>
                <w:bCs/>
                <w:sz w:val="20"/>
                <w:szCs w:val="20"/>
                <w:lang w:eastAsia="en-GB"/>
              </w:rPr>
            </w:pPr>
            <w:r w:rsidRPr="00936DF9">
              <w:rPr>
                <w:rFonts w:cs="Arial"/>
                <w:b/>
                <w:bCs/>
                <w:sz w:val="20"/>
                <w:szCs w:val="20"/>
                <w:lang w:eastAsia="en-GB"/>
              </w:rPr>
              <w:t>472</w:t>
            </w:r>
          </w:p>
        </w:tc>
        <w:tc>
          <w:tcPr>
            <w:tcW w:w="1417" w:type="dxa"/>
            <w:tcBorders>
              <w:top w:val="single" w:sz="4" w:space="0" w:color="auto"/>
              <w:left w:val="nil"/>
              <w:bottom w:val="double" w:sz="6" w:space="0" w:color="auto"/>
              <w:right w:val="nil"/>
            </w:tcBorders>
            <w:shd w:val="clear" w:color="auto" w:fill="auto"/>
            <w:noWrap/>
            <w:vAlign w:val="bottom"/>
            <w:hideMark/>
          </w:tcPr>
          <w:p w14:paraId="3A79B2AF" w14:textId="4217A4A1" w:rsidR="00434AE0" w:rsidRPr="00936DF9" w:rsidRDefault="00434AE0" w:rsidP="00434AE0">
            <w:pPr>
              <w:jc w:val="right"/>
              <w:rPr>
                <w:rFonts w:cs="Arial"/>
                <w:b/>
                <w:bCs/>
                <w:sz w:val="20"/>
                <w:szCs w:val="20"/>
                <w:lang w:eastAsia="en-GB"/>
              </w:rPr>
            </w:pPr>
            <w:r>
              <w:rPr>
                <w:rFonts w:cs="Arial"/>
                <w:b/>
                <w:bCs/>
                <w:sz w:val="20"/>
                <w:szCs w:val="20"/>
                <w:lang w:eastAsia="en-GB"/>
              </w:rPr>
              <w:t>335</w:t>
            </w:r>
          </w:p>
        </w:tc>
        <w:tc>
          <w:tcPr>
            <w:tcW w:w="439" w:type="dxa"/>
            <w:tcBorders>
              <w:top w:val="nil"/>
              <w:left w:val="nil"/>
              <w:bottom w:val="nil"/>
              <w:right w:val="single" w:sz="4" w:space="0" w:color="auto"/>
            </w:tcBorders>
            <w:shd w:val="clear" w:color="auto" w:fill="auto"/>
            <w:noWrap/>
            <w:vAlign w:val="bottom"/>
            <w:hideMark/>
          </w:tcPr>
          <w:p w14:paraId="69C8BE16" w14:textId="77777777" w:rsidR="00434AE0" w:rsidRPr="00936DF9" w:rsidRDefault="00434AE0" w:rsidP="00434AE0">
            <w:pPr>
              <w:rPr>
                <w:rFonts w:cs="Arial"/>
                <w:sz w:val="20"/>
                <w:szCs w:val="20"/>
                <w:lang w:eastAsia="en-GB"/>
              </w:rPr>
            </w:pPr>
            <w:r w:rsidRPr="00936DF9">
              <w:rPr>
                <w:rFonts w:cs="Arial"/>
                <w:sz w:val="20"/>
                <w:szCs w:val="20"/>
                <w:lang w:eastAsia="en-GB"/>
              </w:rPr>
              <w:t> </w:t>
            </w:r>
          </w:p>
        </w:tc>
      </w:tr>
      <w:tr w:rsidR="00434AE0" w:rsidRPr="00936DF9" w14:paraId="4E2068FD" w14:textId="77777777" w:rsidTr="00434AE0">
        <w:trPr>
          <w:trHeight w:val="310"/>
          <w:jc w:val="center"/>
        </w:trPr>
        <w:tc>
          <w:tcPr>
            <w:tcW w:w="3402" w:type="dxa"/>
            <w:tcBorders>
              <w:top w:val="nil"/>
              <w:left w:val="single" w:sz="4" w:space="0" w:color="auto"/>
              <w:bottom w:val="single" w:sz="4" w:space="0" w:color="auto"/>
              <w:right w:val="nil"/>
            </w:tcBorders>
            <w:shd w:val="clear" w:color="auto" w:fill="auto"/>
            <w:noWrap/>
            <w:vAlign w:val="bottom"/>
            <w:hideMark/>
          </w:tcPr>
          <w:p w14:paraId="5CD8401D" w14:textId="77777777" w:rsidR="00434AE0" w:rsidRPr="00936DF9" w:rsidRDefault="00434AE0" w:rsidP="00434AE0">
            <w:pPr>
              <w:rPr>
                <w:rFonts w:cs="Arial"/>
                <w:sz w:val="20"/>
                <w:szCs w:val="20"/>
                <w:lang w:eastAsia="en-GB"/>
              </w:rPr>
            </w:pPr>
            <w:r w:rsidRPr="00936DF9">
              <w:rPr>
                <w:rFonts w:cs="Arial"/>
                <w:sz w:val="20"/>
                <w:szCs w:val="20"/>
                <w:lang w:eastAsia="en-GB"/>
              </w:rPr>
              <w:t> </w:t>
            </w:r>
          </w:p>
        </w:tc>
        <w:tc>
          <w:tcPr>
            <w:tcW w:w="1418" w:type="dxa"/>
            <w:tcBorders>
              <w:top w:val="nil"/>
              <w:left w:val="nil"/>
              <w:bottom w:val="single" w:sz="4" w:space="0" w:color="auto"/>
              <w:right w:val="nil"/>
            </w:tcBorders>
            <w:shd w:val="clear" w:color="auto" w:fill="auto"/>
            <w:noWrap/>
            <w:vAlign w:val="bottom"/>
            <w:hideMark/>
          </w:tcPr>
          <w:p w14:paraId="6F20907E" w14:textId="77777777" w:rsidR="00434AE0" w:rsidRPr="00936DF9" w:rsidRDefault="00434AE0" w:rsidP="00434AE0">
            <w:pPr>
              <w:rPr>
                <w:rFonts w:cs="Arial"/>
                <w:lang w:eastAsia="en-GB"/>
              </w:rPr>
            </w:pPr>
            <w:r w:rsidRPr="00936DF9">
              <w:rPr>
                <w:rFonts w:cs="Arial"/>
                <w:lang w:eastAsia="en-GB"/>
              </w:rPr>
              <w:t> </w:t>
            </w:r>
          </w:p>
        </w:tc>
        <w:tc>
          <w:tcPr>
            <w:tcW w:w="1417" w:type="dxa"/>
            <w:tcBorders>
              <w:top w:val="nil"/>
              <w:left w:val="nil"/>
              <w:bottom w:val="single" w:sz="4" w:space="0" w:color="auto"/>
              <w:right w:val="nil"/>
            </w:tcBorders>
            <w:shd w:val="clear" w:color="auto" w:fill="auto"/>
            <w:noWrap/>
            <w:vAlign w:val="bottom"/>
            <w:hideMark/>
          </w:tcPr>
          <w:p w14:paraId="4F542A8F" w14:textId="77777777" w:rsidR="00434AE0" w:rsidRPr="00936DF9" w:rsidRDefault="00434AE0" w:rsidP="00434AE0">
            <w:pPr>
              <w:rPr>
                <w:rFonts w:cs="Arial"/>
                <w:lang w:eastAsia="en-GB"/>
              </w:rPr>
            </w:pPr>
            <w:r w:rsidRPr="00936DF9">
              <w:rPr>
                <w:rFonts w:cs="Arial"/>
                <w:lang w:eastAsia="en-GB"/>
              </w:rPr>
              <w:t> </w:t>
            </w:r>
          </w:p>
        </w:tc>
        <w:tc>
          <w:tcPr>
            <w:tcW w:w="439" w:type="dxa"/>
            <w:tcBorders>
              <w:top w:val="nil"/>
              <w:left w:val="nil"/>
              <w:bottom w:val="single" w:sz="4" w:space="0" w:color="auto"/>
              <w:right w:val="single" w:sz="4" w:space="0" w:color="auto"/>
            </w:tcBorders>
            <w:shd w:val="clear" w:color="auto" w:fill="auto"/>
            <w:noWrap/>
            <w:vAlign w:val="bottom"/>
            <w:hideMark/>
          </w:tcPr>
          <w:p w14:paraId="6AF1824B" w14:textId="77777777" w:rsidR="00434AE0" w:rsidRPr="00936DF9" w:rsidRDefault="00434AE0" w:rsidP="00434AE0">
            <w:pPr>
              <w:rPr>
                <w:rFonts w:cs="Arial"/>
                <w:sz w:val="20"/>
                <w:szCs w:val="20"/>
                <w:lang w:eastAsia="en-GB"/>
              </w:rPr>
            </w:pPr>
            <w:r w:rsidRPr="00936DF9">
              <w:rPr>
                <w:rFonts w:cs="Arial"/>
                <w:sz w:val="20"/>
                <w:szCs w:val="20"/>
                <w:lang w:eastAsia="en-GB"/>
              </w:rPr>
              <w:t> </w:t>
            </w:r>
          </w:p>
        </w:tc>
      </w:tr>
    </w:tbl>
    <w:p w14:paraId="59BFB9EE" w14:textId="24D98000" w:rsidR="006A2C55" w:rsidRDefault="006A2C55" w:rsidP="0070459C">
      <w:pPr>
        <w:rPr>
          <w:lang w:eastAsia="en-GB"/>
        </w:rPr>
      </w:pPr>
    </w:p>
    <w:p w14:paraId="3C367092" w14:textId="77777777" w:rsidR="006A2C55" w:rsidRDefault="006A2C55" w:rsidP="0070459C">
      <w:pPr>
        <w:rPr>
          <w:lang w:eastAsia="en-GB"/>
        </w:rPr>
      </w:pPr>
    </w:p>
    <w:p w14:paraId="485A4740" w14:textId="6AAF8610" w:rsidR="007F01E5" w:rsidRPr="00162C02" w:rsidRDefault="007F01E5" w:rsidP="0070459C">
      <w:pPr>
        <w:pStyle w:val="ListParagraph"/>
        <w:numPr>
          <w:ilvl w:val="0"/>
          <w:numId w:val="47"/>
        </w:numPr>
        <w:ind w:left="0" w:firstLine="0"/>
        <w:rPr>
          <w:rFonts w:cs="Arial"/>
          <w:b/>
          <w:i/>
          <w:u w:val="none"/>
        </w:rPr>
      </w:pPr>
      <w:bookmarkStart w:id="239" w:name="_Toc167965808"/>
      <w:r w:rsidRPr="00162C02">
        <w:rPr>
          <w:rStyle w:val="Heading2Char"/>
          <w:u w:val="none"/>
        </w:rPr>
        <w:t>Pension Reserve</w:t>
      </w:r>
      <w:bookmarkEnd w:id="239"/>
    </w:p>
    <w:p w14:paraId="485A4741" w14:textId="77777777" w:rsidR="007F01E5" w:rsidRPr="001D2A5B" w:rsidRDefault="007F01E5" w:rsidP="0070459C">
      <w:pPr>
        <w:tabs>
          <w:tab w:val="left" w:pos="567"/>
        </w:tabs>
        <w:rPr>
          <w:lang w:eastAsia="en-GB"/>
        </w:rPr>
      </w:pPr>
    </w:p>
    <w:p w14:paraId="14810FBA" w14:textId="4FC8EEC0" w:rsidR="008B6E87" w:rsidRPr="001D2A5B" w:rsidRDefault="007F01E5" w:rsidP="0070459C">
      <w:pPr>
        <w:tabs>
          <w:tab w:val="left" w:pos="567"/>
        </w:tabs>
        <w:rPr>
          <w:bCs/>
        </w:rPr>
      </w:pPr>
      <w:r w:rsidRPr="001D2A5B">
        <w:rPr>
          <w:bCs/>
        </w:rPr>
        <w:t xml:space="preserve">The Pension Reserve represents </w:t>
      </w:r>
      <w:r w:rsidR="001D2A5B" w:rsidRPr="001D2A5B">
        <w:rPr>
          <w:bCs/>
        </w:rPr>
        <w:t xml:space="preserve">the </w:t>
      </w:r>
      <w:r w:rsidRPr="001D2A5B">
        <w:rPr>
          <w:bCs/>
        </w:rPr>
        <w:t xml:space="preserve">overall </w:t>
      </w:r>
      <w:r w:rsidR="00DC79F2" w:rsidRPr="001D2A5B">
        <w:rPr>
          <w:bCs/>
        </w:rPr>
        <w:t>surplus</w:t>
      </w:r>
      <w:r w:rsidRPr="001D2A5B">
        <w:rPr>
          <w:b/>
        </w:rPr>
        <w:t xml:space="preserve"> </w:t>
      </w:r>
      <w:r w:rsidRPr="001D2A5B">
        <w:rPr>
          <w:bCs/>
        </w:rPr>
        <w:t xml:space="preserve">of the Authority for pension payments to employees and ex-employees who are, or have been, members of the Local Government Pension Scheme. </w:t>
      </w:r>
      <w:r w:rsidR="001D2A5B" w:rsidRPr="001D2A5B">
        <w:rPr>
          <w:bCs/>
        </w:rPr>
        <w:t xml:space="preserve">In years </w:t>
      </w:r>
      <w:r w:rsidR="00D6316A">
        <w:rPr>
          <w:bCs/>
        </w:rPr>
        <w:t xml:space="preserve">prior to 2022/23 </w:t>
      </w:r>
      <w:r w:rsidR="001D2A5B" w:rsidRPr="001D2A5B">
        <w:rPr>
          <w:bCs/>
        </w:rPr>
        <w:t xml:space="preserve">the balance of the Pension Reserve represented a deficit position.  The Pension Reserve </w:t>
      </w:r>
      <w:r w:rsidRPr="001D2A5B">
        <w:rPr>
          <w:bCs/>
        </w:rPr>
        <w:t xml:space="preserve">absorbs the timing differences arising from the different arrangements for accounting for post-employment benefits and for funding benefits in accordance with statutory provisions. </w:t>
      </w:r>
    </w:p>
    <w:p w14:paraId="14EE1F07" w14:textId="77777777" w:rsidR="008B6E87" w:rsidRPr="001D2A5B" w:rsidRDefault="008B6E87" w:rsidP="0070459C">
      <w:pPr>
        <w:tabs>
          <w:tab w:val="left" w:pos="567"/>
        </w:tabs>
        <w:rPr>
          <w:bCs/>
        </w:rPr>
      </w:pPr>
    </w:p>
    <w:p w14:paraId="485A4742" w14:textId="2ABE6D40" w:rsidR="007F01E5" w:rsidRPr="001D2A5B" w:rsidRDefault="007F01E5" w:rsidP="0070459C">
      <w:pPr>
        <w:tabs>
          <w:tab w:val="left" w:pos="567"/>
        </w:tabs>
        <w:rPr>
          <w:bCs/>
        </w:rPr>
      </w:pPr>
      <w:r w:rsidRPr="001D2A5B">
        <w:rPr>
          <w:bCs/>
        </w:rPr>
        <w:t xml:space="preserve">The Authority accounts for post-employment benefits in the Comprehensive Income &amp; Expenditure Statement as the benefits are earned by employees accruing years of service, updating the liabilities recognised to reflect inflation, changing assumptions and investment returns on any resources set aside to meet the costs. However, statutory arrangements require benefits earned to be financed as the Authority makes employers contributions to pension funds or eventually pays any pensions for which it is </w:t>
      </w:r>
      <w:r w:rsidRPr="004006C5">
        <w:rPr>
          <w:bCs/>
        </w:rPr>
        <w:t xml:space="preserve">directly responsible. The </w:t>
      </w:r>
      <w:r w:rsidR="00DC79F2" w:rsidRPr="004006C5">
        <w:rPr>
          <w:bCs/>
        </w:rPr>
        <w:t>credit</w:t>
      </w:r>
      <w:r w:rsidRPr="004006C5">
        <w:rPr>
          <w:bCs/>
        </w:rPr>
        <w:t xml:space="preserve"> balance on the pension reserve shows a s</w:t>
      </w:r>
      <w:r w:rsidR="00DC79F2" w:rsidRPr="004006C5">
        <w:rPr>
          <w:bCs/>
        </w:rPr>
        <w:t>urplus</w:t>
      </w:r>
      <w:r w:rsidRPr="004006C5">
        <w:rPr>
          <w:bCs/>
        </w:rPr>
        <w:t xml:space="preserve"> in the benefits earned by past and current employees and the resources set aside to meet them. The position fluctuates from year to year as it represents a snapshot at the end of the financial year, based</w:t>
      </w:r>
      <w:r w:rsidRPr="001D2A5B">
        <w:rPr>
          <w:bCs/>
        </w:rPr>
        <w:t xml:space="preserve"> on prevailing market and other economic conditions and assumptions. The statutory arrangements ensure that funding </w:t>
      </w:r>
      <w:r w:rsidR="001D2A5B" w:rsidRPr="001D2A5B">
        <w:rPr>
          <w:bCs/>
        </w:rPr>
        <w:t xml:space="preserve">is </w:t>
      </w:r>
      <w:r w:rsidRPr="001D2A5B">
        <w:rPr>
          <w:bCs/>
        </w:rPr>
        <w:t xml:space="preserve">set aside by the time </w:t>
      </w:r>
      <w:r w:rsidR="001D2A5B" w:rsidRPr="001D2A5B">
        <w:rPr>
          <w:bCs/>
        </w:rPr>
        <w:t>any</w:t>
      </w:r>
      <w:r w:rsidRPr="001D2A5B">
        <w:rPr>
          <w:bCs/>
        </w:rPr>
        <w:t xml:space="preserve"> benefits come to be paid. </w:t>
      </w:r>
    </w:p>
    <w:p w14:paraId="485A4743" w14:textId="77777777" w:rsidR="007F01E5" w:rsidRDefault="007F01E5" w:rsidP="0070459C">
      <w:pPr>
        <w:rPr>
          <w:bCs/>
          <w:highlight w:val="yellow"/>
        </w:rPr>
      </w:pPr>
    </w:p>
    <w:p w14:paraId="4B3D0011" w14:textId="77777777" w:rsidR="00DF7226" w:rsidRPr="004D5CA8" w:rsidRDefault="00DF7226" w:rsidP="0070459C">
      <w:pPr>
        <w:rPr>
          <w:bCs/>
          <w:highlight w:val="yellow"/>
        </w:rPr>
      </w:pPr>
    </w:p>
    <w:p w14:paraId="485A4744" w14:textId="067C6EFB" w:rsidR="007F01E5" w:rsidRPr="00DC79F2" w:rsidRDefault="007F01E5" w:rsidP="0070459C">
      <w:pPr>
        <w:rPr>
          <w:b/>
        </w:rPr>
      </w:pPr>
      <w:r w:rsidRPr="00DC79F2">
        <w:rPr>
          <w:b/>
        </w:rPr>
        <w:t>Discretionary Post-Retirement Benefits</w:t>
      </w:r>
    </w:p>
    <w:p w14:paraId="485A4745" w14:textId="77777777" w:rsidR="007F01E5" w:rsidRPr="00DC79F2" w:rsidRDefault="007F01E5" w:rsidP="0070459C"/>
    <w:p w14:paraId="485A4748" w14:textId="556F1076" w:rsidR="007F01E5" w:rsidRPr="00DC79F2" w:rsidRDefault="007F01E5" w:rsidP="0070459C">
      <w:r w:rsidRPr="00DC79F2">
        <w:t>Discretionary post-retirement benefits on early retirement are an unfunded defined benefit arrangement, under which liabilities are recognised when awards are made. There are no plan assets built up to meet these pension liabilities.</w:t>
      </w:r>
      <w:r w:rsidR="00DF7226">
        <w:t xml:space="preserve"> </w:t>
      </w:r>
      <w:r w:rsidRPr="00DC79F2">
        <w:t>The following table</w:t>
      </w:r>
      <w:r w:rsidR="005C1D0A" w:rsidRPr="00DC79F2">
        <w:t>s</w:t>
      </w:r>
      <w:r w:rsidRPr="00DC79F2">
        <w:t xml:space="preserve"> outline transactions </w:t>
      </w:r>
      <w:r w:rsidR="005C1D0A" w:rsidRPr="00DC79F2">
        <w:t>affecting the Authority’s share of the pension fund’s liabilities and assets</w:t>
      </w:r>
      <w:r w:rsidRPr="00DC79F2">
        <w:t xml:space="preserve"> during the year:</w:t>
      </w:r>
    </w:p>
    <w:p w14:paraId="485A4749" w14:textId="77777777" w:rsidR="007F01E5" w:rsidRDefault="007F01E5" w:rsidP="0070459C"/>
    <w:p w14:paraId="6973DD31" w14:textId="1079ACFD" w:rsidR="00C4155C" w:rsidRDefault="00FE5E6E" w:rsidP="0070459C">
      <w:r w:rsidRPr="00FE5E6E">
        <w:rPr>
          <w:noProof/>
        </w:rPr>
        <w:drawing>
          <wp:inline distT="0" distB="0" distL="0" distR="0" wp14:anchorId="2BACB5F4" wp14:editId="4DF1AC25">
            <wp:extent cx="6120765" cy="2016125"/>
            <wp:effectExtent l="0" t="0" r="0" b="3175"/>
            <wp:docPr id="18231829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2016125"/>
                    </a:xfrm>
                    <a:prstGeom prst="rect">
                      <a:avLst/>
                    </a:prstGeom>
                    <a:noFill/>
                    <a:ln>
                      <a:noFill/>
                    </a:ln>
                  </pic:spPr>
                </pic:pic>
              </a:graphicData>
            </a:graphic>
          </wp:inline>
        </w:drawing>
      </w:r>
    </w:p>
    <w:p w14:paraId="259CA3FE" w14:textId="77777777" w:rsidR="00FE5E6E" w:rsidRPr="00DC79F2" w:rsidRDefault="00FE5E6E" w:rsidP="0070459C"/>
    <w:p w14:paraId="0A2F3BD9" w14:textId="4DD7CE78" w:rsidR="004733E9" w:rsidRDefault="00FE5E6E" w:rsidP="0070459C">
      <w:pPr>
        <w:jc w:val="center"/>
      </w:pPr>
      <w:r w:rsidRPr="00FE5E6E">
        <w:rPr>
          <w:noProof/>
        </w:rPr>
        <w:drawing>
          <wp:inline distT="0" distB="0" distL="0" distR="0" wp14:anchorId="783BD08E" wp14:editId="419A0405">
            <wp:extent cx="6120765" cy="2193925"/>
            <wp:effectExtent l="0" t="0" r="0" b="0"/>
            <wp:docPr id="2896580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2193925"/>
                    </a:xfrm>
                    <a:prstGeom prst="rect">
                      <a:avLst/>
                    </a:prstGeom>
                    <a:noFill/>
                    <a:ln>
                      <a:noFill/>
                    </a:ln>
                  </pic:spPr>
                </pic:pic>
              </a:graphicData>
            </a:graphic>
          </wp:inline>
        </w:drawing>
      </w:r>
    </w:p>
    <w:p w14:paraId="485A474E" w14:textId="348484D7" w:rsidR="00A5384B" w:rsidRPr="00DC79F2" w:rsidRDefault="00433C24" w:rsidP="00DF7226">
      <w:pPr>
        <w:jc w:val="center"/>
      </w:pPr>
      <w:r w:rsidRPr="00433C24">
        <w:rPr>
          <w:noProof/>
        </w:rPr>
        <w:lastRenderedPageBreak/>
        <w:drawing>
          <wp:inline distT="0" distB="0" distL="0" distR="0" wp14:anchorId="3E77CC23" wp14:editId="73828848">
            <wp:extent cx="6119247" cy="3935577"/>
            <wp:effectExtent l="0" t="0" r="0" b="8255"/>
            <wp:docPr id="11770456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40686" cy="3949366"/>
                    </a:xfrm>
                    <a:prstGeom prst="rect">
                      <a:avLst/>
                    </a:prstGeom>
                    <a:noFill/>
                    <a:ln>
                      <a:noFill/>
                    </a:ln>
                  </pic:spPr>
                </pic:pic>
              </a:graphicData>
            </a:graphic>
          </wp:inline>
        </w:drawing>
      </w:r>
    </w:p>
    <w:p w14:paraId="485A4750" w14:textId="16CBD83F" w:rsidR="007F01E5" w:rsidRPr="00162C02" w:rsidRDefault="007F01E5" w:rsidP="0070459C">
      <w:pPr>
        <w:pStyle w:val="BlockText"/>
        <w:numPr>
          <w:ilvl w:val="0"/>
          <w:numId w:val="47"/>
        </w:numPr>
        <w:tabs>
          <w:tab w:val="clear" w:pos="1843"/>
          <w:tab w:val="left" w:pos="567"/>
        </w:tabs>
        <w:ind w:left="0" w:right="0" w:firstLine="0"/>
        <w:rPr>
          <w:rFonts w:cs="Arial"/>
          <w:b/>
          <w:sz w:val="23"/>
          <w:szCs w:val="23"/>
        </w:rPr>
      </w:pPr>
      <w:bookmarkStart w:id="240" w:name="_Toc167965809"/>
      <w:r w:rsidRPr="00162C02">
        <w:rPr>
          <w:rStyle w:val="Heading2Char"/>
        </w:rPr>
        <w:t>Defined Benefit Pension Schemes</w:t>
      </w:r>
      <w:bookmarkEnd w:id="240"/>
    </w:p>
    <w:p w14:paraId="485A4751" w14:textId="77777777" w:rsidR="007F01E5" w:rsidRPr="00DC79F2" w:rsidRDefault="007F01E5" w:rsidP="0070459C">
      <w:pPr>
        <w:pStyle w:val="Subtitle"/>
      </w:pPr>
    </w:p>
    <w:p w14:paraId="485A4752" w14:textId="77777777" w:rsidR="007F01E5" w:rsidRPr="00DC79F2" w:rsidRDefault="007F01E5" w:rsidP="0070459C">
      <w:pPr>
        <w:rPr>
          <w:b/>
        </w:rPr>
      </w:pPr>
      <w:r w:rsidRPr="00DC79F2">
        <w:rPr>
          <w:b/>
        </w:rPr>
        <w:t>Participation in Pension Schemes</w:t>
      </w:r>
    </w:p>
    <w:p w14:paraId="485A4753" w14:textId="77777777" w:rsidR="007F01E5" w:rsidRPr="00DC79F2" w:rsidRDefault="007F01E5" w:rsidP="0070459C"/>
    <w:p w14:paraId="485A4754" w14:textId="77777777" w:rsidR="007F01E5" w:rsidRPr="00DC79F2" w:rsidRDefault="007F01E5" w:rsidP="0070459C">
      <w:r w:rsidRPr="00DC79F2">
        <w:t>As part of the terms and conditions of employment the Authority makes contributions to the cost of employee’s retirement benefits. Although these benefits will not actually be payable until employees retire, the Authority is committed to making these payments. This commitment to make retirement payments at a future date is disclosed in the year that the employees have earned their future pension entitlement in accordance with IAS 19.</w:t>
      </w:r>
    </w:p>
    <w:p w14:paraId="485A4755" w14:textId="77777777" w:rsidR="007F01E5" w:rsidRPr="00DC79F2" w:rsidRDefault="007F01E5" w:rsidP="0070459C"/>
    <w:p w14:paraId="485A4756" w14:textId="5BBDA732" w:rsidR="007F01E5" w:rsidRPr="00DC79F2" w:rsidRDefault="007F01E5" w:rsidP="0070459C">
      <w:r w:rsidRPr="00DC79F2">
        <w:t>At 31 March 202</w:t>
      </w:r>
      <w:r w:rsidR="00A57E51">
        <w:t>4</w:t>
      </w:r>
      <w:r w:rsidRPr="00DC79F2">
        <w:t xml:space="preserve"> the Authority’s pension arrangement for its employees was the Cumbria Local Government Pension Scheme, which is part of the Local Government Pension Scheme (LGPS). The LGPS is a funded defined benefit pension arrangement for local authorities and related employers, and is governed by statute (principally now the Local Government Pension Scheme Regulations 2013).</w:t>
      </w:r>
    </w:p>
    <w:p w14:paraId="485A4757" w14:textId="77777777" w:rsidR="007F01E5" w:rsidRPr="001D2A5B" w:rsidRDefault="007F01E5" w:rsidP="0070459C"/>
    <w:p w14:paraId="485A4758" w14:textId="5343D0EE" w:rsidR="007F01E5" w:rsidRPr="001D2A5B" w:rsidRDefault="007F01E5" w:rsidP="0070459C">
      <w:r w:rsidRPr="001D2A5B">
        <w:t>The Cumbria Local Government Pension Scheme is a multi-employer arrangement, under which each employer is responsible for pension costs, liabilities and funding risks relating to its own employees and former employees. Each employer’s contribution to the scheme is calculated in accordance with the LGPS Regulations which require an actuarial valuation to be carried out every three years. The latest actuarial valuation of the scheme, for which results are known, took place on 31 March 20</w:t>
      </w:r>
      <w:r w:rsidR="001D2A5B" w:rsidRPr="001D2A5B">
        <w:t>22</w:t>
      </w:r>
      <w:r w:rsidRPr="001D2A5B">
        <w:t xml:space="preserve"> and at that date showed a funding level of </w:t>
      </w:r>
      <w:r w:rsidR="001D2A5B" w:rsidRPr="001D2A5B">
        <w:t>110</w:t>
      </w:r>
      <w:r w:rsidRPr="001D2A5B">
        <w:t>% (assets of £</w:t>
      </w:r>
      <w:r w:rsidR="001D2A5B" w:rsidRPr="001D2A5B">
        <w:t>3.3</w:t>
      </w:r>
      <w:r w:rsidRPr="001D2A5B">
        <w:t xml:space="preserve"> billion against accrued liabilities of about £</w:t>
      </w:r>
      <w:r w:rsidR="001D2A5B" w:rsidRPr="001D2A5B">
        <w:t>3</w:t>
      </w:r>
      <w:r w:rsidRPr="001D2A5B">
        <w:t xml:space="preserve"> billion). The duration of the liabilities for the individual employers who participate in the scheme can be significantly different from this, reflecting the profile of its employees and former employees. </w:t>
      </w:r>
    </w:p>
    <w:p w14:paraId="485A4759" w14:textId="77777777" w:rsidR="007F01E5" w:rsidRPr="009261F0" w:rsidRDefault="007F01E5" w:rsidP="0070459C"/>
    <w:p w14:paraId="485A475A" w14:textId="1C77A1E3" w:rsidR="007F01E5" w:rsidRPr="009261F0" w:rsidRDefault="007F01E5" w:rsidP="0070459C">
      <w:pPr>
        <w:rPr>
          <w:b/>
        </w:rPr>
      </w:pPr>
      <w:r w:rsidRPr="009261F0">
        <w:rPr>
          <w:b/>
        </w:rPr>
        <w:t>Governance and Risk Management</w:t>
      </w:r>
    </w:p>
    <w:p w14:paraId="485A475B" w14:textId="77777777" w:rsidR="007F01E5" w:rsidRPr="009261F0" w:rsidRDefault="007F01E5" w:rsidP="0070459C"/>
    <w:p w14:paraId="485A475C" w14:textId="61C80B2B" w:rsidR="007F01E5" w:rsidRPr="009261F0" w:rsidRDefault="007F01E5" w:rsidP="0070459C">
      <w:r w:rsidRPr="009261F0">
        <w:t xml:space="preserve">The </w:t>
      </w:r>
      <w:r w:rsidR="009261F0" w:rsidRPr="009261F0">
        <w:t>surplus</w:t>
      </w:r>
      <w:r w:rsidRPr="009261F0">
        <w:t xml:space="preserve"> associated with the Authority’s pension arrangements is material to the Authority, as is the cash funding required. The details in relation to each arrangement, including the relevant provisions for governance and risk management, are set out below:</w:t>
      </w:r>
    </w:p>
    <w:p w14:paraId="485A475D" w14:textId="77777777" w:rsidR="007F01E5" w:rsidRPr="009261F0" w:rsidRDefault="007F01E5" w:rsidP="0070459C"/>
    <w:p w14:paraId="485A475E" w14:textId="77777777" w:rsidR="007F01E5" w:rsidRPr="009261F0" w:rsidRDefault="007F01E5" w:rsidP="0070459C">
      <w:pPr>
        <w:numPr>
          <w:ilvl w:val="0"/>
          <w:numId w:val="10"/>
        </w:numPr>
        <w:ind w:left="0" w:firstLine="0"/>
      </w:pPr>
      <w:r w:rsidRPr="009261F0">
        <w:t>Nature of the Scheme</w:t>
      </w:r>
    </w:p>
    <w:p w14:paraId="485A475F" w14:textId="77777777" w:rsidR="007F01E5" w:rsidRPr="009261F0" w:rsidRDefault="007F01E5" w:rsidP="0070459C"/>
    <w:p w14:paraId="485A4760" w14:textId="77777777" w:rsidR="007F01E5" w:rsidRPr="009261F0" w:rsidRDefault="007F01E5" w:rsidP="0070459C">
      <w:r w:rsidRPr="009261F0">
        <w:t>The Scheme targets a pension paid throughout life. The amount of pension depends on how long employees are active members of the scheme and their salary when they leave the scheme (a ‘final salary’ scheme) for service up to 31 March 2014 and on revalued average salary (a ‘career average’ scheme) for service from 1 April 2014 onwards.</w:t>
      </w:r>
    </w:p>
    <w:p w14:paraId="485A4761" w14:textId="77777777" w:rsidR="007F01E5" w:rsidRPr="009261F0" w:rsidRDefault="007F01E5" w:rsidP="0070459C"/>
    <w:p w14:paraId="485A4762" w14:textId="77777777" w:rsidR="007F01E5" w:rsidRPr="009261F0" w:rsidRDefault="007F01E5" w:rsidP="0070459C">
      <w:pPr>
        <w:numPr>
          <w:ilvl w:val="0"/>
          <w:numId w:val="10"/>
        </w:numPr>
        <w:ind w:left="0" w:firstLine="0"/>
      </w:pPr>
      <w:r w:rsidRPr="009261F0">
        <w:t>Governance</w:t>
      </w:r>
    </w:p>
    <w:p w14:paraId="485A4763" w14:textId="77777777" w:rsidR="007F01E5" w:rsidRPr="009261F0" w:rsidRDefault="007F01E5" w:rsidP="0070459C"/>
    <w:p w14:paraId="485A4764" w14:textId="77777777" w:rsidR="007F01E5" w:rsidRPr="00282755" w:rsidRDefault="007F01E5" w:rsidP="0070459C">
      <w:pPr>
        <w:rPr>
          <w:rFonts w:cs="Arial"/>
          <w:color w:val="000000"/>
          <w:lang w:eastAsia="en-GB"/>
        </w:rPr>
      </w:pPr>
      <w:r w:rsidRPr="009261F0">
        <w:t xml:space="preserve">Management of the scheme is vested in Cumbria County Council as Administering Authority of the Scheme. Cumbria County Council has appointed a Pension </w:t>
      </w:r>
      <w:r w:rsidR="00DE0EE3" w:rsidRPr="009261F0">
        <w:t>Committee</w:t>
      </w:r>
      <w:r w:rsidRPr="009261F0">
        <w:t xml:space="preserve"> to manage the Scheme. Advice is given by Cumbria County Council’s </w:t>
      </w:r>
      <w:r w:rsidR="00833138" w:rsidRPr="009261F0">
        <w:t>A</w:t>
      </w:r>
      <w:r w:rsidRPr="009261F0">
        <w:t xml:space="preserve">ssistant Director – Finance (s151 Officer), the Council’s finance team and by two independent advisers. </w:t>
      </w:r>
      <w:r w:rsidRPr="009261F0">
        <w:rPr>
          <w:rFonts w:cs="Arial"/>
          <w:color w:val="000000"/>
          <w:lang w:eastAsia="en-GB"/>
        </w:rPr>
        <w:t xml:space="preserve">The current advisers are appointed for their knowledge of investments and of pension funds; one adviser being primarily an investment specialist, the other complementing these investment skills with actuarial knowledge </w:t>
      </w:r>
      <w:r w:rsidRPr="00282755">
        <w:rPr>
          <w:rFonts w:cs="Arial"/>
          <w:color w:val="000000"/>
          <w:lang w:eastAsia="en-GB"/>
        </w:rPr>
        <w:t xml:space="preserve">of the liability profile of the Scheme. A Local Pension Board, established under the Public Service Pensions Act 2013, assists with the governance of the scheme. </w:t>
      </w:r>
    </w:p>
    <w:p w14:paraId="14C1024B" w14:textId="77777777" w:rsidR="00701712" w:rsidRPr="00282755" w:rsidRDefault="00701712" w:rsidP="0070459C">
      <w:pPr>
        <w:rPr>
          <w:rFonts w:cs="Arial"/>
          <w:color w:val="000000"/>
          <w:lang w:eastAsia="en-GB"/>
        </w:rPr>
      </w:pPr>
    </w:p>
    <w:p w14:paraId="485A4766" w14:textId="77777777" w:rsidR="007F01E5" w:rsidRDefault="007F01E5" w:rsidP="0070459C">
      <w:pPr>
        <w:numPr>
          <w:ilvl w:val="0"/>
          <w:numId w:val="10"/>
        </w:numPr>
        <w:ind w:left="0" w:firstLine="0"/>
      </w:pPr>
      <w:r w:rsidRPr="00282755">
        <w:t>Funding the Liabilities</w:t>
      </w:r>
    </w:p>
    <w:p w14:paraId="028F37D3" w14:textId="77777777" w:rsidR="00163E83" w:rsidRPr="00282755" w:rsidRDefault="00163E83" w:rsidP="0070459C"/>
    <w:p w14:paraId="6D6B3FBA" w14:textId="34743ADB" w:rsidR="00163E83" w:rsidRDefault="00EF6C9E" w:rsidP="0070459C">
      <w:pPr>
        <w:rPr>
          <w:rFonts w:cs="Arial"/>
          <w:color w:val="000000"/>
          <w:lang w:eastAsia="en-GB"/>
        </w:rPr>
      </w:pPr>
      <w:r w:rsidRPr="009261F0">
        <w:rPr>
          <w:rFonts w:cs="Arial"/>
          <w:color w:val="000000"/>
          <w:lang w:eastAsia="en-GB"/>
        </w:rPr>
        <w:t xml:space="preserve"> </w:t>
      </w:r>
      <w:r w:rsidR="007F01E5" w:rsidRPr="009261F0">
        <w:rPr>
          <w:rFonts w:cs="Arial"/>
          <w:color w:val="000000"/>
          <w:lang w:eastAsia="en-GB"/>
        </w:rPr>
        <w:t>Regulations governing the Scheme require actuarial valuations to be carried out every three years.  Contributions for each employer are set having regard to their individual circumstances.  The Regulations require the contributions to be set with a view to targeting the Scheme’s solvency, and the detailed provisions are set out in the Scheme’s Funding Strategy Statement.  The most recent available valuation was carried out as at 31 March 20</w:t>
      </w:r>
      <w:r w:rsidR="009261F0" w:rsidRPr="009261F0">
        <w:rPr>
          <w:rFonts w:cs="Arial"/>
          <w:color w:val="000000"/>
          <w:lang w:eastAsia="en-GB"/>
        </w:rPr>
        <w:t>22</w:t>
      </w:r>
      <w:r w:rsidR="007F01E5" w:rsidRPr="009261F0">
        <w:rPr>
          <w:rFonts w:cs="Arial"/>
          <w:color w:val="000000"/>
          <w:lang w:eastAsia="en-GB"/>
        </w:rPr>
        <w:t xml:space="preserve">, which showed a </w:t>
      </w:r>
      <w:r w:rsidR="009261F0" w:rsidRPr="009261F0">
        <w:rPr>
          <w:rFonts w:cs="Arial"/>
          <w:color w:val="000000"/>
          <w:lang w:eastAsia="en-GB"/>
        </w:rPr>
        <w:t>surplus</w:t>
      </w:r>
      <w:r w:rsidR="007F01E5" w:rsidRPr="009261F0">
        <w:rPr>
          <w:rFonts w:cs="Arial"/>
          <w:color w:val="000000"/>
          <w:lang w:eastAsia="en-GB"/>
        </w:rPr>
        <w:t xml:space="preserve"> of assets against liabilities of £0.</w:t>
      </w:r>
      <w:r w:rsidR="009261F0" w:rsidRPr="009261F0">
        <w:rPr>
          <w:rFonts w:cs="Arial"/>
          <w:color w:val="000000"/>
          <w:lang w:eastAsia="en-GB"/>
        </w:rPr>
        <w:t xml:space="preserve">31 </w:t>
      </w:r>
      <w:r w:rsidR="007F01E5" w:rsidRPr="009261F0">
        <w:rPr>
          <w:rFonts w:cs="Arial"/>
          <w:color w:val="000000"/>
          <w:lang w:eastAsia="en-GB"/>
        </w:rPr>
        <w:t xml:space="preserve">billion as at that date, equivalent to a funding level of </w:t>
      </w:r>
      <w:r w:rsidR="009261F0" w:rsidRPr="009261F0">
        <w:rPr>
          <w:rFonts w:cs="Arial"/>
          <w:color w:val="000000"/>
          <w:lang w:eastAsia="en-GB"/>
        </w:rPr>
        <w:t>110</w:t>
      </w:r>
      <w:r w:rsidR="007F01E5" w:rsidRPr="009261F0">
        <w:rPr>
          <w:rFonts w:cs="Arial"/>
          <w:color w:val="000000"/>
          <w:lang w:eastAsia="en-GB"/>
        </w:rPr>
        <w:t xml:space="preserve">%.  </w:t>
      </w:r>
      <w:r w:rsidR="009261F0" w:rsidRPr="009261F0">
        <w:rPr>
          <w:rFonts w:cs="Arial"/>
          <w:color w:val="000000"/>
          <w:lang w:eastAsia="en-GB"/>
        </w:rPr>
        <w:t xml:space="preserve">A surplus buffer of 110% has been introduced to reflect current economic uncertainty and aid future contribution stability. </w:t>
      </w:r>
      <w:r w:rsidR="003D65F5">
        <w:rPr>
          <w:rFonts w:cs="Arial"/>
          <w:color w:val="000000"/>
        </w:rPr>
        <w:t>In addition to the funded benefit liabilities, there are a small number of unfunded benefit liabilities. These have been included as a liability of £8</w:t>
      </w:r>
      <w:r w:rsidR="00A57E51">
        <w:rPr>
          <w:rFonts w:cs="Arial"/>
          <w:color w:val="000000"/>
        </w:rPr>
        <w:t>09</w:t>
      </w:r>
      <w:r w:rsidR="003D65F5">
        <w:rPr>
          <w:rFonts w:cs="Arial"/>
          <w:color w:val="000000"/>
        </w:rPr>
        <w:t>k on the balance sheet.</w:t>
      </w:r>
    </w:p>
    <w:p w14:paraId="423DCD33" w14:textId="77777777" w:rsidR="00163E83" w:rsidRDefault="00163E83" w:rsidP="0070459C">
      <w:pPr>
        <w:rPr>
          <w:rFonts w:cs="Arial"/>
          <w:color w:val="000000"/>
          <w:lang w:eastAsia="en-GB"/>
        </w:rPr>
      </w:pPr>
    </w:p>
    <w:p w14:paraId="1B97AA0C" w14:textId="1E06B6BA" w:rsidR="00163E83" w:rsidRDefault="00163E83" w:rsidP="0070459C">
      <w:pPr>
        <w:pStyle w:val="ListParagraph"/>
        <w:numPr>
          <w:ilvl w:val="0"/>
          <w:numId w:val="10"/>
        </w:numPr>
        <w:ind w:left="0" w:firstLine="0"/>
        <w:rPr>
          <w:rFonts w:cs="Arial"/>
          <w:color w:val="000000"/>
          <w:sz w:val="23"/>
          <w:szCs w:val="23"/>
          <w:u w:val="none"/>
        </w:rPr>
      </w:pPr>
      <w:r>
        <w:rPr>
          <w:rFonts w:cs="Arial"/>
          <w:color w:val="000000"/>
          <w:sz w:val="23"/>
          <w:szCs w:val="23"/>
          <w:u w:val="none"/>
        </w:rPr>
        <w:t>Net defined benefit pension asset recognition</w:t>
      </w:r>
    </w:p>
    <w:p w14:paraId="521855D2" w14:textId="77777777" w:rsidR="00163E83" w:rsidRDefault="00163E83" w:rsidP="0070459C">
      <w:pPr>
        <w:pStyle w:val="ListParagraph"/>
        <w:ind w:left="0"/>
        <w:rPr>
          <w:rFonts w:cs="Arial"/>
          <w:color w:val="000000"/>
          <w:sz w:val="23"/>
          <w:szCs w:val="23"/>
          <w:u w:val="none"/>
        </w:rPr>
      </w:pPr>
    </w:p>
    <w:p w14:paraId="485A4768" w14:textId="5623BF89" w:rsidR="007F01E5" w:rsidRDefault="00163E83" w:rsidP="0070459C">
      <w:pPr>
        <w:pStyle w:val="ListParagraph"/>
        <w:ind w:left="0"/>
        <w:rPr>
          <w:rFonts w:cs="Arial"/>
          <w:color w:val="000000"/>
          <w:sz w:val="23"/>
          <w:szCs w:val="23"/>
          <w:u w:val="none"/>
        </w:rPr>
      </w:pPr>
      <w:r w:rsidRPr="00163E83">
        <w:rPr>
          <w:rFonts w:cs="Arial"/>
          <w:color w:val="000000"/>
          <w:sz w:val="23"/>
          <w:szCs w:val="23"/>
          <w:u w:val="none"/>
        </w:rPr>
        <w:t xml:space="preserve">As part of assessing whether the </w:t>
      </w:r>
      <w:r>
        <w:rPr>
          <w:rFonts w:cs="Arial"/>
          <w:color w:val="000000"/>
          <w:sz w:val="23"/>
          <w:szCs w:val="23"/>
          <w:u w:val="none"/>
        </w:rPr>
        <w:t xml:space="preserve">net defined benefit pension </w:t>
      </w:r>
      <w:r w:rsidRPr="00163E83">
        <w:rPr>
          <w:rFonts w:cs="Arial"/>
          <w:color w:val="000000"/>
          <w:sz w:val="23"/>
          <w:szCs w:val="23"/>
          <w:u w:val="none"/>
        </w:rPr>
        <w:t>surplus on the balance sheet should be recognised</w:t>
      </w:r>
      <w:r>
        <w:rPr>
          <w:rFonts w:cs="Arial"/>
          <w:color w:val="000000"/>
          <w:sz w:val="23"/>
          <w:szCs w:val="23"/>
          <w:u w:val="none"/>
        </w:rPr>
        <w:t xml:space="preserve"> in full</w:t>
      </w:r>
      <w:r w:rsidRPr="00163E83">
        <w:rPr>
          <w:rFonts w:cs="Arial"/>
          <w:color w:val="000000"/>
          <w:sz w:val="23"/>
          <w:szCs w:val="23"/>
          <w:u w:val="none"/>
        </w:rPr>
        <w:t>, the Authority has assessed the level of poten</w:t>
      </w:r>
      <w:r>
        <w:rPr>
          <w:rFonts w:cs="Arial"/>
          <w:color w:val="000000"/>
          <w:sz w:val="23"/>
          <w:szCs w:val="23"/>
          <w:u w:val="none"/>
        </w:rPr>
        <w:t>tial for reduction in</w:t>
      </w:r>
      <w:r w:rsidRPr="00163E83">
        <w:rPr>
          <w:rFonts w:cs="Arial"/>
          <w:color w:val="000000"/>
          <w:sz w:val="23"/>
          <w:szCs w:val="23"/>
          <w:u w:val="none"/>
        </w:rPr>
        <w:t xml:space="preserve"> future contributions </w:t>
      </w:r>
      <w:r w:rsidR="00162C02">
        <w:rPr>
          <w:rFonts w:cs="Arial"/>
          <w:color w:val="000000"/>
          <w:sz w:val="23"/>
          <w:szCs w:val="23"/>
          <w:u w:val="none"/>
        </w:rPr>
        <w:t>i</w:t>
      </w:r>
      <w:r w:rsidR="004733E9">
        <w:rPr>
          <w:rFonts w:cs="Arial"/>
          <w:color w:val="000000"/>
          <w:sz w:val="23"/>
          <w:szCs w:val="23"/>
          <w:u w:val="none"/>
        </w:rPr>
        <w:t>n line with IFRIC 14</w:t>
      </w:r>
      <w:r w:rsidR="00162C02">
        <w:rPr>
          <w:rFonts w:cs="Arial"/>
          <w:color w:val="000000"/>
          <w:sz w:val="23"/>
          <w:szCs w:val="23"/>
          <w:u w:val="none"/>
        </w:rPr>
        <w:t>.</w:t>
      </w:r>
      <w:r w:rsidR="004733E9">
        <w:rPr>
          <w:rFonts w:cs="Arial"/>
          <w:color w:val="000000"/>
          <w:sz w:val="23"/>
          <w:szCs w:val="23"/>
          <w:u w:val="none"/>
        </w:rPr>
        <w:t xml:space="preserve"> </w:t>
      </w:r>
      <w:r w:rsidR="00162C02">
        <w:rPr>
          <w:rFonts w:cs="Arial"/>
          <w:color w:val="000000"/>
          <w:sz w:val="23"/>
          <w:szCs w:val="23"/>
          <w:u w:val="none"/>
        </w:rPr>
        <w:t>A</w:t>
      </w:r>
      <w:r w:rsidR="004733E9">
        <w:rPr>
          <w:rFonts w:cs="Arial"/>
          <w:color w:val="000000"/>
          <w:sz w:val="23"/>
          <w:szCs w:val="23"/>
          <w:u w:val="none"/>
        </w:rPr>
        <w:t>n asset ceiling calculation has been completed to assess th</w:t>
      </w:r>
      <w:r w:rsidR="00CD1AFA">
        <w:rPr>
          <w:rFonts w:cs="Arial"/>
          <w:color w:val="000000"/>
          <w:sz w:val="23"/>
          <w:szCs w:val="23"/>
          <w:u w:val="none"/>
        </w:rPr>
        <w:t>is</w:t>
      </w:r>
      <w:r w:rsidR="004733E9">
        <w:rPr>
          <w:rFonts w:cs="Arial"/>
          <w:color w:val="000000"/>
          <w:sz w:val="23"/>
          <w:szCs w:val="23"/>
          <w:u w:val="none"/>
        </w:rPr>
        <w:t xml:space="preserve"> level of future contributions against the minimum funding requirement for the scheme</w:t>
      </w:r>
      <w:r w:rsidR="00CD1AFA">
        <w:rPr>
          <w:rFonts w:cs="Arial"/>
          <w:color w:val="000000"/>
          <w:sz w:val="23"/>
          <w:szCs w:val="23"/>
          <w:u w:val="none"/>
        </w:rPr>
        <w:t>. This aims to assess whether contributions could be lowered to provide the authority with future economic inflows (through reduced contributions).</w:t>
      </w:r>
      <w:r w:rsidR="004733E9">
        <w:rPr>
          <w:rFonts w:cs="Arial"/>
          <w:color w:val="000000"/>
          <w:sz w:val="23"/>
          <w:szCs w:val="23"/>
          <w:u w:val="none"/>
        </w:rPr>
        <w:t xml:space="preserve"> </w:t>
      </w:r>
      <w:r w:rsidR="00CD1AFA">
        <w:rPr>
          <w:rFonts w:cs="Arial"/>
          <w:color w:val="000000"/>
          <w:sz w:val="23"/>
          <w:szCs w:val="23"/>
          <w:u w:val="none"/>
        </w:rPr>
        <w:t>T</w:t>
      </w:r>
      <w:r w:rsidR="004733E9">
        <w:rPr>
          <w:rFonts w:cs="Arial"/>
          <w:color w:val="000000"/>
          <w:sz w:val="23"/>
          <w:szCs w:val="23"/>
          <w:u w:val="none"/>
        </w:rPr>
        <w:t xml:space="preserve">his has resulted in the asset being fully capped </w:t>
      </w:r>
      <w:r w:rsidR="002D1266">
        <w:rPr>
          <w:rFonts w:cs="Arial"/>
          <w:color w:val="000000"/>
          <w:sz w:val="23"/>
          <w:szCs w:val="23"/>
          <w:u w:val="none"/>
        </w:rPr>
        <w:t>with the unfunded liability of £8</w:t>
      </w:r>
      <w:r w:rsidR="00A57E51">
        <w:rPr>
          <w:rFonts w:cs="Arial"/>
          <w:color w:val="000000"/>
          <w:sz w:val="23"/>
          <w:szCs w:val="23"/>
          <w:u w:val="none"/>
        </w:rPr>
        <w:t>09</w:t>
      </w:r>
      <w:r w:rsidR="002D1266">
        <w:rPr>
          <w:rFonts w:cs="Arial"/>
          <w:color w:val="000000"/>
          <w:sz w:val="23"/>
          <w:szCs w:val="23"/>
          <w:u w:val="none"/>
        </w:rPr>
        <w:t>k</w:t>
      </w:r>
      <w:r w:rsidR="004733E9">
        <w:rPr>
          <w:rFonts w:cs="Arial"/>
          <w:color w:val="000000"/>
          <w:sz w:val="23"/>
          <w:szCs w:val="23"/>
          <w:u w:val="none"/>
        </w:rPr>
        <w:t>.</w:t>
      </w:r>
      <w:r w:rsidR="009261F0" w:rsidRPr="00163E83">
        <w:rPr>
          <w:rFonts w:cs="Arial"/>
          <w:color w:val="000000"/>
          <w:sz w:val="23"/>
          <w:szCs w:val="23"/>
          <w:u w:val="none"/>
        </w:rPr>
        <w:t xml:space="preserve"> </w:t>
      </w:r>
    </w:p>
    <w:p w14:paraId="521E4D43" w14:textId="77777777" w:rsidR="002D1266" w:rsidRDefault="002D1266" w:rsidP="0070459C">
      <w:pPr>
        <w:pStyle w:val="ListParagraph"/>
        <w:ind w:left="0"/>
        <w:rPr>
          <w:rFonts w:cs="Arial"/>
          <w:color w:val="000000"/>
          <w:sz w:val="23"/>
          <w:szCs w:val="23"/>
          <w:u w:val="none"/>
        </w:rPr>
      </w:pPr>
    </w:p>
    <w:p w14:paraId="485A476A" w14:textId="77777777" w:rsidR="007F01E5" w:rsidRPr="009261F0" w:rsidRDefault="007F01E5" w:rsidP="0070459C">
      <w:pPr>
        <w:numPr>
          <w:ilvl w:val="0"/>
          <w:numId w:val="10"/>
        </w:numPr>
        <w:ind w:left="0" w:firstLine="0"/>
      </w:pPr>
      <w:r w:rsidRPr="009261F0">
        <w:t>Risk and Investment Strategy</w:t>
      </w:r>
    </w:p>
    <w:p w14:paraId="485A476B" w14:textId="77777777" w:rsidR="007F01E5" w:rsidRPr="009261F0" w:rsidRDefault="007F01E5" w:rsidP="0070459C"/>
    <w:p w14:paraId="485A476C" w14:textId="77777777" w:rsidR="007F01E5" w:rsidRPr="009261F0" w:rsidRDefault="007F01E5" w:rsidP="0070459C">
      <w:pPr>
        <w:rPr>
          <w:rFonts w:cs="Arial"/>
          <w:color w:val="000000"/>
          <w:lang w:eastAsia="en-GB"/>
        </w:rPr>
      </w:pPr>
      <w:r w:rsidRPr="009261F0">
        <w:rPr>
          <w:rFonts w:cs="Arial"/>
          <w:color w:val="000000"/>
          <w:lang w:eastAsia="en-GB"/>
        </w:rPr>
        <w:t xml:space="preserve">The Scheme’s primary long-term risk is that the Scheme’s assets will fall short of its liabilities (i.e. promised benefits payable to members). The aim of investment risk management is to balance the minimisation of the risk of an overall reduction in the value of the Scheme with maximising the opportunity for gains across the whole Scheme portfolio. The Scheme achieves this through asset diversification to reduce exposure to market risk (price risk, currency risk and interest rate risk) and keep credit risk to an acceptable level. In addition, the Scheme manages its liquidity risk to ensure there is sufficient liquidity to meet the Scheme’s forecast cash flow. </w:t>
      </w:r>
    </w:p>
    <w:p w14:paraId="485A476D" w14:textId="77777777" w:rsidR="007F01E5" w:rsidRPr="004D5CA8" w:rsidRDefault="007F01E5" w:rsidP="0070459C">
      <w:pPr>
        <w:rPr>
          <w:rFonts w:cs="Arial"/>
          <w:color w:val="000000"/>
          <w:highlight w:val="yellow"/>
          <w:lang w:eastAsia="en-GB"/>
        </w:rPr>
      </w:pPr>
    </w:p>
    <w:p w14:paraId="485A476E" w14:textId="77777777" w:rsidR="007F01E5" w:rsidRPr="009261F0" w:rsidRDefault="007F01E5" w:rsidP="0070459C">
      <w:pPr>
        <w:numPr>
          <w:ilvl w:val="0"/>
          <w:numId w:val="10"/>
        </w:numPr>
        <w:ind w:left="0" w:firstLine="0"/>
        <w:rPr>
          <w:rFonts w:cs="Arial"/>
          <w:color w:val="000000"/>
          <w:lang w:eastAsia="en-GB"/>
        </w:rPr>
      </w:pPr>
      <w:r w:rsidRPr="009261F0">
        <w:rPr>
          <w:rFonts w:cs="Arial"/>
          <w:color w:val="000000"/>
          <w:lang w:eastAsia="en-GB"/>
        </w:rPr>
        <w:t>Market Risk</w:t>
      </w:r>
    </w:p>
    <w:p w14:paraId="485A476F" w14:textId="77777777" w:rsidR="007F01E5" w:rsidRPr="009261F0" w:rsidRDefault="007F01E5" w:rsidP="0070459C">
      <w:pPr>
        <w:rPr>
          <w:rFonts w:cs="Arial"/>
          <w:color w:val="000000"/>
          <w:lang w:eastAsia="en-GB"/>
        </w:rPr>
      </w:pPr>
    </w:p>
    <w:p w14:paraId="485A4770" w14:textId="77777777" w:rsidR="007F01E5" w:rsidRPr="009261F0" w:rsidRDefault="007F01E5" w:rsidP="0070459C">
      <w:pPr>
        <w:autoSpaceDE w:val="0"/>
        <w:autoSpaceDN w:val="0"/>
        <w:rPr>
          <w:rFonts w:cs="Arial"/>
          <w:color w:val="000000"/>
          <w:lang w:eastAsia="en-GB"/>
        </w:rPr>
      </w:pPr>
      <w:r w:rsidRPr="009261F0">
        <w:rPr>
          <w:rFonts w:cs="Arial"/>
          <w:color w:val="000000"/>
          <w:lang w:eastAsia="en-GB"/>
        </w:rPr>
        <w:lastRenderedPageBreak/>
        <w:t>Market value risk is the risk that the fair value or future cash flows of a financial institution will fluctuate because of changes in market price. The Scheme is exposed to the risk of financial loss from a change in the value of its investments. This may result in the Scheme’s assets failing to deliver the returns required to match the underlying liabilities of the Scheme over the longer term. To mitigate against market value risk, the Scheme has set restrictions on the type of investment it can hold. Mitigation against market risk is also achieved by diversifying across multiple investment managers and regularly reviewing the Investment Strategy and performance of the Scheme.</w:t>
      </w:r>
    </w:p>
    <w:p w14:paraId="432F3368" w14:textId="77777777" w:rsidR="001A43D8" w:rsidRPr="009261F0" w:rsidRDefault="001A43D8" w:rsidP="0070459C">
      <w:pPr>
        <w:autoSpaceDE w:val="0"/>
        <w:autoSpaceDN w:val="0"/>
        <w:rPr>
          <w:rFonts w:cs="Arial"/>
          <w:color w:val="000000"/>
          <w:lang w:eastAsia="en-GB"/>
        </w:rPr>
      </w:pPr>
    </w:p>
    <w:p w14:paraId="485A4771" w14:textId="77777777" w:rsidR="007F01E5" w:rsidRPr="009261F0" w:rsidRDefault="007F01E5" w:rsidP="0070459C">
      <w:pPr>
        <w:numPr>
          <w:ilvl w:val="0"/>
          <w:numId w:val="10"/>
        </w:numPr>
        <w:autoSpaceDE w:val="0"/>
        <w:autoSpaceDN w:val="0"/>
        <w:ind w:left="0" w:firstLine="0"/>
        <w:rPr>
          <w:rFonts w:cs="Arial"/>
          <w:color w:val="000000"/>
          <w:lang w:eastAsia="en-GB"/>
        </w:rPr>
      </w:pPr>
      <w:r w:rsidRPr="009261F0">
        <w:rPr>
          <w:rFonts w:cs="Arial"/>
          <w:color w:val="000000"/>
          <w:lang w:eastAsia="en-GB"/>
        </w:rPr>
        <w:t>Interest Rate Risk</w:t>
      </w:r>
    </w:p>
    <w:p w14:paraId="485A4772" w14:textId="77777777" w:rsidR="007F01E5" w:rsidRPr="009261F0" w:rsidRDefault="007F01E5" w:rsidP="0070459C">
      <w:pPr>
        <w:autoSpaceDE w:val="0"/>
        <w:autoSpaceDN w:val="0"/>
        <w:rPr>
          <w:rFonts w:cs="Arial"/>
          <w:color w:val="000000"/>
          <w:lang w:eastAsia="en-GB"/>
        </w:rPr>
      </w:pPr>
    </w:p>
    <w:p w14:paraId="485A4773" w14:textId="77777777" w:rsidR="007F01E5" w:rsidRPr="009261F0" w:rsidRDefault="007F01E5" w:rsidP="0070459C">
      <w:pPr>
        <w:autoSpaceDE w:val="0"/>
        <w:autoSpaceDN w:val="0"/>
        <w:rPr>
          <w:rFonts w:cs="Arial"/>
          <w:color w:val="000000"/>
          <w:lang w:eastAsia="en-GB"/>
        </w:rPr>
      </w:pPr>
      <w:r w:rsidRPr="009261F0">
        <w:rPr>
          <w:rFonts w:cs="Arial"/>
          <w:color w:val="000000"/>
          <w:lang w:eastAsia="en-GB"/>
        </w:rPr>
        <w:t>The Scheme invests in financial assets for the primary purpose of obtaining a return on investments. These investments are subject to interest rate risks, which represent the risks that the fair value of future cash flow of a financial instrument will fluctuate because of changes in market interest rates.</w:t>
      </w:r>
    </w:p>
    <w:p w14:paraId="485A4774" w14:textId="77777777" w:rsidR="007F01E5" w:rsidRPr="009261F0" w:rsidRDefault="007F01E5" w:rsidP="0070459C">
      <w:pPr>
        <w:autoSpaceDE w:val="0"/>
        <w:autoSpaceDN w:val="0"/>
        <w:rPr>
          <w:rFonts w:cs="Arial"/>
          <w:color w:val="000000"/>
          <w:lang w:eastAsia="en-GB"/>
        </w:rPr>
      </w:pPr>
    </w:p>
    <w:p w14:paraId="485A4775" w14:textId="77777777" w:rsidR="007F01E5" w:rsidRPr="009261F0" w:rsidRDefault="007F01E5" w:rsidP="0070459C">
      <w:pPr>
        <w:numPr>
          <w:ilvl w:val="0"/>
          <w:numId w:val="10"/>
        </w:numPr>
        <w:autoSpaceDE w:val="0"/>
        <w:autoSpaceDN w:val="0"/>
        <w:ind w:left="0" w:firstLine="0"/>
        <w:rPr>
          <w:rFonts w:cs="Arial"/>
          <w:color w:val="000000"/>
          <w:lang w:eastAsia="en-GB"/>
        </w:rPr>
      </w:pPr>
      <w:r w:rsidRPr="009261F0">
        <w:rPr>
          <w:rFonts w:cs="Arial"/>
          <w:color w:val="000000"/>
          <w:lang w:eastAsia="en-GB"/>
        </w:rPr>
        <w:t>Foreign Exchange Risk</w:t>
      </w:r>
    </w:p>
    <w:p w14:paraId="485A4776" w14:textId="77777777" w:rsidR="007F01E5" w:rsidRPr="009261F0" w:rsidRDefault="007F01E5" w:rsidP="0070459C">
      <w:pPr>
        <w:autoSpaceDE w:val="0"/>
        <w:autoSpaceDN w:val="0"/>
        <w:rPr>
          <w:rFonts w:cs="Arial"/>
          <w:color w:val="000000"/>
          <w:lang w:eastAsia="en-GB"/>
        </w:rPr>
      </w:pPr>
    </w:p>
    <w:p w14:paraId="485A4777" w14:textId="1EEC0B09" w:rsidR="007F01E5" w:rsidRPr="009261F0" w:rsidRDefault="007F01E5" w:rsidP="0070459C">
      <w:pPr>
        <w:autoSpaceDE w:val="0"/>
        <w:autoSpaceDN w:val="0"/>
        <w:rPr>
          <w:rFonts w:cs="Arial"/>
          <w:color w:val="000000"/>
          <w:lang w:eastAsia="en-GB"/>
        </w:rPr>
      </w:pPr>
      <w:r w:rsidRPr="009261F0">
        <w:rPr>
          <w:rFonts w:cs="Arial"/>
          <w:color w:val="000000"/>
          <w:lang w:eastAsia="en-GB"/>
        </w:rPr>
        <w:t xml:space="preserve">The Scheme holds a number of financial assets and liabilities in overseas financial markets and is therefore exposed to the risk of loss arising from exchange rate movements of foreign currencies. To reduce the volatility from foreign currency exposure, the Cumbria Scheme has approximately </w:t>
      </w:r>
      <w:r w:rsidR="00456191" w:rsidRPr="009261F0">
        <w:rPr>
          <w:rFonts w:cs="Arial"/>
          <w:color w:val="000000"/>
          <w:lang w:eastAsia="en-GB"/>
        </w:rPr>
        <w:t>30</w:t>
      </w:r>
      <w:r w:rsidRPr="009261F0">
        <w:rPr>
          <w:rFonts w:cs="Arial"/>
          <w:color w:val="000000"/>
          <w:lang w:eastAsia="en-GB"/>
        </w:rPr>
        <w:t>% of investments denominated in overseas currencies hedged into sterling in accordance with the passive currency overlay program.</w:t>
      </w:r>
    </w:p>
    <w:p w14:paraId="0C542B93" w14:textId="77777777" w:rsidR="00EF6C9E" w:rsidRPr="009261F0" w:rsidRDefault="00EF6C9E" w:rsidP="0070459C">
      <w:pPr>
        <w:autoSpaceDE w:val="0"/>
        <w:autoSpaceDN w:val="0"/>
        <w:rPr>
          <w:rFonts w:cs="Arial"/>
          <w:color w:val="000000"/>
          <w:lang w:eastAsia="en-GB"/>
        </w:rPr>
      </w:pPr>
    </w:p>
    <w:p w14:paraId="485A4779" w14:textId="77777777" w:rsidR="007F01E5" w:rsidRPr="009261F0" w:rsidRDefault="007F01E5" w:rsidP="0070459C">
      <w:pPr>
        <w:numPr>
          <w:ilvl w:val="0"/>
          <w:numId w:val="10"/>
        </w:numPr>
        <w:autoSpaceDE w:val="0"/>
        <w:autoSpaceDN w:val="0"/>
        <w:ind w:left="0" w:firstLine="0"/>
        <w:rPr>
          <w:rFonts w:cs="Arial"/>
          <w:color w:val="000000"/>
          <w:lang w:eastAsia="en-GB"/>
        </w:rPr>
      </w:pPr>
      <w:r w:rsidRPr="009261F0">
        <w:rPr>
          <w:rFonts w:cs="Arial"/>
          <w:color w:val="000000"/>
          <w:lang w:eastAsia="en-GB"/>
        </w:rPr>
        <w:t>Credit / Counterparty Risk</w:t>
      </w:r>
    </w:p>
    <w:p w14:paraId="485A477A" w14:textId="77777777" w:rsidR="007F01E5" w:rsidRPr="009261F0" w:rsidRDefault="007F01E5" w:rsidP="0070459C">
      <w:pPr>
        <w:autoSpaceDE w:val="0"/>
        <w:autoSpaceDN w:val="0"/>
        <w:rPr>
          <w:rFonts w:cs="Arial"/>
          <w:color w:val="000000"/>
          <w:lang w:eastAsia="en-GB"/>
        </w:rPr>
      </w:pPr>
    </w:p>
    <w:p w14:paraId="485A477B" w14:textId="77777777" w:rsidR="007F01E5" w:rsidRPr="009261F0" w:rsidRDefault="007F01E5" w:rsidP="0070459C">
      <w:pPr>
        <w:autoSpaceDE w:val="0"/>
        <w:autoSpaceDN w:val="0"/>
        <w:rPr>
          <w:rFonts w:cs="Arial"/>
          <w:color w:val="000000"/>
          <w:lang w:eastAsia="en-GB"/>
        </w:rPr>
      </w:pPr>
      <w:r w:rsidRPr="009261F0">
        <w:rPr>
          <w:rFonts w:cs="Arial"/>
          <w:color w:val="000000"/>
          <w:lang w:eastAsia="en-GB"/>
        </w:rPr>
        <w:t>Credit risk is the risk that a counterparty to a transaction or a financial instrument will fail to discharge an obligation or commitment that it has entered into and cause the Scheme to incur financial loss. The selection of high quality counterparties, brokers and financial institutions minimises credit risk that may occur through the failure to settle a transaction in a timely manner. Through review of the Scheme’s external Investment Managers annual internal control reports the Scheme monitors its exposure to credit and counterparty risk.</w:t>
      </w:r>
    </w:p>
    <w:p w14:paraId="485A477C" w14:textId="77777777" w:rsidR="007F01E5" w:rsidRPr="009261F0" w:rsidRDefault="007F01E5" w:rsidP="0070459C">
      <w:pPr>
        <w:autoSpaceDE w:val="0"/>
        <w:autoSpaceDN w:val="0"/>
        <w:rPr>
          <w:rFonts w:cs="Arial"/>
          <w:color w:val="000000"/>
          <w:lang w:eastAsia="en-GB"/>
        </w:rPr>
      </w:pPr>
    </w:p>
    <w:p w14:paraId="485A477D" w14:textId="77777777" w:rsidR="007F01E5" w:rsidRPr="009261F0" w:rsidRDefault="007F01E5" w:rsidP="0070459C">
      <w:pPr>
        <w:numPr>
          <w:ilvl w:val="0"/>
          <w:numId w:val="10"/>
        </w:numPr>
        <w:autoSpaceDE w:val="0"/>
        <w:autoSpaceDN w:val="0"/>
        <w:ind w:left="0" w:firstLine="0"/>
        <w:rPr>
          <w:rFonts w:cs="Arial"/>
          <w:color w:val="000000"/>
          <w:lang w:eastAsia="en-GB"/>
        </w:rPr>
      </w:pPr>
      <w:r w:rsidRPr="009261F0">
        <w:rPr>
          <w:rFonts w:cs="Arial"/>
          <w:color w:val="000000"/>
          <w:lang w:eastAsia="en-GB"/>
        </w:rPr>
        <w:t>Liquidity Risks</w:t>
      </w:r>
    </w:p>
    <w:p w14:paraId="485A477E" w14:textId="77777777" w:rsidR="007F01E5" w:rsidRPr="009261F0" w:rsidRDefault="007F01E5" w:rsidP="0070459C">
      <w:pPr>
        <w:autoSpaceDE w:val="0"/>
        <w:autoSpaceDN w:val="0"/>
        <w:rPr>
          <w:rFonts w:cs="Arial"/>
          <w:color w:val="000000"/>
          <w:lang w:eastAsia="en-GB"/>
        </w:rPr>
      </w:pPr>
    </w:p>
    <w:p w14:paraId="485A477F" w14:textId="77777777" w:rsidR="007F01E5" w:rsidRPr="009261F0" w:rsidRDefault="007F01E5" w:rsidP="0070459C">
      <w:pPr>
        <w:autoSpaceDE w:val="0"/>
        <w:autoSpaceDN w:val="0"/>
        <w:rPr>
          <w:rFonts w:cs="Arial"/>
          <w:color w:val="000000"/>
          <w:lang w:eastAsia="en-GB"/>
        </w:rPr>
      </w:pPr>
      <w:r w:rsidRPr="009261F0">
        <w:rPr>
          <w:rFonts w:cs="Arial"/>
          <w:color w:val="000000"/>
          <w:lang w:eastAsia="en-GB"/>
        </w:rPr>
        <w:t>Liquidity risk represents the risk that the Scheme will not be able to meet its financial obligations as they fall due. The Administering Authority, with the Actuary, frequently reviews the overall cash flow position of the Scheme to ensure its obligations can be covered. The Scheme holds a large value of very liquid securities which could be promptly realised if required.</w:t>
      </w:r>
    </w:p>
    <w:p w14:paraId="485A4780" w14:textId="77777777" w:rsidR="007F01E5" w:rsidRPr="009261F0" w:rsidRDefault="007F01E5" w:rsidP="0070459C">
      <w:pPr>
        <w:autoSpaceDE w:val="0"/>
        <w:autoSpaceDN w:val="0"/>
        <w:rPr>
          <w:rFonts w:cs="Arial"/>
          <w:color w:val="000000"/>
          <w:lang w:eastAsia="en-GB"/>
        </w:rPr>
      </w:pPr>
    </w:p>
    <w:p w14:paraId="485A4781" w14:textId="77777777" w:rsidR="007F01E5" w:rsidRPr="009261F0" w:rsidRDefault="007F01E5" w:rsidP="0070459C">
      <w:pPr>
        <w:numPr>
          <w:ilvl w:val="0"/>
          <w:numId w:val="10"/>
        </w:numPr>
        <w:autoSpaceDE w:val="0"/>
        <w:autoSpaceDN w:val="0"/>
        <w:ind w:left="0" w:firstLine="0"/>
        <w:rPr>
          <w:rFonts w:cs="Arial"/>
          <w:color w:val="000000"/>
          <w:lang w:eastAsia="en-GB"/>
        </w:rPr>
      </w:pPr>
      <w:r w:rsidRPr="009261F0">
        <w:rPr>
          <w:rFonts w:cs="Arial"/>
          <w:color w:val="000000"/>
          <w:lang w:eastAsia="en-GB"/>
        </w:rPr>
        <w:t>Other Risks</w:t>
      </w:r>
    </w:p>
    <w:p w14:paraId="485A4782" w14:textId="77777777" w:rsidR="007F01E5" w:rsidRPr="009261F0" w:rsidRDefault="007F01E5" w:rsidP="0070459C">
      <w:pPr>
        <w:autoSpaceDE w:val="0"/>
        <w:autoSpaceDN w:val="0"/>
        <w:rPr>
          <w:rFonts w:cs="Arial"/>
          <w:color w:val="000000"/>
          <w:lang w:eastAsia="en-GB"/>
        </w:rPr>
      </w:pPr>
    </w:p>
    <w:p w14:paraId="485A4783" w14:textId="77777777" w:rsidR="007F01E5" w:rsidRPr="009261F0" w:rsidRDefault="007F01E5" w:rsidP="0070459C">
      <w:pPr>
        <w:autoSpaceDE w:val="0"/>
        <w:autoSpaceDN w:val="0"/>
        <w:rPr>
          <w:rFonts w:cs="Arial"/>
          <w:color w:val="000000"/>
          <w:lang w:eastAsia="en-GB"/>
        </w:rPr>
      </w:pPr>
      <w:r w:rsidRPr="009261F0">
        <w:rPr>
          <w:rFonts w:cs="Arial"/>
          <w:color w:val="000000"/>
          <w:lang w:eastAsia="en-GB"/>
        </w:rPr>
        <w:t>Actions taken by the Government, or changes to European legislation, could result in stronger local funding standards, which could materially affect the authority’s cash flow.</w:t>
      </w:r>
    </w:p>
    <w:p w14:paraId="485A4784" w14:textId="77777777" w:rsidR="007F01E5" w:rsidRPr="009261F0" w:rsidRDefault="007F01E5" w:rsidP="0070459C">
      <w:pPr>
        <w:autoSpaceDE w:val="0"/>
        <w:autoSpaceDN w:val="0"/>
        <w:rPr>
          <w:rFonts w:cs="Arial"/>
          <w:color w:val="000000"/>
          <w:lang w:eastAsia="en-GB"/>
        </w:rPr>
      </w:pPr>
    </w:p>
    <w:p w14:paraId="485A4785" w14:textId="77C576F9" w:rsidR="007F01E5" w:rsidRPr="009261F0" w:rsidRDefault="007F01E5" w:rsidP="0070459C">
      <w:pPr>
        <w:autoSpaceDE w:val="0"/>
        <w:autoSpaceDN w:val="0"/>
        <w:rPr>
          <w:rFonts w:cs="Arial"/>
          <w:color w:val="000000"/>
          <w:lang w:eastAsia="en-GB"/>
        </w:rPr>
      </w:pPr>
      <w:r w:rsidRPr="009261F0">
        <w:rPr>
          <w:rFonts w:cs="Arial"/>
          <w:color w:val="000000"/>
          <w:lang w:eastAsia="en-GB"/>
        </w:rPr>
        <w:t>There is a risk that changes in the assumptions (e.g. life expectancy, price inflation, discount rate) could increase the defined benefit obligation and/or the liabilities for actuarial valuation purposes.</w:t>
      </w:r>
      <w:r w:rsidR="00B7455A" w:rsidRPr="009261F0">
        <w:rPr>
          <w:rFonts w:cs="Arial"/>
          <w:color w:val="000000"/>
          <w:lang w:eastAsia="en-GB"/>
        </w:rPr>
        <w:t xml:space="preserve">  </w:t>
      </w:r>
      <w:r w:rsidRPr="009261F0">
        <w:rPr>
          <w:rFonts w:cs="Arial"/>
          <w:color w:val="000000"/>
          <w:lang w:eastAsia="en-GB"/>
        </w:rPr>
        <w:t>Other assumptions used to value the defined benefit obligation are also uncertain, although their effect is less material</w:t>
      </w:r>
      <w:r w:rsidR="009261F0">
        <w:rPr>
          <w:rFonts w:cs="Arial"/>
          <w:color w:val="000000"/>
          <w:lang w:eastAsia="en-GB"/>
        </w:rPr>
        <w:t>.</w:t>
      </w:r>
    </w:p>
    <w:p w14:paraId="485A4786" w14:textId="77777777" w:rsidR="007F01E5" w:rsidRPr="004D5CA8" w:rsidRDefault="007F01E5" w:rsidP="0070459C">
      <w:pPr>
        <w:rPr>
          <w:highlight w:val="yellow"/>
        </w:rPr>
      </w:pPr>
    </w:p>
    <w:p w14:paraId="485A4788" w14:textId="77777777" w:rsidR="007F01E5" w:rsidRPr="00DC79F2" w:rsidRDefault="007F01E5" w:rsidP="0070459C">
      <w:pPr>
        <w:rPr>
          <w:b/>
          <w:bCs/>
        </w:rPr>
      </w:pPr>
      <w:r w:rsidRPr="00DC79F2">
        <w:rPr>
          <w:b/>
          <w:bCs/>
        </w:rPr>
        <w:t>Local Government Pension Scheme assets comprised:</w:t>
      </w:r>
    </w:p>
    <w:p w14:paraId="485A4789" w14:textId="77777777" w:rsidR="007F01E5" w:rsidRPr="00DC79F2" w:rsidRDefault="007F01E5" w:rsidP="0070459C">
      <w:pPr>
        <w:rPr>
          <w:bCs/>
        </w:rPr>
      </w:pPr>
    </w:p>
    <w:p w14:paraId="485A478A" w14:textId="53269CBC" w:rsidR="007F01E5" w:rsidRDefault="007F01E5" w:rsidP="0070459C">
      <w:pPr>
        <w:rPr>
          <w:bCs/>
        </w:rPr>
      </w:pPr>
      <w:r w:rsidRPr="00DC79F2">
        <w:rPr>
          <w:bCs/>
        </w:rPr>
        <w:t xml:space="preserve">Assets in the pension fund are valued at realisable value which is principally market value for investments. As the type of asset will determine the risk associated with that asset, details of </w:t>
      </w:r>
      <w:r w:rsidRPr="00DC79F2">
        <w:rPr>
          <w:bCs/>
        </w:rPr>
        <w:lastRenderedPageBreak/>
        <w:t>the categories of fund asset are shown below.</w:t>
      </w:r>
      <w:r w:rsidR="003550ED">
        <w:rPr>
          <w:bCs/>
        </w:rPr>
        <w:t xml:space="preserve"> The total assets of £6</w:t>
      </w:r>
      <w:r w:rsidR="00DD07D6">
        <w:rPr>
          <w:bCs/>
        </w:rPr>
        <w:t>7</w:t>
      </w:r>
      <w:r w:rsidR="003550ED">
        <w:rPr>
          <w:bCs/>
        </w:rPr>
        <w:t>m set out below have been capped for accounting purposes by £</w:t>
      </w:r>
      <w:r w:rsidR="00DD07D6">
        <w:rPr>
          <w:bCs/>
        </w:rPr>
        <w:t>9</w:t>
      </w:r>
      <w:r w:rsidR="003550ED">
        <w:rPr>
          <w:bCs/>
        </w:rPr>
        <w:t>m to reconcile the net position of liabilities and assets back to the £8</w:t>
      </w:r>
      <w:r w:rsidR="00DD07D6">
        <w:rPr>
          <w:bCs/>
        </w:rPr>
        <w:t>09</w:t>
      </w:r>
      <w:r w:rsidR="003550ED">
        <w:rPr>
          <w:bCs/>
        </w:rPr>
        <w:t>k liability per the balance sheet.</w:t>
      </w:r>
    </w:p>
    <w:p w14:paraId="75956690" w14:textId="77777777" w:rsidR="00DF7226" w:rsidRDefault="00DF7226" w:rsidP="0070459C">
      <w:pPr>
        <w:rPr>
          <w:bCs/>
        </w:rPr>
      </w:pPr>
    </w:p>
    <w:p w14:paraId="485A478D" w14:textId="6774A18C" w:rsidR="00BC1E55" w:rsidRDefault="00DD07D6" w:rsidP="00162C02">
      <w:pPr>
        <w:jc w:val="center"/>
        <w:rPr>
          <w:b/>
          <w:bCs/>
        </w:rPr>
      </w:pPr>
      <w:r w:rsidRPr="00DD07D6">
        <w:rPr>
          <w:noProof/>
        </w:rPr>
        <w:drawing>
          <wp:inline distT="0" distB="0" distL="0" distR="0" wp14:anchorId="05AB62DD" wp14:editId="674CA590">
            <wp:extent cx="3734971" cy="3416199"/>
            <wp:effectExtent l="0" t="0" r="0" b="0"/>
            <wp:docPr id="8823328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88288" cy="3464966"/>
                    </a:xfrm>
                    <a:prstGeom prst="rect">
                      <a:avLst/>
                    </a:prstGeom>
                    <a:noFill/>
                    <a:ln>
                      <a:noFill/>
                    </a:ln>
                  </pic:spPr>
                </pic:pic>
              </a:graphicData>
            </a:graphic>
          </wp:inline>
        </w:drawing>
      </w:r>
    </w:p>
    <w:p w14:paraId="485A478F" w14:textId="6A8B2C15" w:rsidR="007F01E5" w:rsidRPr="00DC79F2" w:rsidRDefault="00BC1E55" w:rsidP="0070459C">
      <w:pPr>
        <w:rPr>
          <w:b/>
          <w:bCs/>
        </w:rPr>
      </w:pPr>
      <w:r w:rsidRPr="00DC79F2">
        <w:rPr>
          <w:b/>
          <w:bCs/>
        </w:rPr>
        <w:t>B</w:t>
      </w:r>
      <w:r w:rsidR="007F01E5" w:rsidRPr="00DC79F2">
        <w:rPr>
          <w:b/>
          <w:bCs/>
        </w:rPr>
        <w:t>asis for Estimating Assets and Liabilities</w:t>
      </w:r>
    </w:p>
    <w:p w14:paraId="485A4790" w14:textId="77777777" w:rsidR="007F01E5" w:rsidRPr="00470B28" w:rsidRDefault="007F01E5" w:rsidP="0070459C">
      <w:pPr>
        <w:rPr>
          <w:bCs/>
        </w:rPr>
      </w:pPr>
    </w:p>
    <w:p w14:paraId="485A4791" w14:textId="29B9B3ED" w:rsidR="007F01E5" w:rsidRDefault="00470B28" w:rsidP="0070459C">
      <w:pPr>
        <w:rPr>
          <w:bCs/>
        </w:rPr>
      </w:pPr>
      <w:r w:rsidRPr="00470B28">
        <w:rPr>
          <w:b/>
        </w:rPr>
        <w:t>Assets</w:t>
      </w:r>
      <w:r w:rsidR="007F01E5" w:rsidRPr="00470B28">
        <w:rPr>
          <w:bCs/>
        </w:rPr>
        <w:t xml:space="preserve"> have been assessed on an actuarial basis using the projected unit credit method, an estimate of the pensions that will be payable in future years dependent on assumptions about mortality rates, salary levels etc. The Local Government Pension Scheme and discretionary benefit liabilities have been estimated by Mercer Limited, an independent firm of actuaries, with estimates for the Cumbria County Council Fund being based on the latest full valuation at 31 March 20</w:t>
      </w:r>
      <w:r w:rsidRPr="00470B28">
        <w:rPr>
          <w:bCs/>
        </w:rPr>
        <w:t>22</w:t>
      </w:r>
      <w:r w:rsidR="007F01E5" w:rsidRPr="00470B28">
        <w:rPr>
          <w:bCs/>
        </w:rPr>
        <w:t>.The significant assumptions used by the actuary have been:</w:t>
      </w:r>
    </w:p>
    <w:p w14:paraId="039D8D41" w14:textId="77777777" w:rsidR="002A6617" w:rsidRPr="00470B28" w:rsidRDefault="002A6617" w:rsidP="0070459C">
      <w:pPr>
        <w:rPr>
          <w:bCs/>
        </w:rPr>
      </w:pPr>
    </w:p>
    <w:p w14:paraId="485A4792" w14:textId="53F33553" w:rsidR="007F01E5" w:rsidRPr="00470B28" w:rsidRDefault="00DD07D6" w:rsidP="00DD07D6">
      <w:pPr>
        <w:ind w:left="993"/>
        <w:rPr>
          <w:bCs/>
        </w:rPr>
      </w:pPr>
      <w:r w:rsidRPr="00DD07D6">
        <w:rPr>
          <w:noProof/>
        </w:rPr>
        <w:drawing>
          <wp:inline distT="0" distB="0" distL="0" distR="0" wp14:anchorId="1ECDAD85" wp14:editId="45D33DB5">
            <wp:extent cx="4580890" cy="3243580"/>
            <wp:effectExtent l="0" t="0" r="0" b="0"/>
            <wp:docPr id="14769735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0890" cy="3243580"/>
                    </a:xfrm>
                    <a:prstGeom prst="rect">
                      <a:avLst/>
                    </a:prstGeom>
                    <a:noFill/>
                    <a:ln>
                      <a:noFill/>
                    </a:ln>
                  </pic:spPr>
                </pic:pic>
              </a:graphicData>
            </a:graphic>
          </wp:inline>
        </w:drawing>
      </w:r>
    </w:p>
    <w:p w14:paraId="485A4794" w14:textId="0B57C253" w:rsidR="007F01E5" w:rsidRPr="00470B28" w:rsidRDefault="007F01E5" w:rsidP="0070459C">
      <w:pPr>
        <w:jc w:val="center"/>
        <w:rPr>
          <w:bCs/>
        </w:rPr>
      </w:pPr>
    </w:p>
    <w:p w14:paraId="485A4795" w14:textId="534A4C3F" w:rsidR="007F01E5" w:rsidRDefault="007F01E5" w:rsidP="0070459C">
      <w:pPr>
        <w:rPr>
          <w:bCs/>
        </w:rPr>
      </w:pPr>
      <w:r w:rsidRPr="00470B28">
        <w:rPr>
          <w:bCs/>
        </w:rPr>
        <w:lastRenderedPageBreak/>
        <w:t xml:space="preserve">The estimation of the defined benefit obligations is sensitive to the actuarial assumptions set out in the table above. The sensitivity analysis below has been determined based on reasonably possible changes of the assumptions occurring at the end of the reporting period and assumes for each change that the assumption analysed changes while the other assumptions remain constant. The assumptions in longevity, for example, assume that life expectancy </w:t>
      </w:r>
      <w:r w:rsidR="00D84A3A" w:rsidRPr="00470B28">
        <w:rPr>
          <w:bCs/>
        </w:rPr>
        <w:t>increases</w:t>
      </w:r>
      <w:r w:rsidRPr="00470B28">
        <w:rPr>
          <w:bCs/>
        </w:rPr>
        <w:t xml:space="preserve"> or decreases for men and women. In practice, this is unlikely to occur, and changes in some of the assumptions may be interrelated. The estimations in the sensitivity analysis have followed the accounting policies for the scheme, i.e. on an actuarial basis using the projected unit credit method. The methods and types of assumptions used in preparing the sensitivity analysis below did not change from those used in the previous period</w:t>
      </w:r>
      <w:r w:rsidR="00B7455A" w:rsidRPr="00470B28">
        <w:rPr>
          <w:bCs/>
        </w:rPr>
        <w:t>.</w:t>
      </w:r>
    </w:p>
    <w:p w14:paraId="74405C57" w14:textId="77777777" w:rsidR="00DD07D6" w:rsidRPr="00470B28" w:rsidRDefault="00DD07D6" w:rsidP="0070459C">
      <w:pPr>
        <w:rPr>
          <w:bCs/>
        </w:rPr>
      </w:pPr>
    </w:p>
    <w:p w14:paraId="4B87142B" w14:textId="0196627E" w:rsidR="001300BF" w:rsidRPr="00034ADD" w:rsidRDefault="00DD07D6" w:rsidP="0070459C">
      <w:pPr>
        <w:rPr>
          <w:bCs/>
        </w:rPr>
      </w:pPr>
      <w:r w:rsidRPr="00DD07D6">
        <w:rPr>
          <w:noProof/>
        </w:rPr>
        <w:drawing>
          <wp:inline distT="0" distB="0" distL="0" distR="0" wp14:anchorId="6DD3ABC7" wp14:editId="331438AA">
            <wp:extent cx="6120765" cy="1883410"/>
            <wp:effectExtent l="0" t="0" r="0" b="2540"/>
            <wp:docPr id="20301927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883410"/>
                    </a:xfrm>
                    <a:prstGeom prst="rect">
                      <a:avLst/>
                    </a:prstGeom>
                    <a:noFill/>
                    <a:ln>
                      <a:noFill/>
                    </a:ln>
                  </pic:spPr>
                </pic:pic>
              </a:graphicData>
            </a:graphic>
          </wp:inline>
        </w:drawing>
      </w:r>
    </w:p>
    <w:p w14:paraId="6DA1D47B" w14:textId="7B239230" w:rsidR="001300BF" w:rsidRPr="00034ADD" w:rsidRDefault="001300BF" w:rsidP="00DD07D6">
      <w:pPr>
        <w:ind w:left="284"/>
        <w:rPr>
          <w:bCs/>
        </w:rPr>
      </w:pPr>
    </w:p>
    <w:p w14:paraId="460DFC30" w14:textId="77777777" w:rsidR="00EF6C9E" w:rsidRDefault="00EF6C9E" w:rsidP="0070459C">
      <w:pPr>
        <w:rPr>
          <w:bCs/>
        </w:rPr>
      </w:pPr>
    </w:p>
    <w:p w14:paraId="24174B84" w14:textId="77777777" w:rsidR="002A6617" w:rsidRDefault="002A6617" w:rsidP="0070459C">
      <w:pPr>
        <w:rPr>
          <w:bCs/>
        </w:rPr>
      </w:pPr>
    </w:p>
    <w:p w14:paraId="4B63BF9E" w14:textId="77777777" w:rsidR="002A6617" w:rsidRPr="00282755" w:rsidRDefault="002A6617" w:rsidP="0070459C">
      <w:pPr>
        <w:rPr>
          <w:bCs/>
        </w:rPr>
      </w:pPr>
    </w:p>
    <w:p w14:paraId="485A4799" w14:textId="5FC55D20" w:rsidR="007F01E5" w:rsidRPr="00282755" w:rsidRDefault="001300BF" w:rsidP="0070459C">
      <w:pPr>
        <w:pStyle w:val="Subtitle"/>
        <w:numPr>
          <w:ilvl w:val="0"/>
          <w:numId w:val="0"/>
        </w:numPr>
        <w:tabs>
          <w:tab w:val="left" w:pos="-709"/>
          <w:tab w:val="left" w:pos="-284"/>
          <w:tab w:val="left" w:pos="-142"/>
          <w:tab w:val="left" w:pos="0"/>
          <w:tab w:val="left" w:pos="567"/>
        </w:tabs>
        <w:spacing w:line="240" w:lineRule="atLeast"/>
        <w:ind w:right="680"/>
        <w:rPr>
          <w:rFonts w:ascii="Arial" w:eastAsia="Times New Roman" w:hAnsi="Arial"/>
          <w:b/>
          <w:i w:val="0"/>
          <w:iCs w:val="0"/>
          <w:spacing w:val="0"/>
          <w:sz w:val="23"/>
          <w:szCs w:val="23"/>
          <w:u w:val="none"/>
          <w:lang w:eastAsia="en-US"/>
        </w:rPr>
      </w:pPr>
      <w:r w:rsidRPr="00282755">
        <w:rPr>
          <w:rFonts w:ascii="Arial" w:eastAsia="Times New Roman" w:hAnsi="Arial"/>
          <w:b/>
          <w:i w:val="0"/>
          <w:iCs w:val="0"/>
          <w:spacing w:val="0"/>
          <w:sz w:val="23"/>
          <w:szCs w:val="23"/>
          <w:u w:val="none"/>
          <w:lang w:eastAsia="en-US"/>
        </w:rPr>
        <w:t xml:space="preserve">        </w:t>
      </w:r>
      <w:r w:rsidR="007F01E5" w:rsidRPr="00282755">
        <w:rPr>
          <w:rFonts w:ascii="Arial" w:eastAsia="Times New Roman" w:hAnsi="Arial"/>
          <w:b/>
          <w:i w:val="0"/>
          <w:iCs w:val="0"/>
          <w:spacing w:val="0"/>
          <w:sz w:val="23"/>
          <w:szCs w:val="23"/>
          <w:u w:val="none"/>
          <w:lang w:eastAsia="en-US"/>
        </w:rPr>
        <w:t>Asset and Liability Matching Strategy</w:t>
      </w:r>
    </w:p>
    <w:p w14:paraId="485A479A" w14:textId="77777777" w:rsidR="007F01E5" w:rsidRPr="00282755" w:rsidRDefault="007F01E5" w:rsidP="0070459C">
      <w:pPr>
        <w:pStyle w:val="Subtitle"/>
        <w:numPr>
          <w:ilvl w:val="0"/>
          <w:numId w:val="0"/>
        </w:numPr>
        <w:tabs>
          <w:tab w:val="left" w:pos="-709"/>
          <w:tab w:val="left" w:pos="-284"/>
          <w:tab w:val="left" w:pos="-142"/>
          <w:tab w:val="left" w:pos="0"/>
          <w:tab w:val="left" w:pos="720"/>
        </w:tabs>
        <w:spacing w:line="240" w:lineRule="atLeast"/>
        <w:ind w:right="680"/>
        <w:rPr>
          <w:rFonts w:ascii="Arial" w:eastAsia="Times New Roman" w:hAnsi="Arial"/>
          <w:i w:val="0"/>
          <w:iCs w:val="0"/>
          <w:spacing w:val="0"/>
          <w:sz w:val="23"/>
          <w:szCs w:val="23"/>
          <w:u w:val="none"/>
          <w:lang w:eastAsia="en-US"/>
        </w:rPr>
      </w:pPr>
    </w:p>
    <w:p w14:paraId="485A479B" w14:textId="60EE8F87" w:rsidR="007F01E5" w:rsidRDefault="007F01E5" w:rsidP="0070459C">
      <w:r w:rsidRPr="00282755">
        <w:t>Cumbria Local Government Pension Scheme does not have an asset and liability matching strategy. However, Local Government Pension S</w:t>
      </w:r>
      <w:r w:rsidR="00A672EA" w:rsidRPr="00282755">
        <w:t>c</w:t>
      </w:r>
      <w:r w:rsidRPr="00282755">
        <w:t xml:space="preserve">hemes have a long term liability profile, and their investment strategy must be undertaken with a view to matching this. The Scheme’s Investment Strategy is to hold assets across a range of products and managers in order to diversify risk. </w:t>
      </w:r>
    </w:p>
    <w:p w14:paraId="74BF4D27" w14:textId="77777777" w:rsidR="002922E7" w:rsidRPr="00D539E4" w:rsidRDefault="002922E7" w:rsidP="0070459C"/>
    <w:p w14:paraId="485A479C" w14:textId="21908752" w:rsidR="007F01E5" w:rsidRPr="00D539E4" w:rsidRDefault="007F01E5" w:rsidP="0070459C">
      <w:pPr>
        <w:pStyle w:val="Subtitle"/>
        <w:numPr>
          <w:ilvl w:val="0"/>
          <w:numId w:val="0"/>
        </w:numPr>
        <w:tabs>
          <w:tab w:val="left" w:pos="-709"/>
          <w:tab w:val="left" w:pos="-284"/>
          <w:tab w:val="left" w:pos="-142"/>
          <w:tab w:val="left" w:pos="0"/>
          <w:tab w:val="left" w:pos="720"/>
        </w:tabs>
        <w:spacing w:line="240" w:lineRule="atLeast"/>
        <w:ind w:right="680"/>
        <w:rPr>
          <w:rFonts w:ascii="Arial" w:eastAsia="Times New Roman" w:hAnsi="Arial"/>
          <w:i w:val="0"/>
          <w:iCs w:val="0"/>
          <w:spacing w:val="0"/>
          <w:sz w:val="23"/>
          <w:szCs w:val="23"/>
          <w:u w:val="none"/>
        </w:rPr>
      </w:pPr>
      <w:r w:rsidRPr="00D539E4">
        <w:rPr>
          <w:rFonts w:ascii="Arial" w:eastAsia="Times New Roman" w:hAnsi="Arial"/>
          <w:i w:val="0"/>
          <w:iCs w:val="0"/>
          <w:spacing w:val="0"/>
          <w:sz w:val="23"/>
          <w:szCs w:val="23"/>
          <w:u w:val="none"/>
        </w:rPr>
        <w:t>The policy documents for the Cumbria Local Government Pension Scheme include a ‘Funding Strategy Statement’ (FSS) which is reviewed and published whenever there is a material change in either the policy on the matters set out in the FSS or the scheme’s ‘Statement of Investing Principles’. The FSS addresses the issue of managing the need to fund benefits guaranteed by statute over the long term. The implementation of the funding strategy is the responsibility of Cumbria County Council, acting on the professional advice provided by the actuary. The purpose of the FSS is to:</w:t>
      </w:r>
    </w:p>
    <w:p w14:paraId="40A40C03" w14:textId="77777777" w:rsidR="00EF6C9E" w:rsidRPr="00D539E4" w:rsidRDefault="00EF6C9E" w:rsidP="0070459C">
      <w:pPr>
        <w:rPr>
          <w:lang w:eastAsia="en-GB"/>
        </w:rPr>
      </w:pPr>
    </w:p>
    <w:p w14:paraId="485A479D" w14:textId="77777777" w:rsidR="007F01E5" w:rsidRPr="00D539E4" w:rsidRDefault="007F01E5" w:rsidP="00162C02">
      <w:pPr>
        <w:numPr>
          <w:ilvl w:val="0"/>
          <w:numId w:val="9"/>
        </w:numPr>
        <w:ind w:left="1134" w:hanging="567"/>
        <w:rPr>
          <w:lang w:eastAsia="en-GB"/>
        </w:rPr>
      </w:pPr>
      <w:r w:rsidRPr="00D539E4">
        <w:rPr>
          <w:lang w:eastAsia="en-GB"/>
        </w:rPr>
        <w:t>establish a clear and transparent fund-specific strategy which will identify how employers pension liabilities are best met going forward;</w:t>
      </w:r>
    </w:p>
    <w:p w14:paraId="485A479E" w14:textId="77777777" w:rsidR="007F01E5" w:rsidRPr="00D539E4" w:rsidRDefault="007F01E5" w:rsidP="00162C02">
      <w:pPr>
        <w:numPr>
          <w:ilvl w:val="0"/>
          <w:numId w:val="9"/>
        </w:numPr>
        <w:ind w:left="1134" w:hanging="567"/>
        <w:rPr>
          <w:lang w:eastAsia="en-GB"/>
        </w:rPr>
      </w:pPr>
      <w:r w:rsidRPr="00D539E4">
        <w:rPr>
          <w:lang w:eastAsia="en-GB"/>
        </w:rPr>
        <w:t>to support the regulatory requirement to maintain as nearly constant employer contribution rates as possible; and</w:t>
      </w:r>
    </w:p>
    <w:p w14:paraId="485A479F" w14:textId="706DA3E8" w:rsidR="007F01E5" w:rsidRPr="00D539E4" w:rsidRDefault="007F01E5" w:rsidP="00162C02">
      <w:pPr>
        <w:numPr>
          <w:ilvl w:val="0"/>
          <w:numId w:val="9"/>
        </w:numPr>
        <w:ind w:left="1134" w:hanging="567"/>
        <w:rPr>
          <w:lang w:eastAsia="en-GB"/>
        </w:rPr>
      </w:pPr>
      <w:r w:rsidRPr="00D539E4">
        <w:rPr>
          <w:lang w:eastAsia="en-GB"/>
        </w:rPr>
        <w:t>to take a prudent longer-term view of funding those liabilities</w:t>
      </w:r>
    </w:p>
    <w:p w14:paraId="3935ECCC" w14:textId="77777777" w:rsidR="00EF6C9E" w:rsidRPr="00D539E4" w:rsidRDefault="00EF6C9E" w:rsidP="0070459C">
      <w:pPr>
        <w:rPr>
          <w:lang w:eastAsia="en-GB"/>
        </w:rPr>
      </w:pPr>
    </w:p>
    <w:p w14:paraId="485A47A0" w14:textId="6C43398A" w:rsidR="007F01E5" w:rsidRPr="00D539E4" w:rsidRDefault="007F01E5" w:rsidP="0070459C">
      <w:pPr>
        <w:rPr>
          <w:lang w:eastAsia="en-GB"/>
        </w:rPr>
      </w:pPr>
      <w:r w:rsidRPr="00D539E4">
        <w:rPr>
          <w:lang w:eastAsia="en-GB"/>
        </w:rPr>
        <w:t xml:space="preserve">In practice the funding target is met by a range of combinations of funding plan, investment strategy and investment performance. The Investment Strategy Statement and the Funding Strategy Statement are published in the Cumbria LGPS Annual Report, which is available on the Cumbria </w:t>
      </w:r>
      <w:r w:rsidR="00D539E4" w:rsidRPr="00D539E4">
        <w:rPr>
          <w:lang w:eastAsia="en-GB"/>
        </w:rPr>
        <w:t xml:space="preserve">Pension Fund </w:t>
      </w:r>
      <w:r w:rsidRPr="00D539E4">
        <w:rPr>
          <w:lang w:eastAsia="en-GB"/>
        </w:rPr>
        <w:t>website.</w:t>
      </w:r>
    </w:p>
    <w:p w14:paraId="485A47A1" w14:textId="77777777" w:rsidR="007F01E5" w:rsidRPr="004D5CA8" w:rsidRDefault="007F01E5" w:rsidP="0070459C">
      <w:pPr>
        <w:rPr>
          <w:highlight w:val="yellow"/>
          <w:lang w:eastAsia="en-GB"/>
        </w:rPr>
      </w:pPr>
    </w:p>
    <w:p w14:paraId="485A47A2" w14:textId="77777777" w:rsidR="007F01E5" w:rsidRPr="00470B28" w:rsidRDefault="007F01E5" w:rsidP="0070459C">
      <w:pPr>
        <w:pStyle w:val="Subtitle"/>
        <w:numPr>
          <w:ilvl w:val="0"/>
          <w:numId w:val="0"/>
        </w:numPr>
        <w:tabs>
          <w:tab w:val="left" w:pos="-709"/>
          <w:tab w:val="left" w:pos="-284"/>
          <w:tab w:val="left" w:pos="-142"/>
          <w:tab w:val="left" w:pos="0"/>
          <w:tab w:val="left" w:pos="567"/>
        </w:tabs>
        <w:spacing w:line="240" w:lineRule="atLeast"/>
        <w:ind w:right="680"/>
        <w:rPr>
          <w:rFonts w:ascii="Arial" w:hAnsi="Arial" w:cs="Arial"/>
          <w:b/>
          <w:i w:val="0"/>
          <w:sz w:val="23"/>
          <w:szCs w:val="23"/>
          <w:u w:val="none"/>
        </w:rPr>
      </w:pPr>
      <w:r w:rsidRPr="00470B28">
        <w:rPr>
          <w:rFonts w:ascii="Arial" w:eastAsia="Times New Roman" w:hAnsi="Arial"/>
          <w:b/>
          <w:i w:val="0"/>
          <w:iCs w:val="0"/>
          <w:spacing w:val="0"/>
          <w:sz w:val="23"/>
          <w:szCs w:val="23"/>
          <w:u w:val="none"/>
          <w:lang w:eastAsia="en-US"/>
        </w:rPr>
        <w:tab/>
        <w:t>Impact on the Authority’s Cash Flows</w:t>
      </w:r>
    </w:p>
    <w:p w14:paraId="485A47A3" w14:textId="77777777" w:rsidR="007F01E5" w:rsidRPr="00470B28" w:rsidRDefault="007F01E5" w:rsidP="0070459C">
      <w:pPr>
        <w:rPr>
          <w:lang w:eastAsia="en-GB"/>
        </w:rPr>
      </w:pPr>
    </w:p>
    <w:p w14:paraId="485A47A4" w14:textId="030B1B5E" w:rsidR="007F01E5" w:rsidRPr="00470B28" w:rsidRDefault="007F01E5" w:rsidP="0070459C">
      <w:pPr>
        <w:rPr>
          <w:lang w:eastAsia="en-GB"/>
        </w:rPr>
      </w:pPr>
      <w:r w:rsidRPr="00470B28">
        <w:rPr>
          <w:lang w:eastAsia="en-GB"/>
        </w:rPr>
        <w:lastRenderedPageBreak/>
        <w:t xml:space="preserve">The objectives of the scheme are to keep employers’ contributions at a constant a rate as possible. Each employer’s position within the scheme is assessed separately and their individual contribution rate takes into account their differing circumstances and the funding plan, as laid down in the Funding Strategy Statement. The </w:t>
      </w:r>
      <w:r w:rsidR="00B7455A" w:rsidRPr="00470B28">
        <w:rPr>
          <w:lang w:eastAsia="en-GB"/>
        </w:rPr>
        <w:t xml:space="preserve">last </w:t>
      </w:r>
      <w:r w:rsidRPr="00470B28">
        <w:rPr>
          <w:lang w:eastAsia="en-GB"/>
        </w:rPr>
        <w:t>valuation was dated 31 March 20</w:t>
      </w:r>
      <w:r w:rsidR="00470B28" w:rsidRPr="00470B28">
        <w:rPr>
          <w:lang w:eastAsia="en-GB"/>
        </w:rPr>
        <w:t>22</w:t>
      </w:r>
      <w:r w:rsidRPr="00470B28">
        <w:rPr>
          <w:lang w:eastAsia="en-GB"/>
        </w:rPr>
        <w:t xml:space="preserve">, at which time the funding level was </w:t>
      </w:r>
      <w:r w:rsidR="00470B28" w:rsidRPr="00470B28">
        <w:rPr>
          <w:lang w:eastAsia="en-GB"/>
        </w:rPr>
        <w:t>110</w:t>
      </w:r>
      <w:r w:rsidRPr="00470B28">
        <w:rPr>
          <w:lang w:eastAsia="en-GB"/>
        </w:rPr>
        <w:t>% and the recovery period reduced to 1</w:t>
      </w:r>
      <w:r w:rsidR="00470B28" w:rsidRPr="00470B28">
        <w:rPr>
          <w:lang w:eastAsia="en-GB"/>
        </w:rPr>
        <w:t>0</w:t>
      </w:r>
      <w:r w:rsidRPr="00470B28">
        <w:rPr>
          <w:lang w:eastAsia="en-GB"/>
        </w:rPr>
        <w:t xml:space="preserve"> years. </w:t>
      </w:r>
    </w:p>
    <w:p w14:paraId="485A47A5" w14:textId="77777777" w:rsidR="007F01E5" w:rsidRPr="00470B28" w:rsidRDefault="007F01E5" w:rsidP="0070459C">
      <w:pPr>
        <w:rPr>
          <w:lang w:eastAsia="en-GB"/>
        </w:rPr>
      </w:pPr>
    </w:p>
    <w:p w14:paraId="485A47A6" w14:textId="77777777" w:rsidR="007F01E5" w:rsidRPr="000C77DD" w:rsidRDefault="007F01E5" w:rsidP="0070459C">
      <w:pPr>
        <w:rPr>
          <w:lang w:eastAsia="en-GB"/>
        </w:rPr>
      </w:pPr>
      <w:r w:rsidRPr="00470B28">
        <w:rPr>
          <w:lang w:eastAsia="en-GB"/>
        </w:rPr>
        <w:t xml:space="preserve">If any employer becomes unable to pay contributions or make good deficits in the future, the Fund’s assets will be lower than expected and the funding level will be worse than expected. This risk can be mitigated by regular employer covenant reviews by the Administering Authority. However, in the ultimate default of an employer any shortfall would then become the responsibility of any guarantor or all other employers in the Fund. If an employer terminates participation and becomes an Exiting Employer under the Regulations then the shortfall will be determined in line with the termination policy set </w:t>
      </w:r>
      <w:r w:rsidRPr="000C77DD">
        <w:rPr>
          <w:lang w:eastAsia="en-GB"/>
        </w:rPr>
        <w:t>out in the Funding Strategy Statement.</w:t>
      </w:r>
    </w:p>
    <w:p w14:paraId="485A47A7" w14:textId="77777777" w:rsidR="007F01E5" w:rsidRPr="000C77DD" w:rsidRDefault="007F01E5" w:rsidP="0070459C">
      <w:pPr>
        <w:rPr>
          <w:lang w:eastAsia="en-GB"/>
        </w:rPr>
      </w:pPr>
    </w:p>
    <w:p w14:paraId="485A47A8" w14:textId="70B24608" w:rsidR="007F01E5" w:rsidRPr="004006C5" w:rsidRDefault="007F01E5" w:rsidP="0070459C">
      <w:pPr>
        <w:rPr>
          <w:lang w:eastAsia="en-GB"/>
        </w:rPr>
      </w:pPr>
      <w:r w:rsidRPr="004006C5">
        <w:rPr>
          <w:lang w:eastAsia="en-GB"/>
        </w:rPr>
        <w:t>The Authority anticipates making contributions of £</w:t>
      </w:r>
      <w:r w:rsidR="000C77DD" w:rsidRPr="004006C5">
        <w:rPr>
          <w:lang w:eastAsia="en-GB"/>
        </w:rPr>
        <w:t>1,1</w:t>
      </w:r>
      <w:r w:rsidR="004006C5" w:rsidRPr="004006C5">
        <w:rPr>
          <w:lang w:eastAsia="en-GB"/>
        </w:rPr>
        <w:t>64</w:t>
      </w:r>
      <w:r w:rsidR="002922E7" w:rsidRPr="004006C5">
        <w:rPr>
          <w:lang w:eastAsia="en-GB"/>
        </w:rPr>
        <w:t>k</w:t>
      </w:r>
      <w:r w:rsidRPr="004006C5">
        <w:rPr>
          <w:lang w:eastAsia="en-GB"/>
        </w:rPr>
        <w:t xml:space="preserve"> to the scheme in 202</w:t>
      </w:r>
      <w:r w:rsidR="004006C5" w:rsidRPr="004006C5">
        <w:rPr>
          <w:lang w:eastAsia="en-GB"/>
        </w:rPr>
        <w:t>4</w:t>
      </w:r>
      <w:r w:rsidRPr="004006C5">
        <w:rPr>
          <w:lang w:eastAsia="en-GB"/>
        </w:rPr>
        <w:t>/2</w:t>
      </w:r>
      <w:r w:rsidR="004006C5" w:rsidRPr="004006C5">
        <w:rPr>
          <w:lang w:eastAsia="en-GB"/>
        </w:rPr>
        <w:t>5</w:t>
      </w:r>
      <w:r w:rsidRPr="004006C5">
        <w:rPr>
          <w:lang w:eastAsia="en-GB"/>
        </w:rPr>
        <w:t xml:space="preserve">. This excludes </w:t>
      </w:r>
      <w:r w:rsidR="000C77DD" w:rsidRPr="004006C5">
        <w:rPr>
          <w:lang w:eastAsia="en-GB"/>
        </w:rPr>
        <w:t>an</w:t>
      </w:r>
      <w:r w:rsidRPr="004006C5">
        <w:rPr>
          <w:lang w:eastAsia="en-GB"/>
        </w:rPr>
        <w:t xml:space="preserve"> </w:t>
      </w:r>
      <w:r w:rsidR="000C77DD" w:rsidRPr="004006C5">
        <w:rPr>
          <w:lang w:eastAsia="en-GB"/>
        </w:rPr>
        <w:t>annual surplus refund</w:t>
      </w:r>
      <w:r w:rsidRPr="004006C5">
        <w:rPr>
          <w:lang w:eastAsia="en-GB"/>
        </w:rPr>
        <w:t xml:space="preserve"> payment of £</w:t>
      </w:r>
      <w:r w:rsidR="00B7781C" w:rsidRPr="004006C5">
        <w:rPr>
          <w:lang w:eastAsia="en-GB"/>
        </w:rPr>
        <w:t>5</w:t>
      </w:r>
      <w:r w:rsidR="000C77DD" w:rsidRPr="004006C5">
        <w:rPr>
          <w:lang w:eastAsia="en-GB"/>
        </w:rPr>
        <w:t xml:space="preserve">8,000. </w:t>
      </w:r>
      <w:r w:rsidRPr="004006C5">
        <w:rPr>
          <w:lang w:eastAsia="en-GB"/>
        </w:rPr>
        <w:t xml:space="preserve"> </w:t>
      </w:r>
      <w:r w:rsidR="000C77DD" w:rsidRPr="004006C5">
        <w:rPr>
          <w:lang w:eastAsia="en-GB"/>
        </w:rPr>
        <w:t>The contributions for 202</w:t>
      </w:r>
      <w:r w:rsidR="00CC53C1">
        <w:rPr>
          <w:lang w:eastAsia="en-GB"/>
        </w:rPr>
        <w:t>4</w:t>
      </w:r>
      <w:r w:rsidR="000C77DD" w:rsidRPr="004006C5">
        <w:rPr>
          <w:lang w:eastAsia="en-GB"/>
        </w:rPr>
        <w:t>/2</w:t>
      </w:r>
      <w:r w:rsidR="00CC53C1">
        <w:rPr>
          <w:lang w:eastAsia="en-GB"/>
        </w:rPr>
        <w:t>5</w:t>
      </w:r>
      <w:r w:rsidR="000C77DD" w:rsidRPr="004006C5">
        <w:rPr>
          <w:lang w:eastAsia="en-GB"/>
        </w:rPr>
        <w:t xml:space="preserve"> have been paid up front in April </w:t>
      </w:r>
      <w:r w:rsidRPr="004006C5">
        <w:rPr>
          <w:lang w:eastAsia="en-GB"/>
        </w:rPr>
        <w:t>result</w:t>
      </w:r>
      <w:r w:rsidR="000C77DD" w:rsidRPr="004006C5">
        <w:rPr>
          <w:lang w:eastAsia="en-GB"/>
        </w:rPr>
        <w:t>ing</w:t>
      </w:r>
      <w:r w:rsidRPr="004006C5">
        <w:rPr>
          <w:lang w:eastAsia="en-GB"/>
        </w:rPr>
        <w:t xml:space="preserve"> in net cash savings to the Authority of </w:t>
      </w:r>
      <w:r w:rsidR="002922E7" w:rsidRPr="004006C5">
        <w:rPr>
          <w:lang w:eastAsia="en-GB"/>
        </w:rPr>
        <w:t>c£</w:t>
      </w:r>
      <w:r w:rsidR="004006C5" w:rsidRPr="004006C5">
        <w:rPr>
          <w:lang w:eastAsia="en-GB"/>
        </w:rPr>
        <w:t>25</w:t>
      </w:r>
      <w:r w:rsidR="002922E7" w:rsidRPr="004006C5">
        <w:rPr>
          <w:lang w:eastAsia="en-GB"/>
        </w:rPr>
        <w:t>k.</w:t>
      </w:r>
    </w:p>
    <w:p w14:paraId="485A47A9" w14:textId="77777777" w:rsidR="007F01E5" w:rsidRPr="004006C5" w:rsidRDefault="007F01E5" w:rsidP="0070459C">
      <w:pPr>
        <w:rPr>
          <w:lang w:eastAsia="en-GB"/>
        </w:rPr>
      </w:pPr>
    </w:p>
    <w:p w14:paraId="485A47AA" w14:textId="2E6F1646" w:rsidR="007F01E5" w:rsidRPr="00282755" w:rsidRDefault="007F01E5" w:rsidP="0070459C">
      <w:pPr>
        <w:rPr>
          <w:lang w:eastAsia="en-GB"/>
        </w:rPr>
      </w:pPr>
      <w:r w:rsidRPr="004006C5">
        <w:rPr>
          <w:lang w:eastAsia="en-GB"/>
        </w:rPr>
        <w:t xml:space="preserve">The weighted average duration of the defined benefit obligation for scheme members is </w:t>
      </w:r>
      <w:r w:rsidR="0085585A" w:rsidRPr="004006C5">
        <w:rPr>
          <w:lang w:eastAsia="en-GB"/>
        </w:rPr>
        <w:t>18</w:t>
      </w:r>
      <w:r w:rsidRPr="004006C5">
        <w:rPr>
          <w:lang w:eastAsia="en-GB"/>
        </w:rPr>
        <w:t xml:space="preserve"> years for 20</w:t>
      </w:r>
      <w:r w:rsidR="00B5466C" w:rsidRPr="004006C5">
        <w:rPr>
          <w:lang w:eastAsia="en-GB"/>
        </w:rPr>
        <w:t>2</w:t>
      </w:r>
      <w:r w:rsidR="004006C5" w:rsidRPr="004006C5">
        <w:rPr>
          <w:lang w:eastAsia="en-GB"/>
        </w:rPr>
        <w:t>3</w:t>
      </w:r>
      <w:r w:rsidRPr="004006C5">
        <w:rPr>
          <w:lang w:eastAsia="en-GB"/>
        </w:rPr>
        <w:t>/2</w:t>
      </w:r>
      <w:r w:rsidR="004006C5" w:rsidRPr="004006C5">
        <w:rPr>
          <w:lang w:eastAsia="en-GB"/>
        </w:rPr>
        <w:t>4</w:t>
      </w:r>
      <w:r w:rsidRPr="004006C5">
        <w:rPr>
          <w:lang w:eastAsia="en-GB"/>
        </w:rPr>
        <w:t xml:space="preserve"> (1</w:t>
      </w:r>
      <w:r w:rsidR="007001B6" w:rsidRPr="004006C5">
        <w:rPr>
          <w:lang w:eastAsia="en-GB"/>
        </w:rPr>
        <w:t>8</w:t>
      </w:r>
      <w:r w:rsidRPr="004006C5">
        <w:rPr>
          <w:lang w:eastAsia="en-GB"/>
        </w:rPr>
        <w:t xml:space="preserve"> years 20</w:t>
      </w:r>
      <w:r w:rsidR="0085585A" w:rsidRPr="004006C5">
        <w:rPr>
          <w:lang w:eastAsia="en-GB"/>
        </w:rPr>
        <w:t>2</w:t>
      </w:r>
      <w:r w:rsidR="004006C5" w:rsidRPr="004006C5">
        <w:rPr>
          <w:lang w:eastAsia="en-GB"/>
        </w:rPr>
        <w:t>2</w:t>
      </w:r>
      <w:r w:rsidRPr="004006C5">
        <w:rPr>
          <w:lang w:eastAsia="en-GB"/>
        </w:rPr>
        <w:t>/</w:t>
      </w:r>
      <w:r w:rsidR="00B5466C" w:rsidRPr="004006C5">
        <w:rPr>
          <w:lang w:eastAsia="en-GB"/>
        </w:rPr>
        <w:t>2</w:t>
      </w:r>
      <w:r w:rsidR="004006C5" w:rsidRPr="004006C5">
        <w:rPr>
          <w:lang w:eastAsia="en-GB"/>
        </w:rPr>
        <w:t>3</w:t>
      </w:r>
      <w:r w:rsidRPr="004006C5">
        <w:rPr>
          <w:lang w:eastAsia="en-GB"/>
        </w:rPr>
        <w:t>). The very mature duration profile has been used to determine these assumptions.</w:t>
      </w:r>
    </w:p>
    <w:p w14:paraId="485A47AD" w14:textId="31C6E7E2" w:rsidR="009C05F9" w:rsidRPr="00007500" w:rsidRDefault="00BC15E3" w:rsidP="0070459C">
      <w:pPr>
        <w:pStyle w:val="ListParagraph"/>
        <w:numPr>
          <w:ilvl w:val="0"/>
          <w:numId w:val="47"/>
        </w:numPr>
        <w:ind w:left="0" w:firstLine="0"/>
        <w:rPr>
          <w:b/>
          <w:u w:val="none"/>
        </w:rPr>
      </w:pPr>
      <w:r w:rsidRPr="00007500">
        <w:rPr>
          <w:b/>
          <w:highlight w:val="yellow"/>
        </w:rPr>
        <w:br w:type="page"/>
      </w:r>
      <w:bookmarkStart w:id="241" w:name="_MON_1370423797"/>
      <w:bookmarkStart w:id="242" w:name="_MON_1370694587"/>
      <w:bookmarkStart w:id="243" w:name="_MON_1370694673"/>
      <w:bookmarkStart w:id="244" w:name="_MON_1372663894"/>
      <w:bookmarkStart w:id="245" w:name="_MON_1372664038"/>
      <w:bookmarkStart w:id="246" w:name="_MON_1372834606"/>
      <w:bookmarkStart w:id="247" w:name="_MON_1372840968"/>
      <w:bookmarkStart w:id="248" w:name="_MON_1372841146"/>
      <w:bookmarkStart w:id="249" w:name="_MON_1395560751"/>
      <w:bookmarkStart w:id="250" w:name="_MON_1395560811"/>
      <w:bookmarkStart w:id="251" w:name="_MON_1401091087"/>
      <w:bookmarkStart w:id="252" w:name="_MON_1401538961"/>
      <w:bookmarkStart w:id="253" w:name="_MON_1402389307"/>
      <w:bookmarkStart w:id="254" w:name="_MON_1429554971"/>
      <w:bookmarkStart w:id="255" w:name="_MON_1369551464"/>
      <w:bookmarkStart w:id="256" w:name="_MON_1369551485"/>
      <w:bookmarkStart w:id="257" w:name="_MON_1369551633"/>
      <w:bookmarkStart w:id="258" w:name="_MON_1369551909"/>
      <w:bookmarkStart w:id="259" w:name="_MON_1369551924"/>
      <w:bookmarkStart w:id="260" w:name="_MON_1369564342"/>
      <w:bookmarkStart w:id="261" w:name="_MON_1369727003"/>
      <w:bookmarkStart w:id="262" w:name="_MON_1369727012"/>
      <w:bookmarkStart w:id="263" w:name="_MON_1369741500"/>
      <w:bookmarkStart w:id="264" w:name="_MON_1369743738"/>
      <w:bookmarkStart w:id="265" w:name="_Toc16796581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009C05F9" w:rsidRPr="00162C02">
        <w:rPr>
          <w:rStyle w:val="Heading2Char"/>
          <w:u w:val="none"/>
        </w:rPr>
        <w:lastRenderedPageBreak/>
        <w:t xml:space="preserve">Disclosure of </w:t>
      </w:r>
      <w:r w:rsidR="006E6BD8" w:rsidRPr="00162C02">
        <w:rPr>
          <w:rStyle w:val="Heading2Char"/>
          <w:u w:val="none"/>
        </w:rPr>
        <w:t xml:space="preserve">External </w:t>
      </w:r>
      <w:r w:rsidR="009C05F9" w:rsidRPr="00162C02">
        <w:rPr>
          <w:rStyle w:val="Heading2Char"/>
          <w:u w:val="none"/>
        </w:rPr>
        <w:t>Audit Costs</w:t>
      </w:r>
      <w:bookmarkEnd w:id="265"/>
      <w:r w:rsidR="006F75A2" w:rsidRPr="00162C02">
        <w:rPr>
          <w:rStyle w:val="Heading2Char"/>
          <w:u w:val="none"/>
        </w:rPr>
        <w:t xml:space="preserve"> </w:t>
      </w:r>
    </w:p>
    <w:p w14:paraId="485A47AE" w14:textId="77777777" w:rsidR="00E00863" w:rsidRPr="00317745" w:rsidRDefault="00E00863" w:rsidP="0070459C">
      <w:pPr>
        <w:pStyle w:val="Subtitle"/>
      </w:pPr>
    </w:p>
    <w:p w14:paraId="485A47AF" w14:textId="08B3778A" w:rsidR="00E00863" w:rsidRDefault="00261CF6" w:rsidP="0070459C">
      <w:pPr>
        <w:pStyle w:val="Subtitle"/>
        <w:tabs>
          <w:tab w:val="left" w:pos="567"/>
          <w:tab w:val="left" w:pos="709"/>
        </w:tabs>
        <w:rPr>
          <w:rFonts w:ascii="Arial" w:hAnsi="Arial"/>
          <w:i w:val="0"/>
          <w:iCs w:val="0"/>
          <w:spacing w:val="0"/>
          <w:sz w:val="22"/>
          <w:szCs w:val="20"/>
          <w:u w:val="none"/>
        </w:rPr>
      </w:pPr>
      <w:r w:rsidRPr="00317745">
        <w:rPr>
          <w:rFonts w:ascii="Arial" w:hAnsi="Arial"/>
          <w:i w:val="0"/>
          <w:iCs w:val="0"/>
          <w:spacing w:val="0"/>
          <w:sz w:val="22"/>
          <w:szCs w:val="20"/>
          <w:u w:val="none"/>
        </w:rPr>
        <w:t xml:space="preserve">         </w:t>
      </w:r>
      <w:r w:rsidR="00E00863" w:rsidRPr="00317745">
        <w:rPr>
          <w:rFonts w:ascii="Arial" w:hAnsi="Arial"/>
          <w:i w:val="0"/>
          <w:iCs w:val="0"/>
          <w:spacing w:val="0"/>
          <w:sz w:val="22"/>
          <w:szCs w:val="20"/>
          <w:u w:val="none"/>
        </w:rPr>
        <w:t xml:space="preserve">In </w:t>
      </w:r>
      <w:r w:rsidR="00627253" w:rsidRPr="00317745">
        <w:rPr>
          <w:rFonts w:ascii="Arial" w:hAnsi="Arial"/>
          <w:i w:val="0"/>
          <w:iCs w:val="0"/>
          <w:spacing w:val="0"/>
          <w:sz w:val="22"/>
          <w:szCs w:val="20"/>
          <w:u w:val="none"/>
        </w:rPr>
        <w:t>20</w:t>
      </w:r>
      <w:r w:rsidR="00D41982" w:rsidRPr="00317745">
        <w:rPr>
          <w:rFonts w:ascii="Arial" w:hAnsi="Arial"/>
          <w:i w:val="0"/>
          <w:iCs w:val="0"/>
          <w:spacing w:val="0"/>
          <w:sz w:val="22"/>
          <w:szCs w:val="20"/>
          <w:u w:val="none"/>
        </w:rPr>
        <w:t>2</w:t>
      </w:r>
      <w:r w:rsidR="006F75A2">
        <w:rPr>
          <w:rFonts w:ascii="Arial" w:hAnsi="Arial"/>
          <w:i w:val="0"/>
          <w:iCs w:val="0"/>
          <w:spacing w:val="0"/>
          <w:sz w:val="22"/>
          <w:szCs w:val="20"/>
          <w:u w:val="none"/>
        </w:rPr>
        <w:t>3</w:t>
      </w:r>
      <w:r w:rsidR="00317745">
        <w:rPr>
          <w:rFonts w:ascii="Arial" w:hAnsi="Arial"/>
          <w:i w:val="0"/>
          <w:iCs w:val="0"/>
          <w:spacing w:val="0"/>
          <w:sz w:val="22"/>
          <w:szCs w:val="20"/>
          <w:u w:val="none"/>
        </w:rPr>
        <w:t>/2</w:t>
      </w:r>
      <w:r w:rsidR="006F75A2">
        <w:rPr>
          <w:rFonts w:ascii="Arial" w:hAnsi="Arial"/>
          <w:i w:val="0"/>
          <w:iCs w:val="0"/>
          <w:spacing w:val="0"/>
          <w:sz w:val="22"/>
          <w:szCs w:val="20"/>
          <w:u w:val="none"/>
        </w:rPr>
        <w:t>4</w:t>
      </w:r>
      <w:r w:rsidR="00E00863" w:rsidRPr="00317745">
        <w:rPr>
          <w:rFonts w:ascii="Arial" w:hAnsi="Arial"/>
          <w:i w:val="0"/>
          <w:iCs w:val="0"/>
          <w:spacing w:val="0"/>
          <w:sz w:val="22"/>
          <w:szCs w:val="20"/>
          <w:u w:val="none"/>
        </w:rPr>
        <w:t xml:space="preserve"> </w:t>
      </w:r>
      <w:r w:rsidR="00EB5809" w:rsidRPr="00317745">
        <w:rPr>
          <w:rFonts w:ascii="Arial" w:hAnsi="Arial"/>
          <w:i w:val="0"/>
          <w:iCs w:val="0"/>
          <w:spacing w:val="0"/>
          <w:sz w:val="22"/>
          <w:szCs w:val="20"/>
          <w:u w:val="none"/>
        </w:rPr>
        <w:t xml:space="preserve">the </w:t>
      </w:r>
      <w:r w:rsidR="00E00863" w:rsidRPr="00317745">
        <w:rPr>
          <w:rFonts w:ascii="Arial" w:hAnsi="Arial"/>
          <w:i w:val="0"/>
          <w:iCs w:val="0"/>
          <w:spacing w:val="0"/>
          <w:sz w:val="22"/>
          <w:szCs w:val="20"/>
          <w:u w:val="none"/>
        </w:rPr>
        <w:t>Authority incurred the following fees relating to external audit and inspection:</w:t>
      </w:r>
    </w:p>
    <w:p w14:paraId="315C6B2A" w14:textId="77777777" w:rsidR="005723E0" w:rsidRDefault="005723E0" w:rsidP="005723E0">
      <w:pPr>
        <w:rPr>
          <w:lang w:eastAsia="en-GB"/>
        </w:rPr>
      </w:pPr>
    </w:p>
    <w:tbl>
      <w:tblPr>
        <w:tblW w:w="9180" w:type="dxa"/>
        <w:tblLook w:val="04A0" w:firstRow="1" w:lastRow="0" w:firstColumn="1" w:lastColumn="0" w:noHBand="0" w:noVBand="1"/>
      </w:tblPr>
      <w:tblGrid>
        <w:gridCol w:w="7100"/>
        <w:gridCol w:w="1138"/>
        <w:gridCol w:w="980"/>
      </w:tblGrid>
      <w:tr w:rsidR="005723E0" w:rsidRPr="005723E0" w14:paraId="594FEAD8" w14:textId="77777777" w:rsidTr="005723E0">
        <w:trPr>
          <w:trHeight w:val="630"/>
        </w:trPr>
        <w:tc>
          <w:tcPr>
            <w:tcW w:w="7100" w:type="dxa"/>
            <w:tcBorders>
              <w:top w:val="single" w:sz="4" w:space="0" w:color="auto"/>
              <w:left w:val="single" w:sz="4" w:space="0" w:color="auto"/>
              <w:bottom w:val="nil"/>
              <w:right w:val="nil"/>
            </w:tcBorders>
            <w:shd w:val="clear" w:color="000000" w:fill="000000"/>
            <w:vAlign w:val="bottom"/>
            <w:hideMark/>
          </w:tcPr>
          <w:p w14:paraId="0A1E71DE" w14:textId="77777777" w:rsidR="005723E0" w:rsidRPr="005723E0" w:rsidRDefault="005723E0" w:rsidP="005723E0">
            <w:pPr>
              <w:jc w:val="center"/>
              <w:rPr>
                <w:rFonts w:ascii="Calibri" w:hAnsi="Calibri" w:cs="Calibri"/>
                <w:b/>
                <w:bCs/>
                <w:color w:val="FFFFFF"/>
                <w:sz w:val="22"/>
                <w:szCs w:val="22"/>
                <w:lang w:eastAsia="en-GB"/>
              </w:rPr>
            </w:pPr>
            <w:r w:rsidRPr="005723E0">
              <w:rPr>
                <w:rFonts w:ascii="Calibri" w:hAnsi="Calibri" w:cs="Calibri"/>
                <w:b/>
                <w:bCs/>
                <w:color w:val="FFFFFF"/>
                <w:sz w:val="22"/>
                <w:szCs w:val="22"/>
                <w:lang w:eastAsia="en-GB"/>
              </w:rPr>
              <w:t> </w:t>
            </w:r>
          </w:p>
        </w:tc>
        <w:tc>
          <w:tcPr>
            <w:tcW w:w="1120" w:type="dxa"/>
            <w:tcBorders>
              <w:top w:val="single" w:sz="4" w:space="0" w:color="auto"/>
              <w:left w:val="nil"/>
              <w:bottom w:val="nil"/>
              <w:right w:val="single" w:sz="4" w:space="0" w:color="auto"/>
            </w:tcBorders>
            <w:shd w:val="clear" w:color="000000" w:fill="000000"/>
            <w:vAlign w:val="bottom"/>
            <w:hideMark/>
          </w:tcPr>
          <w:p w14:paraId="4D0307F9" w14:textId="77777777" w:rsidR="005723E0" w:rsidRPr="005723E0" w:rsidRDefault="005723E0" w:rsidP="005723E0">
            <w:pPr>
              <w:jc w:val="center"/>
              <w:rPr>
                <w:rFonts w:ascii="Calibri" w:hAnsi="Calibri" w:cs="Calibri"/>
                <w:b/>
                <w:bCs/>
                <w:color w:val="FFFFFF"/>
                <w:sz w:val="22"/>
                <w:szCs w:val="22"/>
                <w:lang w:eastAsia="en-GB"/>
              </w:rPr>
            </w:pPr>
            <w:r w:rsidRPr="005723E0">
              <w:rPr>
                <w:rFonts w:ascii="Calibri" w:hAnsi="Calibri" w:cs="Calibri"/>
                <w:b/>
                <w:bCs/>
                <w:color w:val="FFFFFF"/>
                <w:sz w:val="22"/>
                <w:szCs w:val="22"/>
                <w:lang w:eastAsia="en-GB"/>
              </w:rPr>
              <w:t>2022/23 Restated*</w:t>
            </w:r>
          </w:p>
        </w:tc>
        <w:tc>
          <w:tcPr>
            <w:tcW w:w="960" w:type="dxa"/>
            <w:tcBorders>
              <w:top w:val="single" w:sz="4" w:space="0" w:color="auto"/>
              <w:left w:val="nil"/>
              <w:bottom w:val="nil"/>
              <w:right w:val="single" w:sz="4" w:space="0" w:color="auto"/>
            </w:tcBorders>
            <w:shd w:val="clear" w:color="000000" w:fill="000000"/>
            <w:vAlign w:val="bottom"/>
            <w:hideMark/>
          </w:tcPr>
          <w:p w14:paraId="0855A963" w14:textId="77777777" w:rsidR="005723E0" w:rsidRPr="005723E0" w:rsidRDefault="005723E0" w:rsidP="005723E0">
            <w:pPr>
              <w:jc w:val="center"/>
              <w:rPr>
                <w:rFonts w:ascii="Calibri" w:hAnsi="Calibri" w:cs="Calibri"/>
                <w:b/>
                <w:bCs/>
                <w:color w:val="FFFFFF"/>
                <w:sz w:val="22"/>
                <w:szCs w:val="22"/>
                <w:lang w:eastAsia="en-GB"/>
              </w:rPr>
            </w:pPr>
            <w:r w:rsidRPr="005723E0">
              <w:rPr>
                <w:rFonts w:ascii="Calibri" w:hAnsi="Calibri" w:cs="Calibri"/>
                <w:b/>
                <w:bCs/>
                <w:color w:val="FFFFFF"/>
                <w:sz w:val="22"/>
                <w:szCs w:val="22"/>
                <w:lang w:eastAsia="en-GB"/>
              </w:rPr>
              <w:t>2023/24</w:t>
            </w:r>
          </w:p>
        </w:tc>
      </w:tr>
      <w:tr w:rsidR="005723E0" w:rsidRPr="005723E0" w14:paraId="13FD0E3E" w14:textId="77777777" w:rsidTr="005723E0">
        <w:trPr>
          <w:trHeight w:val="290"/>
        </w:trPr>
        <w:tc>
          <w:tcPr>
            <w:tcW w:w="7100" w:type="dxa"/>
            <w:tcBorders>
              <w:top w:val="nil"/>
              <w:left w:val="single" w:sz="4" w:space="0" w:color="auto"/>
              <w:bottom w:val="nil"/>
              <w:right w:val="nil"/>
            </w:tcBorders>
            <w:shd w:val="clear" w:color="000000" w:fill="000000"/>
            <w:noWrap/>
            <w:vAlign w:val="bottom"/>
            <w:hideMark/>
          </w:tcPr>
          <w:p w14:paraId="69F13CEE" w14:textId="77777777" w:rsidR="005723E0" w:rsidRPr="005723E0" w:rsidRDefault="005723E0" w:rsidP="005723E0">
            <w:pPr>
              <w:jc w:val="center"/>
              <w:rPr>
                <w:rFonts w:ascii="Calibri" w:hAnsi="Calibri" w:cs="Calibri"/>
                <w:b/>
                <w:bCs/>
                <w:color w:val="FFFFFF"/>
                <w:sz w:val="22"/>
                <w:szCs w:val="22"/>
                <w:lang w:eastAsia="en-GB"/>
              </w:rPr>
            </w:pPr>
            <w:r w:rsidRPr="005723E0">
              <w:rPr>
                <w:rFonts w:ascii="Calibri" w:hAnsi="Calibri" w:cs="Calibri"/>
                <w:b/>
                <w:bCs/>
                <w:color w:val="FFFFFF"/>
                <w:sz w:val="22"/>
                <w:szCs w:val="22"/>
                <w:lang w:eastAsia="en-GB"/>
              </w:rPr>
              <w:t> </w:t>
            </w:r>
          </w:p>
        </w:tc>
        <w:tc>
          <w:tcPr>
            <w:tcW w:w="1120" w:type="dxa"/>
            <w:tcBorders>
              <w:top w:val="nil"/>
              <w:left w:val="nil"/>
              <w:bottom w:val="nil"/>
              <w:right w:val="single" w:sz="4" w:space="0" w:color="auto"/>
            </w:tcBorders>
            <w:shd w:val="clear" w:color="000000" w:fill="000000"/>
            <w:noWrap/>
            <w:vAlign w:val="bottom"/>
            <w:hideMark/>
          </w:tcPr>
          <w:p w14:paraId="66BB55D8" w14:textId="77777777" w:rsidR="005723E0" w:rsidRPr="005723E0" w:rsidRDefault="005723E0" w:rsidP="005723E0">
            <w:pPr>
              <w:jc w:val="center"/>
              <w:rPr>
                <w:rFonts w:ascii="Calibri" w:hAnsi="Calibri" w:cs="Calibri"/>
                <w:b/>
                <w:bCs/>
                <w:color w:val="FFFFFF"/>
                <w:sz w:val="22"/>
                <w:szCs w:val="22"/>
                <w:lang w:eastAsia="en-GB"/>
              </w:rPr>
            </w:pPr>
            <w:r w:rsidRPr="005723E0">
              <w:rPr>
                <w:rFonts w:ascii="Calibri" w:hAnsi="Calibri" w:cs="Calibri"/>
                <w:b/>
                <w:bCs/>
                <w:color w:val="FFFFFF"/>
                <w:sz w:val="22"/>
                <w:szCs w:val="22"/>
                <w:lang w:eastAsia="en-GB"/>
              </w:rPr>
              <w:t>£</w:t>
            </w:r>
          </w:p>
        </w:tc>
        <w:tc>
          <w:tcPr>
            <w:tcW w:w="960" w:type="dxa"/>
            <w:tcBorders>
              <w:top w:val="nil"/>
              <w:left w:val="nil"/>
              <w:bottom w:val="nil"/>
              <w:right w:val="single" w:sz="4" w:space="0" w:color="auto"/>
            </w:tcBorders>
            <w:shd w:val="clear" w:color="000000" w:fill="000000"/>
            <w:noWrap/>
            <w:vAlign w:val="bottom"/>
            <w:hideMark/>
          </w:tcPr>
          <w:p w14:paraId="3BD92213" w14:textId="77777777" w:rsidR="005723E0" w:rsidRPr="005723E0" w:rsidRDefault="005723E0" w:rsidP="005723E0">
            <w:pPr>
              <w:jc w:val="center"/>
              <w:rPr>
                <w:rFonts w:ascii="Calibri" w:hAnsi="Calibri" w:cs="Calibri"/>
                <w:b/>
                <w:bCs/>
                <w:color w:val="FFFFFF"/>
                <w:sz w:val="22"/>
                <w:szCs w:val="22"/>
                <w:lang w:eastAsia="en-GB"/>
              </w:rPr>
            </w:pPr>
            <w:r w:rsidRPr="005723E0">
              <w:rPr>
                <w:rFonts w:ascii="Calibri" w:hAnsi="Calibri" w:cs="Calibri"/>
                <w:b/>
                <w:bCs/>
                <w:color w:val="FFFFFF"/>
                <w:sz w:val="22"/>
                <w:szCs w:val="22"/>
                <w:lang w:eastAsia="en-GB"/>
              </w:rPr>
              <w:t>£</w:t>
            </w:r>
          </w:p>
        </w:tc>
      </w:tr>
      <w:tr w:rsidR="005723E0" w:rsidRPr="005723E0" w14:paraId="0D5FDB12" w14:textId="77777777" w:rsidTr="005723E0">
        <w:trPr>
          <w:trHeight w:val="290"/>
        </w:trPr>
        <w:tc>
          <w:tcPr>
            <w:tcW w:w="7100" w:type="dxa"/>
            <w:tcBorders>
              <w:top w:val="nil"/>
              <w:left w:val="single" w:sz="4" w:space="0" w:color="auto"/>
              <w:bottom w:val="nil"/>
              <w:right w:val="nil"/>
            </w:tcBorders>
            <w:shd w:val="clear" w:color="auto" w:fill="auto"/>
            <w:noWrap/>
            <w:vAlign w:val="bottom"/>
            <w:hideMark/>
          </w:tcPr>
          <w:p w14:paraId="6E18241B" w14:textId="77777777" w:rsidR="005723E0" w:rsidRPr="005723E0" w:rsidRDefault="005723E0" w:rsidP="005723E0">
            <w:pPr>
              <w:rPr>
                <w:rFonts w:ascii="Calibri" w:hAnsi="Calibri" w:cs="Calibri"/>
                <w:color w:val="000000"/>
                <w:sz w:val="22"/>
                <w:szCs w:val="22"/>
                <w:lang w:eastAsia="en-GB"/>
              </w:rPr>
            </w:pPr>
            <w:r w:rsidRPr="005723E0">
              <w:rPr>
                <w:rFonts w:ascii="Calibri" w:hAnsi="Calibri" w:cs="Calibri"/>
                <w:color w:val="000000"/>
                <w:sz w:val="22"/>
                <w:szCs w:val="22"/>
                <w:lang w:eastAsia="en-GB"/>
              </w:rPr>
              <w:t>Scale Fee</w:t>
            </w:r>
          </w:p>
        </w:tc>
        <w:tc>
          <w:tcPr>
            <w:tcW w:w="1120" w:type="dxa"/>
            <w:tcBorders>
              <w:top w:val="nil"/>
              <w:left w:val="nil"/>
              <w:bottom w:val="nil"/>
              <w:right w:val="nil"/>
            </w:tcBorders>
            <w:shd w:val="clear" w:color="auto" w:fill="auto"/>
            <w:noWrap/>
            <w:vAlign w:val="bottom"/>
            <w:hideMark/>
          </w:tcPr>
          <w:p w14:paraId="2F2E19DE" w14:textId="77777777" w:rsidR="005723E0" w:rsidRPr="005723E0" w:rsidRDefault="005723E0" w:rsidP="005723E0">
            <w:pPr>
              <w:jc w:val="right"/>
              <w:rPr>
                <w:rFonts w:ascii="Calibri" w:hAnsi="Calibri" w:cs="Calibri"/>
                <w:color w:val="000000"/>
                <w:sz w:val="22"/>
                <w:szCs w:val="22"/>
                <w:lang w:eastAsia="en-GB"/>
              </w:rPr>
            </w:pPr>
            <w:r w:rsidRPr="005723E0">
              <w:rPr>
                <w:rFonts w:ascii="Calibri" w:hAnsi="Calibri" w:cs="Calibri"/>
                <w:color w:val="000000"/>
                <w:sz w:val="22"/>
                <w:szCs w:val="22"/>
                <w:lang w:eastAsia="en-GB"/>
              </w:rPr>
              <w:t>16,283</w:t>
            </w:r>
          </w:p>
        </w:tc>
        <w:tc>
          <w:tcPr>
            <w:tcW w:w="960" w:type="dxa"/>
            <w:tcBorders>
              <w:top w:val="nil"/>
              <w:left w:val="nil"/>
              <w:bottom w:val="nil"/>
              <w:right w:val="single" w:sz="4" w:space="0" w:color="auto"/>
            </w:tcBorders>
            <w:shd w:val="clear" w:color="auto" w:fill="auto"/>
            <w:noWrap/>
            <w:vAlign w:val="bottom"/>
            <w:hideMark/>
          </w:tcPr>
          <w:p w14:paraId="16A32F72" w14:textId="77777777" w:rsidR="005723E0" w:rsidRPr="005723E0" w:rsidRDefault="005723E0" w:rsidP="005723E0">
            <w:pPr>
              <w:jc w:val="right"/>
              <w:rPr>
                <w:rFonts w:ascii="Calibri" w:hAnsi="Calibri" w:cs="Calibri"/>
                <w:color w:val="000000"/>
                <w:sz w:val="22"/>
                <w:szCs w:val="22"/>
                <w:lang w:eastAsia="en-GB"/>
              </w:rPr>
            </w:pPr>
            <w:r w:rsidRPr="005723E0">
              <w:rPr>
                <w:rFonts w:ascii="Calibri" w:hAnsi="Calibri" w:cs="Calibri"/>
                <w:color w:val="000000"/>
                <w:sz w:val="22"/>
                <w:szCs w:val="22"/>
                <w:lang w:eastAsia="en-GB"/>
              </w:rPr>
              <w:t>50,283</w:t>
            </w:r>
          </w:p>
        </w:tc>
      </w:tr>
      <w:tr w:rsidR="005723E0" w:rsidRPr="005723E0" w14:paraId="22A64EC8" w14:textId="77777777" w:rsidTr="005723E0">
        <w:trPr>
          <w:trHeight w:val="290"/>
        </w:trPr>
        <w:tc>
          <w:tcPr>
            <w:tcW w:w="7100" w:type="dxa"/>
            <w:tcBorders>
              <w:top w:val="nil"/>
              <w:left w:val="single" w:sz="4" w:space="0" w:color="auto"/>
              <w:bottom w:val="nil"/>
              <w:right w:val="nil"/>
            </w:tcBorders>
            <w:shd w:val="clear" w:color="auto" w:fill="auto"/>
            <w:noWrap/>
            <w:vAlign w:val="bottom"/>
            <w:hideMark/>
          </w:tcPr>
          <w:p w14:paraId="3163ECEC" w14:textId="77777777" w:rsidR="005723E0" w:rsidRPr="005723E0" w:rsidRDefault="005723E0" w:rsidP="005723E0">
            <w:pPr>
              <w:rPr>
                <w:rFonts w:ascii="Calibri" w:hAnsi="Calibri" w:cs="Calibri"/>
                <w:color w:val="000000"/>
                <w:sz w:val="22"/>
                <w:szCs w:val="22"/>
                <w:lang w:eastAsia="en-GB"/>
              </w:rPr>
            </w:pPr>
            <w:r w:rsidRPr="005723E0">
              <w:rPr>
                <w:rFonts w:ascii="Calibri" w:hAnsi="Calibri" w:cs="Calibri"/>
                <w:color w:val="000000"/>
                <w:sz w:val="22"/>
                <w:szCs w:val="22"/>
                <w:lang w:eastAsia="en-GB"/>
              </w:rPr>
              <w:t>Non-scale fee work pending PSAA approval</w:t>
            </w:r>
          </w:p>
        </w:tc>
        <w:tc>
          <w:tcPr>
            <w:tcW w:w="1120" w:type="dxa"/>
            <w:tcBorders>
              <w:top w:val="nil"/>
              <w:left w:val="nil"/>
              <w:bottom w:val="nil"/>
              <w:right w:val="nil"/>
            </w:tcBorders>
            <w:shd w:val="clear" w:color="auto" w:fill="auto"/>
            <w:noWrap/>
            <w:vAlign w:val="bottom"/>
            <w:hideMark/>
          </w:tcPr>
          <w:p w14:paraId="6184FA17" w14:textId="77777777" w:rsidR="005723E0" w:rsidRPr="005723E0" w:rsidRDefault="005723E0" w:rsidP="005723E0">
            <w:pPr>
              <w:jc w:val="right"/>
              <w:rPr>
                <w:rFonts w:ascii="Calibri" w:hAnsi="Calibri" w:cs="Calibri"/>
                <w:color w:val="000000"/>
                <w:sz w:val="22"/>
                <w:szCs w:val="22"/>
                <w:lang w:eastAsia="en-GB"/>
              </w:rPr>
            </w:pPr>
            <w:r w:rsidRPr="005723E0">
              <w:rPr>
                <w:rFonts w:ascii="Calibri" w:hAnsi="Calibri" w:cs="Calibri"/>
                <w:color w:val="000000"/>
                <w:sz w:val="22"/>
                <w:szCs w:val="22"/>
                <w:lang w:eastAsia="en-GB"/>
              </w:rPr>
              <w:t>7,078</w:t>
            </w:r>
          </w:p>
        </w:tc>
        <w:tc>
          <w:tcPr>
            <w:tcW w:w="960" w:type="dxa"/>
            <w:tcBorders>
              <w:top w:val="nil"/>
              <w:left w:val="nil"/>
              <w:bottom w:val="nil"/>
              <w:right w:val="single" w:sz="4" w:space="0" w:color="auto"/>
            </w:tcBorders>
            <w:shd w:val="clear" w:color="auto" w:fill="auto"/>
            <w:noWrap/>
            <w:vAlign w:val="bottom"/>
            <w:hideMark/>
          </w:tcPr>
          <w:p w14:paraId="457B34D3" w14:textId="77777777" w:rsidR="005723E0" w:rsidRPr="005723E0" w:rsidRDefault="005723E0" w:rsidP="005723E0">
            <w:pPr>
              <w:jc w:val="right"/>
              <w:rPr>
                <w:rFonts w:ascii="Calibri" w:hAnsi="Calibri" w:cs="Calibri"/>
                <w:color w:val="000000"/>
                <w:sz w:val="22"/>
                <w:szCs w:val="22"/>
                <w:lang w:eastAsia="en-GB"/>
              </w:rPr>
            </w:pPr>
            <w:r w:rsidRPr="005723E0">
              <w:rPr>
                <w:rFonts w:ascii="Calibri" w:hAnsi="Calibri" w:cs="Calibri"/>
                <w:color w:val="000000"/>
                <w:sz w:val="22"/>
                <w:szCs w:val="22"/>
                <w:lang w:eastAsia="en-GB"/>
              </w:rPr>
              <w:t>2,510</w:t>
            </w:r>
          </w:p>
        </w:tc>
      </w:tr>
      <w:tr w:rsidR="005723E0" w:rsidRPr="005723E0" w14:paraId="3B228F0A" w14:textId="77777777" w:rsidTr="005723E0">
        <w:trPr>
          <w:trHeight w:val="290"/>
        </w:trPr>
        <w:tc>
          <w:tcPr>
            <w:tcW w:w="7100" w:type="dxa"/>
            <w:tcBorders>
              <w:top w:val="nil"/>
              <w:left w:val="single" w:sz="4" w:space="0" w:color="auto"/>
              <w:bottom w:val="nil"/>
              <w:right w:val="nil"/>
            </w:tcBorders>
            <w:shd w:val="clear" w:color="auto" w:fill="auto"/>
            <w:noWrap/>
            <w:vAlign w:val="bottom"/>
            <w:hideMark/>
          </w:tcPr>
          <w:p w14:paraId="6129171C" w14:textId="77777777" w:rsidR="005723E0" w:rsidRPr="005723E0" w:rsidRDefault="005723E0" w:rsidP="005723E0">
            <w:pPr>
              <w:rPr>
                <w:rFonts w:ascii="Calibri" w:hAnsi="Calibri" w:cs="Calibri"/>
                <w:color w:val="000000"/>
                <w:sz w:val="22"/>
                <w:szCs w:val="22"/>
                <w:lang w:eastAsia="en-GB"/>
              </w:rPr>
            </w:pPr>
            <w:r w:rsidRPr="005723E0">
              <w:rPr>
                <w:rFonts w:ascii="Calibri" w:hAnsi="Calibri" w:cs="Calibri"/>
                <w:color w:val="000000"/>
                <w:sz w:val="22"/>
                <w:szCs w:val="22"/>
                <w:lang w:eastAsia="en-GB"/>
              </w:rPr>
              <w:t>*Further non-scale fee work per 22/23 final ISA 260, pending PSAA approval</w:t>
            </w:r>
          </w:p>
        </w:tc>
        <w:tc>
          <w:tcPr>
            <w:tcW w:w="1120" w:type="dxa"/>
            <w:tcBorders>
              <w:top w:val="nil"/>
              <w:left w:val="nil"/>
              <w:bottom w:val="nil"/>
              <w:right w:val="nil"/>
            </w:tcBorders>
            <w:shd w:val="clear" w:color="auto" w:fill="auto"/>
            <w:noWrap/>
            <w:vAlign w:val="bottom"/>
            <w:hideMark/>
          </w:tcPr>
          <w:p w14:paraId="00687FD1" w14:textId="77777777" w:rsidR="005723E0" w:rsidRPr="005723E0" w:rsidRDefault="005723E0" w:rsidP="005723E0">
            <w:pPr>
              <w:jc w:val="right"/>
              <w:rPr>
                <w:rFonts w:ascii="Calibri" w:hAnsi="Calibri" w:cs="Calibri"/>
                <w:color w:val="000000"/>
                <w:sz w:val="22"/>
                <w:szCs w:val="22"/>
                <w:lang w:eastAsia="en-GB"/>
              </w:rPr>
            </w:pPr>
            <w:r w:rsidRPr="005723E0">
              <w:rPr>
                <w:rFonts w:ascii="Calibri" w:hAnsi="Calibri" w:cs="Calibri"/>
                <w:color w:val="000000"/>
                <w:sz w:val="22"/>
                <w:szCs w:val="22"/>
                <w:lang w:eastAsia="en-GB"/>
              </w:rPr>
              <w:t>4,000</w:t>
            </w:r>
          </w:p>
        </w:tc>
        <w:tc>
          <w:tcPr>
            <w:tcW w:w="960" w:type="dxa"/>
            <w:tcBorders>
              <w:top w:val="nil"/>
              <w:left w:val="nil"/>
              <w:bottom w:val="nil"/>
              <w:right w:val="single" w:sz="4" w:space="0" w:color="auto"/>
            </w:tcBorders>
            <w:shd w:val="clear" w:color="auto" w:fill="auto"/>
            <w:noWrap/>
            <w:vAlign w:val="bottom"/>
            <w:hideMark/>
          </w:tcPr>
          <w:p w14:paraId="43FC24F4" w14:textId="77777777" w:rsidR="005723E0" w:rsidRPr="005723E0" w:rsidRDefault="005723E0" w:rsidP="005723E0">
            <w:pPr>
              <w:rPr>
                <w:rFonts w:ascii="Calibri" w:hAnsi="Calibri" w:cs="Calibri"/>
                <w:color w:val="000000"/>
                <w:sz w:val="22"/>
                <w:szCs w:val="22"/>
                <w:lang w:eastAsia="en-GB"/>
              </w:rPr>
            </w:pPr>
            <w:r w:rsidRPr="005723E0">
              <w:rPr>
                <w:rFonts w:ascii="Calibri" w:hAnsi="Calibri" w:cs="Calibri"/>
                <w:color w:val="000000"/>
                <w:sz w:val="22"/>
                <w:szCs w:val="22"/>
                <w:lang w:eastAsia="en-GB"/>
              </w:rPr>
              <w:t> </w:t>
            </w:r>
          </w:p>
        </w:tc>
      </w:tr>
      <w:tr w:rsidR="005723E0" w:rsidRPr="005723E0" w14:paraId="0F572199" w14:textId="77777777" w:rsidTr="005723E0">
        <w:trPr>
          <w:trHeight w:val="300"/>
        </w:trPr>
        <w:tc>
          <w:tcPr>
            <w:tcW w:w="7100" w:type="dxa"/>
            <w:tcBorders>
              <w:top w:val="nil"/>
              <w:left w:val="single" w:sz="4" w:space="0" w:color="auto"/>
              <w:bottom w:val="nil"/>
              <w:right w:val="nil"/>
            </w:tcBorders>
            <w:shd w:val="clear" w:color="auto" w:fill="auto"/>
            <w:noWrap/>
            <w:vAlign w:val="bottom"/>
            <w:hideMark/>
          </w:tcPr>
          <w:p w14:paraId="37D65829" w14:textId="77777777" w:rsidR="005723E0" w:rsidRPr="005723E0" w:rsidRDefault="005723E0" w:rsidP="005723E0">
            <w:pPr>
              <w:rPr>
                <w:rFonts w:ascii="Calibri" w:hAnsi="Calibri" w:cs="Calibri"/>
                <w:color w:val="000000"/>
                <w:sz w:val="22"/>
                <w:szCs w:val="22"/>
                <w:lang w:eastAsia="en-GB"/>
              </w:rPr>
            </w:pPr>
            <w:r w:rsidRPr="005723E0">
              <w:rPr>
                <w:rFonts w:ascii="Calibri" w:hAnsi="Calibri" w:cs="Calibri"/>
                <w:color w:val="000000"/>
                <w:sz w:val="22"/>
                <w:szCs w:val="22"/>
                <w:lang w:eastAsia="en-GB"/>
              </w:rPr>
              <w:t> </w:t>
            </w:r>
          </w:p>
        </w:tc>
        <w:tc>
          <w:tcPr>
            <w:tcW w:w="1120" w:type="dxa"/>
            <w:tcBorders>
              <w:top w:val="single" w:sz="4" w:space="0" w:color="auto"/>
              <w:left w:val="nil"/>
              <w:bottom w:val="double" w:sz="6" w:space="0" w:color="auto"/>
              <w:right w:val="nil"/>
            </w:tcBorders>
            <w:shd w:val="clear" w:color="auto" w:fill="auto"/>
            <w:noWrap/>
            <w:vAlign w:val="bottom"/>
            <w:hideMark/>
          </w:tcPr>
          <w:p w14:paraId="3500FB74" w14:textId="77777777" w:rsidR="005723E0" w:rsidRPr="005723E0" w:rsidRDefault="005723E0" w:rsidP="005723E0">
            <w:pPr>
              <w:jc w:val="right"/>
              <w:rPr>
                <w:rFonts w:ascii="Calibri" w:hAnsi="Calibri" w:cs="Calibri"/>
                <w:color w:val="000000"/>
                <w:sz w:val="22"/>
                <w:szCs w:val="22"/>
                <w:lang w:eastAsia="en-GB"/>
              </w:rPr>
            </w:pPr>
            <w:r w:rsidRPr="005723E0">
              <w:rPr>
                <w:rFonts w:ascii="Calibri" w:hAnsi="Calibri" w:cs="Calibri"/>
                <w:color w:val="000000"/>
                <w:sz w:val="22"/>
                <w:szCs w:val="22"/>
                <w:lang w:eastAsia="en-GB"/>
              </w:rPr>
              <w:t>27,361</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14:paraId="01BB73D3" w14:textId="77777777" w:rsidR="005723E0" w:rsidRPr="005723E0" w:rsidRDefault="005723E0" w:rsidP="005723E0">
            <w:pPr>
              <w:jc w:val="right"/>
              <w:rPr>
                <w:rFonts w:ascii="Calibri" w:hAnsi="Calibri" w:cs="Calibri"/>
                <w:color w:val="000000"/>
                <w:sz w:val="22"/>
                <w:szCs w:val="22"/>
                <w:lang w:eastAsia="en-GB"/>
              </w:rPr>
            </w:pPr>
            <w:r w:rsidRPr="005723E0">
              <w:rPr>
                <w:rFonts w:ascii="Calibri" w:hAnsi="Calibri" w:cs="Calibri"/>
                <w:color w:val="000000"/>
                <w:sz w:val="22"/>
                <w:szCs w:val="22"/>
                <w:lang w:eastAsia="en-GB"/>
              </w:rPr>
              <w:t>52,793</w:t>
            </w:r>
          </w:p>
        </w:tc>
      </w:tr>
      <w:tr w:rsidR="005723E0" w:rsidRPr="005723E0" w14:paraId="299C26C5" w14:textId="77777777" w:rsidTr="005723E0">
        <w:trPr>
          <w:trHeight w:val="300"/>
        </w:trPr>
        <w:tc>
          <w:tcPr>
            <w:tcW w:w="7100" w:type="dxa"/>
            <w:tcBorders>
              <w:top w:val="nil"/>
              <w:left w:val="single" w:sz="4" w:space="0" w:color="auto"/>
              <w:bottom w:val="single" w:sz="4" w:space="0" w:color="auto"/>
              <w:right w:val="nil"/>
            </w:tcBorders>
            <w:shd w:val="clear" w:color="auto" w:fill="auto"/>
            <w:noWrap/>
            <w:vAlign w:val="bottom"/>
            <w:hideMark/>
          </w:tcPr>
          <w:p w14:paraId="1CB0AA0D" w14:textId="77777777" w:rsidR="005723E0" w:rsidRPr="005723E0" w:rsidRDefault="005723E0" w:rsidP="005723E0">
            <w:pPr>
              <w:rPr>
                <w:rFonts w:ascii="Calibri" w:hAnsi="Calibri" w:cs="Calibri"/>
                <w:color w:val="000000"/>
                <w:sz w:val="22"/>
                <w:szCs w:val="22"/>
                <w:lang w:eastAsia="en-GB"/>
              </w:rPr>
            </w:pPr>
            <w:r w:rsidRPr="005723E0">
              <w:rPr>
                <w:rFonts w:ascii="Calibri" w:hAnsi="Calibri" w:cs="Calibri"/>
                <w:color w:val="000000"/>
                <w:sz w:val="22"/>
                <w:szCs w:val="22"/>
                <w:lang w:eastAsia="en-GB"/>
              </w:rPr>
              <w:t> </w:t>
            </w:r>
          </w:p>
        </w:tc>
        <w:tc>
          <w:tcPr>
            <w:tcW w:w="1120" w:type="dxa"/>
            <w:tcBorders>
              <w:top w:val="nil"/>
              <w:left w:val="nil"/>
              <w:bottom w:val="single" w:sz="4" w:space="0" w:color="auto"/>
              <w:right w:val="nil"/>
            </w:tcBorders>
            <w:shd w:val="clear" w:color="auto" w:fill="auto"/>
            <w:noWrap/>
            <w:vAlign w:val="bottom"/>
            <w:hideMark/>
          </w:tcPr>
          <w:p w14:paraId="4078796F" w14:textId="77777777" w:rsidR="005723E0" w:rsidRPr="005723E0" w:rsidRDefault="005723E0" w:rsidP="005723E0">
            <w:pPr>
              <w:rPr>
                <w:rFonts w:ascii="Calibri" w:hAnsi="Calibri" w:cs="Calibri"/>
                <w:color w:val="000000"/>
                <w:sz w:val="22"/>
                <w:szCs w:val="22"/>
                <w:lang w:eastAsia="en-GB"/>
              </w:rPr>
            </w:pPr>
            <w:r w:rsidRPr="005723E0">
              <w:rPr>
                <w:rFonts w:ascii="Calibri" w:hAnsi="Calibri" w:cs="Calibri"/>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8D76074" w14:textId="77777777" w:rsidR="005723E0" w:rsidRPr="005723E0" w:rsidRDefault="005723E0" w:rsidP="005723E0">
            <w:pPr>
              <w:rPr>
                <w:rFonts w:ascii="Calibri" w:hAnsi="Calibri" w:cs="Calibri"/>
                <w:color w:val="000000"/>
                <w:sz w:val="22"/>
                <w:szCs w:val="22"/>
                <w:lang w:eastAsia="en-GB"/>
              </w:rPr>
            </w:pPr>
            <w:r w:rsidRPr="005723E0">
              <w:rPr>
                <w:rFonts w:ascii="Calibri" w:hAnsi="Calibri" w:cs="Calibri"/>
                <w:color w:val="000000"/>
                <w:sz w:val="22"/>
                <w:szCs w:val="22"/>
                <w:lang w:eastAsia="en-GB"/>
              </w:rPr>
              <w:t> </w:t>
            </w:r>
          </w:p>
        </w:tc>
      </w:tr>
    </w:tbl>
    <w:p w14:paraId="188276BC" w14:textId="77777777" w:rsidR="005723E0" w:rsidRDefault="005723E0" w:rsidP="005723E0">
      <w:pPr>
        <w:rPr>
          <w:lang w:eastAsia="en-GB"/>
        </w:rPr>
      </w:pPr>
    </w:p>
    <w:p w14:paraId="65381BBA" w14:textId="5371DC6F" w:rsidR="00B15A61" w:rsidRDefault="00317745" w:rsidP="0070459C">
      <w:pPr>
        <w:rPr>
          <w:lang w:eastAsia="en-GB"/>
        </w:rPr>
      </w:pPr>
      <w:bookmarkStart w:id="266" w:name="_MON_1401538981"/>
      <w:bookmarkStart w:id="267" w:name="_MON_1429555017"/>
      <w:bookmarkStart w:id="268" w:name="_MON_1361874056"/>
      <w:bookmarkStart w:id="269" w:name="_MON_1361874146"/>
      <w:bookmarkStart w:id="270" w:name="_MON_1361874248"/>
      <w:bookmarkStart w:id="271" w:name="_MON_1362487870"/>
      <w:bookmarkStart w:id="272" w:name="_MON_1362487901"/>
      <w:bookmarkStart w:id="273" w:name="_MON_1362487923"/>
      <w:bookmarkStart w:id="274" w:name="_MON_1362487944"/>
      <w:bookmarkStart w:id="275" w:name="_MON_1362488007"/>
      <w:bookmarkStart w:id="276" w:name="_MON_1366177859"/>
      <w:bookmarkStart w:id="277" w:name="_MON_1369553172"/>
      <w:bookmarkStart w:id="278" w:name="_MON_1369727026"/>
      <w:bookmarkStart w:id="279" w:name="_MON_1370694602"/>
      <w:bookmarkStart w:id="280" w:name="_MON_1373100504"/>
      <w:bookmarkStart w:id="281" w:name="_MON_1395560856"/>
      <w:bookmarkStart w:id="282" w:name="_MON_1395560863"/>
      <w:bookmarkStart w:id="283" w:name="_MON_1396245959"/>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317745">
        <w:rPr>
          <w:lang w:eastAsia="en-GB"/>
        </w:rPr>
        <w:t>Due to the timing of audit work, some element of the fees relating to 202</w:t>
      </w:r>
      <w:r w:rsidR="005723E0">
        <w:rPr>
          <w:lang w:eastAsia="en-GB"/>
        </w:rPr>
        <w:t>2</w:t>
      </w:r>
      <w:r w:rsidRPr="00317745">
        <w:rPr>
          <w:lang w:eastAsia="en-GB"/>
        </w:rPr>
        <w:t>/2</w:t>
      </w:r>
      <w:r w:rsidR="005723E0">
        <w:rPr>
          <w:lang w:eastAsia="en-GB"/>
        </w:rPr>
        <w:t>3</w:t>
      </w:r>
      <w:r w:rsidRPr="00317745">
        <w:rPr>
          <w:lang w:eastAsia="en-GB"/>
        </w:rPr>
        <w:t xml:space="preserve"> </w:t>
      </w:r>
      <w:r w:rsidR="005723E0">
        <w:rPr>
          <w:lang w:eastAsia="en-GB"/>
        </w:rPr>
        <w:t>has been amended. Therefore the 2022/23 figures above have also been amended to include the proposed £4k additional bill for work relating to the defined benefit pension asset.</w:t>
      </w:r>
      <w:r w:rsidR="009C1D79">
        <w:rPr>
          <w:lang w:eastAsia="en-GB"/>
        </w:rPr>
        <w:t xml:space="preserve"> This is still subject to approval by the Authority and the PSAA.</w:t>
      </w:r>
    </w:p>
    <w:p w14:paraId="124DC84C" w14:textId="77777777" w:rsidR="00B15A61" w:rsidRDefault="00B15A61" w:rsidP="0070459C">
      <w:pPr>
        <w:rPr>
          <w:lang w:eastAsia="en-GB"/>
        </w:rPr>
      </w:pPr>
    </w:p>
    <w:p w14:paraId="5EF83D0B" w14:textId="0EAD6751" w:rsidR="003D262F" w:rsidRDefault="009C1D79" w:rsidP="0070459C">
      <w:pPr>
        <w:rPr>
          <w:lang w:eastAsia="en-GB"/>
        </w:rPr>
      </w:pPr>
      <w:r>
        <w:rPr>
          <w:lang w:eastAsia="en-GB"/>
        </w:rPr>
        <w:t xml:space="preserve">2023/24 is the first year of the new 5 year audit contracts awarded to Grant Thornton UK LLP through the PSAA. This process resulted in a significant increase to the underlying scale fees for all Local Authorities. </w:t>
      </w:r>
      <w:r w:rsidR="00317745">
        <w:rPr>
          <w:lang w:eastAsia="en-GB"/>
        </w:rPr>
        <w:t>It is anticipated that there will be some further work during the 202</w:t>
      </w:r>
      <w:r>
        <w:rPr>
          <w:lang w:eastAsia="en-GB"/>
        </w:rPr>
        <w:t>3</w:t>
      </w:r>
      <w:r w:rsidR="00317745">
        <w:rPr>
          <w:lang w:eastAsia="en-GB"/>
        </w:rPr>
        <w:t>/2</w:t>
      </w:r>
      <w:r>
        <w:rPr>
          <w:lang w:eastAsia="en-GB"/>
        </w:rPr>
        <w:t>4</w:t>
      </w:r>
      <w:r w:rsidR="00317745">
        <w:rPr>
          <w:lang w:eastAsia="en-GB"/>
        </w:rPr>
        <w:t xml:space="preserve"> audit for activity not covered by the</w:t>
      </w:r>
      <w:r>
        <w:rPr>
          <w:lang w:eastAsia="en-GB"/>
        </w:rPr>
        <w:t xml:space="preserve"> revised</w:t>
      </w:r>
      <w:r w:rsidR="00317745">
        <w:rPr>
          <w:lang w:eastAsia="en-GB"/>
        </w:rPr>
        <w:t xml:space="preserve"> scale fee. The estimate provided in the 202</w:t>
      </w:r>
      <w:r>
        <w:rPr>
          <w:lang w:eastAsia="en-GB"/>
        </w:rPr>
        <w:t>3</w:t>
      </w:r>
      <w:r w:rsidR="00317745">
        <w:rPr>
          <w:lang w:eastAsia="en-GB"/>
        </w:rPr>
        <w:t>/2</w:t>
      </w:r>
      <w:r>
        <w:rPr>
          <w:lang w:eastAsia="en-GB"/>
        </w:rPr>
        <w:t>4</w:t>
      </w:r>
      <w:r w:rsidR="00317745">
        <w:rPr>
          <w:lang w:eastAsia="en-GB"/>
        </w:rPr>
        <w:t xml:space="preserve"> </w:t>
      </w:r>
      <w:r>
        <w:rPr>
          <w:lang w:eastAsia="en-GB"/>
        </w:rPr>
        <w:t>audit plan is shown above</w:t>
      </w:r>
      <w:r w:rsidR="00317745">
        <w:rPr>
          <w:lang w:eastAsia="en-GB"/>
        </w:rPr>
        <w:t xml:space="preserve">. This will be subject to </w:t>
      </w:r>
      <w:r w:rsidR="00B15A61">
        <w:rPr>
          <w:lang w:eastAsia="en-GB"/>
        </w:rPr>
        <w:t xml:space="preserve">confirmation of the final amounts on completion of the audit and </w:t>
      </w:r>
      <w:r w:rsidR="00317745">
        <w:rPr>
          <w:lang w:eastAsia="en-GB"/>
        </w:rPr>
        <w:t>the PSAA fee variation process.</w:t>
      </w:r>
      <w:r w:rsidR="003D262F">
        <w:rPr>
          <w:lang w:eastAsia="en-GB"/>
        </w:rPr>
        <w:t xml:space="preserve"> </w:t>
      </w:r>
    </w:p>
    <w:p w14:paraId="733B3D5F" w14:textId="77777777" w:rsidR="003D262F" w:rsidRDefault="003D262F" w:rsidP="0070459C">
      <w:pPr>
        <w:rPr>
          <w:lang w:eastAsia="en-GB"/>
        </w:rPr>
      </w:pPr>
    </w:p>
    <w:p w14:paraId="370D4B6A" w14:textId="25C6EB51" w:rsidR="008E4779" w:rsidRPr="00317745" w:rsidRDefault="003D262F" w:rsidP="0070459C">
      <w:pPr>
        <w:rPr>
          <w:lang w:eastAsia="en-GB"/>
        </w:rPr>
      </w:pPr>
      <w:r>
        <w:rPr>
          <w:lang w:eastAsia="en-GB"/>
        </w:rPr>
        <w:t>No non-audit services were provided.</w:t>
      </w:r>
    </w:p>
    <w:p w14:paraId="5EE129EC" w14:textId="77777777" w:rsidR="00317745" w:rsidRPr="004D5CA8" w:rsidRDefault="00317745" w:rsidP="0070459C">
      <w:pPr>
        <w:rPr>
          <w:highlight w:val="yellow"/>
          <w:lang w:eastAsia="en-GB"/>
        </w:rPr>
      </w:pPr>
    </w:p>
    <w:p w14:paraId="485A47B5" w14:textId="27C4C962" w:rsidR="00E00863" w:rsidRPr="00154305" w:rsidRDefault="00E00863" w:rsidP="0070459C">
      <w:pPr>
        <w:pStyle w:val="Subtitle"/>
        <w:numPr>
          <w:ilvl w:val="0"/>
          <w:numId w:val="47"/>
        </w:numPr>
        <w:tabs>
          <w:tab w:val="left" w:pos="-709"/>
          <w:tab w:val="left" w:pos="-284"/>
          <w:tab w:val="left" w:pos="-142"/>
          <w:tab w:val="left" w:pos="0"/>
          <w:tab w:val="left" w:pos="567"/>
        </w:tabs>
        <w:spacing w:line="240" w:lineRule="atLeast"/>
        <w:ind w:left="0" w:right="680" w:firstLine="0"/>
        <w:rPr>
          <w:rFonts w:ascii="Arial" w:hAnsi="Arial" w:cs="Arial"/>
          <w:b/>
          <w:i w:val="0"/>
          <w:sz w:val="23"/>
          <w:szCs w:val="23"/>
          <w:u w:val="none"/>
        </w:rPr>
      </w:pPr>
      <w:bookmarkStart w:id="284" w:name="_Toc167965811"/>
      <w:r w:rsidRPr="00154305">
        <w:rPr>
          <w:rStyle w:val="Heading2Char"/>
          <w:i w:val="0"/>
          <w:iCs w:val="0"/>
          <w:u w:val="none"/>
        </w:rPr>
        <w:t>Property, Plant and Equipment</w:t>
      </w:r>
      <w:bookmarkEnd w:id="284"/>
    </w:p>
    <w:p w14:paraId="485A47B6" w14:textId="77777777" w:rsidR="00E00863" w:rsidRPr="00DC733E" w:rsidRDefault="00E00863" w:rsidP="0070459C">
      <w:pPr>
        <w:pStyle w:val="Subtitle"/>
      </w:pPr>
    </w:p>
    <w:p w14:paraId="485A47B7" w14:textId="26F83637" w:rsidR="006E6BD8" w:rsidRDefault="00E00863" w:rsidP="0070459C">
      <w:pPr>
        <w:pStyle w:val="Subtitle"/>
        <w:tabs>
          <w:tab w:val="left" w:pos="567"/>
        </w:tabs>
        <w:rPr>
          <w:rFonts w:ascii="Arial" w:hAnsi="Arial"/>
          <w:i w:val="0"/>
          <w:iCs w:val="0"/>
          <w:spacing w:val="0"/>
          <w:sz w:val="22"/>
          <w:szCs w:val="20"/>
          <w:u w:val="none"/>
        </w:rPr>
      </w:pPr>
      <w:r w:rsidRPr="00DC733E">
        <w:rPr>
          <w:rFonts w:ascii="Arial" w:hAnsi="Arial"/>
          <w:i w:val="0"/>
          <w:iCs w:val="0"/>
          <w:spacing w:val="0"/>
          <w:sz w:val="22"/>
          <w:szCs w:val="20"/>
          <w:u w:val="none"/>
        </w:rPr>
        <w:t xml:space="preserve">The table below sets out the </w:t>
      </w:r>
      <w:r w:rsidR="00731540" w:rsidRPr="00DC733E">
        <w:rPr>
          <w:rFonts w:ascii="Arial" w:hAnsi="Arial"/>
          <w:i w:val="0"/>
          <w:iCs w:val="0"/>
          <w:spacing w:val="0"/>
          <w:sz w:val="22"/>
          <w:szCs w:val="20"/>
          <w:u w:val="none"/>
        </w:rPr>
        <w:t>balances</w:t>
      </w:r>
      <w:r w:rsidRPr="00DC733E">
        <w:rPr>
          <w:rFonts w:ascii="Arial" w:hAnsi="Arial"/>
          <w:i w:val="0"/>
          <w:iCs w:val="0"/>
          <w:spacing w:val="0"/>
          <w:sz w:val="22"/>
          <w:szCs w:val="20"/>
          <w:u w:val="none"/>
        </w:rPr>
        <w:t xml:space="preserve"> relating to Property, Plant and Equipment in </w:t>
      </w:r>
      <w:r w:rsidR="00627253" w:rsidRPr="00DC733E">
        <w:rPr>
          <w:rFonts w:ascii="Arial" w:hAnsi="Arial"/>
          <w:i w:val="0"/>
          <w:iCs w:val="0"/>
          <w:spacing w:val="0"/>
          <w:sz w:val="22"/>
          <w:szCs w:val="20"/>
          <w:u w:val="none"/>
        </w:rPr>
        <w:t>20</w:t>
      </w:r>
      <w:r w:rsidR="00DE33FB" w:rsidRPr="00DC733E">
        <w:rPr>
          <w:rFonts w:ascii="Arial" w:hAnsi="Arial"/>
          <w:i w:val="0"/>
          <w:iCs w:val="0"/>
          <w:spacing w:val="0"/>
          <w:sz w:val="22"/>
          <w:szCs w:val="20"/>
          <w:u w:val="none"/>
        </w:rPr>
        <w:t>2</w:t>
      </w:r>
      <w:r w:rsidR="006A7B7A">
        <w:rPr>
          <w:rFonts w:ascii="Arial" w:hAnsi="Arial"/>
          <w:i w:val="0"/>
          <w:iCs w:val="0"/>
          <w:spacing w:val="0"/>
          <w:sz w:val="22"/>
          <w:szCs w:val="20"/>
          <w:u w:val="none"/>
        </w:rPr>
        <w:t>3</w:t>
      </w:r>
      <w:r w:rsidR="00627253" w:rsidRPr="00DC733E">
        <w:rPr>
          <w:rFonts w:ascii="Arial" w:hAnsi="Arial"/>
          <w:i w:val="0"/>
          <w:iCs w:val="0"/>
          <w:spacing w:val="0"/>
          <w:sz w:val="22"/>
          <w:szCs w:val="20"/>
          <w:u w:val="none"/>
        </w:rPr>
        <w:t>/</w:t>
      </w:r>
      <w:r w:rsidR="009C1237" w:rsidRPr="00DC733E">
        <w:rPr>
          <w:rFonts w:ascii="Arial" w:hAnsi="Arial"/>
          <w:i w:val="0"/>
          <w:iCs w:val="0"/>
          <w:spacing w:val="0"/>
          <w:sz w:val="22"/>
          <w:szCs w:val="20"/>
          <w:u w:val="none"/>
        </w:rPr>
        <w:t>2</w:t>
      </w:r>
      <w:r w:rsidR="006A7B7A">
        <w:rPr>
          <w:rFonts w:ascii="Arial" w:hAnsi="Arial"/>
          <w:i w:val="0"/>
          <w:iCs w:val="0"/>
          <w:spacing w:val="0"/>
          <w:sz w:val="22"/>
          <w:szCs w:val="20"/>
          <w:u w:val="none"/>
        </w:rPr>
        <w:t>4</w:t>
      </w:r>
      <w:r w:rsidR="00AF67EC" w:rsidRPr="00DC733E">
        <w:rPr>
          <w:rFonts w:ascii="Arial" w:hAnsi="Arial"/>
          <w:i w:val="0"/>
          <w:iCs w:val="0"/>
          <w:spacing w:val="0"/>
          <w:sz w:val="22"/>
          <w:szCs w:val="20"/>
          <w:u w:val="none"/>
        </w:rPr>
        <w:t>.</w:t>
      </w:r>
    </w:p>
    <w:p w14:paraId="58C3D511" w14:textId="55CAB6D6" w:rsidR="00B970A1" w:rsidRPr="00B970A1" w:rsidRDefault="00B970A1" w:rsidP="00B970A1">
      <w:pPr>
        <w:rPr>
          <w:lang w:eastAsia="en-GB"/>
        </w:rPr>
      </w:pPr>
    </w:p>
    <w:p w14:paraId="55AAD8B4" w14:textId="343736A3" w:rsidR="00CD78A9" w:rsidRDefault="005F3372" w:rsidP="0070459C">
      <w:pPr>
        <w:rPr>
          <w:lang w:eastAsia="en-GB"/>
        </w:rPr>
      </w:pPr>
      <w:r w:rsidRPr="005F3372">
        <w:rPr>
          <w:noProof/>
        </w:rPr>
        <w:drawing>
          <wp:inline distT="0" distB="0" distL="0" distR="0" wp14:anchorId="11A1A0FF" wp14:editId="2C6EC310">
            <wp:extent cx="6120765" cy="3449955"/>
            <wp:effectExtent l="0" t="0" r="0" b="0"/>
            <wp:docPr id="923738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3449955"/>
                    </a:xfrm>
                    <a:prstGeom prst="rect">
                      <a:avLst/>
                    </a:prstGeom>
                    <a:noFill/>
                    <a:ln>
                      <a:noFill/>
                    </a:ln>
                  </pic:spPr>
                </pic:pic>
              </a:graphicData>
            </a:graphic>
          </wp:inline>
        </w:drawing>
      </w:r>
    </w:p>
    <w:p w14:paraId="71E1E0EB" w14:textId="22F44540" w:rsidR="00CD78A9" w:rsidRPr="00CD78A9" w:rsidRDefault="00CD78A9" w:rsidP="0070459C">
      <w:pPr>
        <w:rPr>
          <w:lang w:eastAsia="en-GB"/>
        </w:rPr>
      </w:pPr>
    </w:p>
    <w:p w14:paraId="235A9F2E" w14:textId="77777777" w:rsidR="00B970A1" w:rsidRDefault="00B970A1" w:rsidP="00B970A1">
      <w:pPr>
        <w:rPr>
          <w:sz w:val="22"/>
          <w:szCs w:val="22"/>
          <w:lang w:eastAsia="en-GB"/>
        </w:rPr>
      </w:pPr>
      <w:r w:rsidRPr="00DC733E">
        <w:rPr>
          <w:sz w:val="22"/>
          <w:szCs w:val="22"/>
          <w:lang w:eastAsia="en-GB"/>
        </w:rPr>
        <w:t xml:space="preserve">All assets were owned at the balance sheet date. </w:t>
      </w:r>
    </w:p>
    <w:p w14:paraId="289BE073" w14:textId="77777777" w:rsidR="00B970A1" w:rsidRPr="00DC733E" w:rsidRDefault="00B970A1" w:rsidP="00B970A1">
      <w:pPr>
        <w:rPr>
          <w:sz w:val="22"/>
          <w:szCs w:val="22"/>
          <w:lang w:eastAsia="en-GB"/>
        </w:rPr>
      </w:pPr>
    </w:p>
    <w:p w14:paraId="485A47BA" w14:textId="14163DCD" w:rsidR="00502979" w:rsidRPr="002A6617" w:rsidRDefault="00B970A1" w:rsidP="0070459C">
      <w:pPr>
        <w:rPr>
          <w:sz w:val="22"/>
          <w:szCs w:val="22"/>
        </w:rPr>
      </w:pPr>
      <w:r w:rsidRPr="002A6617">
        <w:rPr>
          <w:sz w:val="22"/>
          <w:szCs w:val="22"/>
        </w:rPr>
        <w:t>A £320k PPA has been processed in 2022/23. This relates to an error identified in relation to a car parking valuation – further information can be found in Note 32</w:t>
      </w:r>
      <w:r w:rsidR="002A6617" w:rsidRPr="002A6617">
        <w:rPr>
          <w:sz w:val="22"/>
          <w:szCs w:val="22"/>
        </w:rPr>
        <w:t xml:space="preserve">. </w:t>
      </w:r>
      <w:r w:rsidR="003353EA" w:rsidRPr="002A6617">
        <w:rPr>
          <w:sz w:val="22"/>
          <w:szCs w:val="22"/>
          <w:lang w:eastAsia="en-GB"/>
        </w:rPr>
        <w:t xml:space="preserve">The </w:t>
      </w:r>
      <w:r w:rsidR="00502979" w:rsidRPr="002A6617">
        <w:rPr>
          <w:sz w:val="22"/>
          <w:szCs w:val="22"/>
          <w:lang w:eastAsia="en-GB"/>
        </w:rPr>
        <w:t>comparative movements in 20</w:t>
      </w:r>
      <w:r w:rsidR="00731540" w:rsidRPr="002A6617">
        <w:rPr>
          <w:sz w:val="22"/>
          <w:szCs w:val="22"/>
          <w:lang w:eastAsia="en-GB"/>
        </w:rPr>
        <w:t>2</w:t>
      </w:r>
      <w:r w:rsidR="006A7B7A" w:rsidRPr="002A6617">
        <w:rPr>
          <w:sz w:val="22"/>
          <w:szCs w:val="22"/>
          <w:lang w:eastAsia="en-GB"/>
        </w:rPr>
        <w:t>2</w:t>
      </w:r>
      <w:r w:rsidR="00627253" w:rsidRPr="002A6617">
        <w:rPr>
          <w:sz w:val="22"/>
          <w:szCs w:val="22"/>
          <w:lang w:eastAsia="en-GB"/>
        </w:rPr>
        <w:t>/</w:t>
      </w:r>
      <w:r w:rsidR="00A373B2" w:rsidRPr="002A6617">
        <w:rPr>
          <w:sz w:val="22"/>
          <w:szCs w:val="22"/>
          <w:lang w:eastAsia="en-GB"/>
        </w:rPr>
        <w:t>2</w:t>
      </w:r>
      <w:r w:rsidR="006A7B7A" w:rsidRPr="002A6617">
        <w:rPr>
          <w:sz w:val="22"/>
          <w:szCs w:val="22"/>
          <w:lang w:eastAsia="en-GB"/>
        </w:rPr>
        <w:t>3</w:t>
      </w:r>
      <w:r w:rsidR="00502979" w:rsidRPr="002A6617">
        <w:rPr>
          <w:sz w:val="22"/>
          <w:szCs w:val="22"/>
          <w:lang w:eastAsia="en-GB"/>
        </w:rPr>
        <w:t xml:space="preserve"> shown below</w:t>
      </w:r>
      <w:r w:rsidR="005F3372">
        <w:rPr>
          <w:sz w:val="22"/>
          <w:szCs w:val="22"/>
          <w:lang w:eastAsia="en-GB"/>
        </w:rPr>
        <w:t xml:space="preserve"> have been adjusted to correct this error</w:t>
      </w:r>
      <w:r w:rsidR="00502979" w:rsidRPr="002A6617">
        <w:rPr>
          <w:sz w:val="22"/>
          <w:szCs w:val="22"/>
          <w:lang w:eastAsia="en-GB"/>
        </w:rPr>
        <w:t>:</w:t>
      </w:r>
    </w:p>
    <w:p w14:paraId="38A7E41E" w14:textId="6155520B" w:rsidR="002A6617" w:rsidRPr="00DC733E" w:rsidRDefault="005F3372" w:rsidP="0070459C">
      <w:pPr>
        <w:rPr>
          <w:sz w:val="22"/>
          <w:szCs w:val="22"/>
          <w:lang w:eastAsia="en-GB"/>
        </w:rPr>
      </w:pPr>
      <w:r w:rsidRPr="005F3372">
        <w:rPr>
          <w:noProof/>
        </w:rPr>
        <w:drawing>
          <wp:inline distT="0" distB="0" distL="0" distR="0" wp14:anchorId="73E591C4" wp14:editId="67DF954B">
            <wp:extent cx="6120765" cy="3363595"/>
            <wp:effectExtent l="0" t="0" r="0" b="8255"/>
            <wp:docPr id="6457237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3363595"/>
                    </a:xfrm>
                    <a:prstGeom prst="rect">
                      <a:avLst/>
                    </a:prstGeom>
                    <a:noFill/>
                    <a:ln>
                      <a:noFill/>
                    </a:ln>
                  </pic:spPr>
                </pic:pic>
              </a:graphicData>
            </a:graphic>
          </wp:inline>
        </w:drawing>
      </w:r>
    </w:p>
    <w:p w14:paraId="15FE0159" w14:textId="344DAB5A" w:rsidR="00731540" w:rsidRPr="00DC733E" w:rsidRDefault="00731540" w:rsidP="0070459C">
      <w:pPr>
        <w:rPr>
          <w:sz w:val="22"/>
          <w:szCs w:val="22"/>
          <w:lang w:eastAsia="en-GB"/>
        </w:rPr>
      </w:pPr>
    </w:p>
    <w:p w14:paraId="485A47BB" w14:textId="30518759" w:rsidR="00C542F5" w:rsidRPr="00DC733E" w:rsidRDefault="00C542F5" w:rsidP="0070459C">
      <w:pPr>
        <w:rPr>
          <w:sz w:val="22"/>
          <w:szCs w:val="22"/>
          <w:lang w:eastAsia="en-GB"/>
        </w:rPr>
      </w:pPr>
    </w:p>
    <w:p w14:paraId="65B8C6E6" w14:textId="77777777" w:rsidR="00DC733E" w:rsidRDefault="00DC733E" w:rsidP="0070459C">
      <w:pPr>
        <w:rPr>
          <w:highlight w:val="yellow"/>
          <w:lang w:eastAsia="en-GB"/>
        </w:rPr>
      </w:pPr>
      <w:bookmarkStart w:id="285" w:name="_Hlk135389709"/>
    </w:p>
    <w:p w14:paraId="485A47BD" w14:textId="2319E745" w:rsidR="00335563" w:rsidRPr="0014004D" w:rsidRDefault="00FA7F4B" w:rsidP="0070459C">
      <w:pPr>
        <w:rPr>
          <w:lang w:eastAsia="en-GB"/>
        </w:rPr>
      </w:pPr>
      <w:r w:rsidRPr="0014004D">
        <w:rPr>
          <w:lang w:eastAsia="en-GB"/>
        </w:rPr>
        <w:t>At 31 March 202</w:t>
      </w:r>
      <w:r w:rsidR="006A7B7A">
        <w:rPr>
          <w:lang w:eastAsia="en-GB"/>
        </w:rPr>
        <w:t>4</w:t>
      </w:r>
      <w:r w:rsidRPr="0014004D">
        <w:rPr>
          <w:lang w:eastAsia="en-GB"/>
        </w:rPr>
        <w:t xml:space="preserve">, the authority had entered into </w:t>
      </w:r>
      <w:r w:rsidR="006A7B7A">
        <w:rPr>
          <w:lang w:eastAsia="en-GB"/>
        </w:rPr>
        <w:t>three</w:t>
      </w:r>
      <w:r w:rsidRPr="0014004D">
        <w:rPr>
          <w:lang w:eastAsia="en-GB"/>
        </w:rPr>
        <w:t xml:space="preserve"> contracts </w:t>
      </w:r>
      <w:r w:rsidR="006A7B7A">
        <w:rPr>
          <w:lang w:eastAsia="en-GB"/>
        </w:rPr>
        <w:t>which form</w:t>
      </w:r>
      <w:r w:rsidRPr="0014004D">
        <w:rPr>
          <w:lang w:eastAsia="en-GB"/>
        </w:rPr>
        <w:t xml:space="preserve"> </w:t>
      </w:r>
      <w:r w:rsidR="006A7B7A">
        <w:rPr>
          <w:lang w:eastAsia="en-GB"/>
        </w:rPr>
        <w:t xml:space="preserve">part of one capital project for </w:t>
      </w:r>
      <w:r w:rsidRPr="0014004D">
        <w:rPr>
          <w:lang w:eastAsia="en-GB"/>
        </w:rPr>
        <w:t>the construction or enhancement of property, plant and equipment in 202</w:t>
      </w:r>
      <w:r w:rsidR="006A7B7A">
        <w:rPr>
          <w:lang w:eastAsia="en-GB"/>
        </w:rPr>
        <w:t>4</w:t>
      </w:r>
      <w:r w:rsidRPr="0014004D">
        <w:rPr>
          <w:lang w:eastAsia="en-GB"/>
        </w:rPr>
        <w:t>/2</w:t>
      </w:r>
      <w:r w:rsidR="006A7B7A">
        <w:rPr>
          <w:lang w:eastAsia="en-GB"/>
        </w:rPr>
        <w:t>5</w:t>
      </w:r>
      <w:r w:rsidRPr="0014004D">
        <w:rPr>
          <w:lang w:eastAsia="en-GB"/>
        </w:rPr>
        <w:t>.  These cap</w:t>
      </w:r>
      <w:r w:rsidR="00C9361A" w:rsidRPr="0014004D">
        <w:rPr>
          <w:lang w:eastAsia="en-GB"/>
        </w:rPr>
        <w:t>ital</w:t>
      </w:r>
      <w:r w:rsidRPr="0014004D">
        <w:rPr>
          <w:lang w:eastAsia="en-GB"/>
        </w:rPr>
        <w:t xml:space="preserve"> commitments are:</w:t>
      </w:r>
    </w:p>
    <w:p w14:paraId="35D23D31" w14:textId="77777777" w:rsidR="00A6322E" w:rsidRPr="0014004D" w:rsidRDefault="00A6322E" w:rsidP="0070459C">
      <w:pPr>
        <w:rPr>
          <w:lang w:eastAsia="en-GB"/>
        </w:rPr>
      </w:pPr>
    </w:p>
    <w:p w14:paraId="23816288" w14:textId="59C79888" w:rsidR="008B6E87" w:rsidRPr="0014004D" w:rsidRDefault="006A7B7A" w:rsidP="002A6617">
      <w:pPr>
        <w:jc w:val="center"/>
        <w:rPr>
          <w:lang w:eastAsia="en-GB"/>
        </w:rPr>
      </w:pPr>
      <w:r w:rsidRPr="006A7B7A">
        <w:rPr>
          <w:noProof/>
        </w:rPr>
        <w:drawing>
          <wp:inline distT="0" distB="0" distL="0" distR="0" wp14:anchorId="1819728C" wp14:editId="58A0701F">
            <wp:extent cx="3876271" cy="848564"/>
            <wp:effectExtent l="0" t="0" r="0" b="8890"/>
            <wp:docPr id="12743216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69289" cy="868927"/>
                    </a:xfrm>
                    <a:prstGeom prst="rect">
                      <a:avLst/>
                    </a:prstGeom>
                    <a:noFill/>
                    <a:ln>
                      <a:noFill/>
                    </a:ln>
                  </pic:spPr>
                </pic:pic>
              </a:graphicData>
            </a:graphic>
          </wp:inline>
        </w:drawing>
      </w:r>
    </w:p>
    <w:bookmarkEnd w:id="285"/>
    <w:p w14:paraId="63B06A8C" w14:textId="77777777" w:rsidR="008B6E87" w:rsidRDefault="008B6E87" w:rsidP="0070459C">
      <w:pPr>
        <w:rPr>
          <w:lang w:eastAsia="en-GB"/>
        </w:rPr>
      </w:pPr>
    </w:p>
    <w:p w14:paraId="0B1750BF" w14:textId="14391353" w:rsidR="00BC63DA" w:rsidRDefault="00071F55" w:rsidP="0070459C">
      <w:pPr>
        <w:rPr>
          <w:lang w:eastAsia="en-GB"/>
        </w:rPr>
      </w:pPr>
      <w:r>
        <w:rPr>
          <w:lang w:eastAsia="en-GB"/>
        </w:rPr>
        <w:t>The comparative capital commitments for 2021/22 are shown below.</w:t>
      </w:r>
    </w:p>
    <w:p w14:paraId="7154B599" w14:textId="77777777" w:rsidR="002A6617" w:rsidRDefault="002A6617" w:rsidP="0070459C">
      <w:pPr>
        <w:rPr>
          <w:lang w:eastAsia="en-GB"/>
        </w:rPr>
      </w:pPr>
    </w:p>
    <w:p w14:paraId="7FC05186" w14:textId="6581217D" w:rsidR="00071F55" w:rsidRDefault="006A7B7A" w:rsidP="002A6617">
      <w:pPr>
        <w:jc w:val="center"/>
        <w:rPr>
          <w:lang w:eastAsia="en-GB"/>
        </w:rPr>
      </w:pPr>
      <w:r w:rsidRPr="006A7B7A">
        <w:rPr>
          <w:noProof/>
        </w:rPr>
        <w:drawing>
          <wp:inline distT="0" distB="0" distL="0" distR="0" wp14:anchorId="23406307" wp14:editId="56CA4054">
            <wp:extent cx="4476903" cy="2378704"/>
            <wp:effectExtent l="0" t="0" r="0" b="3175"/>
            <wp:docPr id="14778103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87907" cy="2384551"/>
                    </a:xfrm>
                    <a:prstGeom prst="rect">
                      <a:avLst/>
                    </a:prstGeom>
                    <a:noFill/>
                    <a:ln>
                      <a:noFill/>
                    </a:ln>
                  </pic:spPr>
                </pic:pic>
              </a:graphicData>
            </a:graphic>
          </wp:inline>
        </w:drawing>
      </w:r>
    </w:p>
    <w:p w14:paraId="1E5D03A0" w14:textId="77777777" w:rsidR="00FE5E6E" w:rsidRDefault="00FE5E6E" w:rsidP="002A6617">
      <w:pPr>
        <w:jc w:val="center"/>
        <w:rPr>
          <w:lang w:eastAsia="en-GB"/>
        </w:rPr>
      </w:pPr>
    </w:p>
    <w:p w14:paraId="149EF364" w14:textId="25EE9AA5" w:rsidR="00071F55" w:rsidRDefault="00071F55" w:rsidP="0070459C">
      <w:pPr>
        <w:rPr>
          <w:lang w:eastAsia="en-GB"/>
        </w:rPr>
      </w:pPr>
    </w:p>
    <w:p w14:paraId="485A47C0" w14:textId="3F841468" w:rsidR="00E00863" w:rsidRPr="006C7E96" w:rsidRDefault="00E00863" w:rsidP="0070459C">
      <w:pPr>
        <w:pStyle w:val="ListParagraph"/>
        <w:numPr>
          <w:ilvl w:val="0"/>
          <w:numId w:val="47"/>
        </w:numPr>
        <w:ind w:left="0" w:firstLine="0"/>
        <w:rPr>
          <w:b/>
          <w:iCs/>
          <w:u w:val="none"/>
        </w:rPr>
      </w:pPr>
      <w:bookmarkStart w:id="286" w:name="_Toc167965812"/>
      <w:r w:rsidRPr="006C7E96">
        <w:rPr>
          <w:rStyle w:val="Heading2Char"/>
          <w:u w:val="none"/>
        </w:rPr>
        <w:lastRenderedPageBreak/>
        <w:t>Bases of Valuation</w:t>
      </w:r>
      <w:bookmarkEnd w:id="286"/>
    </w:p>
    <w:p w14:paraId="485A47C1" w14:textId="77777777" w:rsidR="00E00863" w:rsidRPr="006E29E8" w:rsidRDefault="00BC3737" w:rsidP="0070459C">
      <w:r w:rsidRPr="006E29E8">
        <w:tab/>
      </w:r>
    </w:p>
    <w:p w14:paraId="485A47C2" w14:textId="77777777" w:rsidR="00E00863" w:rsidRPr="006E29E8" w:rsidRDefault="00E00863" w:rsidP="0070459C">
      <w:pPr>
        <w:pStyle w:val="Subtitle"/>
        <w:tabs>
          <w:tab w:val="left" w:pos="567"/>
        </w:tabs>
        <w:rPr>
          <w:rFonts w:ascii="Arial" w:hAnsi="Arial"/>
          <w:i w:val="0"/>
          <w:iCs w:val="0"/>
          <w:spacing w:val="0"/>
          <w:sz w:val="23"/>
          <w:szCs w:val="23"/>
          <w:u w:val="none"/>
        </w:rPr>
      </w:pPr>
      <w:r w:rsidRPr="006E29E8">
        <w:rPr>
          <w:rFonts w:ascii="Arial" w:hAnsi="Arial"/>
          <w:i w:val="0"/>
          <w:iCs w:val="0"/>
          <w:spacing w:val="0"/>
          <w:sz w:val="23"/>
          <w:szCs w:val="23"/>
          <w:u w:val="none"/>
        </w:rPr>
        <w:t>From 1 April 1994 all of the Authority’s fixed assets have been valued on the basis recommended by CIPFA and in accordance with the Statement of Asset Valuation Principles and Guidance Notes issued by the Royal Institution of Chartered Surveyors (RICS).</w:t>
      </w:r>
      <w:r w:rsidR="00D95903" w:rsidRPr="006E29E8">
        <w:rPr>
          <w:rFonts w:ascii="Arial" w:hAnsi="Arial"/>
          <w:i w:val="0"/>
          <w:iCs w:val="0"/>
          <w:spacing w:val="0"/>
          <w:sz w:val="23"/>
          <w:szCs w:val="23"/>
          <w:u w:val="none"/>
        </w:rPr>
        <w:t xml:space="preserve"> </w:t>
      </w:r>
      <w:r w:rsidRPr="006E29E8">
        <w:rPr>
          <w:rFonts w:ascii="Arial" w:hAnsi="Arial"/>
          <w:i w:val="0"/>
          <w:iCs w:val="0"/>
          <w:spacing w:val="0"/>
          <w:sz w:val="23"/>
          <w:szCs w:val="23"/>
          <w:u w:val="none"/>
        </w:rPr>
        <w:t>Details of the valuation bases applied are set out in</w:t>
      </w:r>
      <w:r w:rsidR="00C33ED6" w:rsidRPr="006E29E8">
        <w:rPr>
          <w:rFonts w:ascii="Arial" w:hAnsi="Arial"/>
          <w:i w:val="0"/>
          <w:iCs w:val="0"/>
          <w:spacing w:val="0"/>
          <w:sz w:val="23"/>
          <w:szCs w:val="23"/>
          <w:u w:val="none"/>
        </w:rPr>
        <w:t xml:space="preserve"> the </w:t>
      </w:r>
      <w:r w:rsidRPr="006E29E8">
        <w:rPr>
          <w:rFonts w:ascii="Arial" w:hAnsi="Arial"/>
          <w:i w:val="0"/>
          <w:iCs w:val="0"/>
          <w:spacing w:val="0"/>
          <w:sz w:val="23"/>
          <w:szCs w:val="23"/>
          <w:u w:val="none"/>
        </w:rPr>
        <w:t>Statement of Accounting Policies.</w:t>
      </w:r>
    </w:p>
    <w:p w14:paraId="485A47C3" w14:textId="77777777" w:rsidR="00E00863" w:rsidRPr="006E29E8" w:rsidRDefault="00E00863" w:rsidP="0070459C">
      <w:pPr>
        <w:pStyle w:val="Subtitle"/>
        <w:tabs>
          <w:tab w:val="left" w:pos="567"/>
        </w:tabs>
        <w:rPr>
          <w:rFonts w:ascii="Arial" w:hAnsi="Arial"/>
          <w:i w:val="0"/>
          <w:iCs w:val="0"/>
          <w:spacing w:val="0"/>
          <w:sz w:val="23"/>
          <w:szCs w:val="23"/>
          <w:u w:val="none"/>
        </w:rPr>
      </w:pPr>
    </w:p>
    <w:p w14:paraId="485A47C4" w14:textId="306E08B8" w:rsidR="005D569B" w:rsidRDefault="004472DD" w:rsidP="0070459C">
      <w:pPr>
        <w:pStyle w:val="Subtitle"/>
        <w:tabs>
          <w:tab w:val="left" w:pos="567"/>
        </w:tabs>
        <w:rPr>
          <w:rFonts w:ascii="Arial" w:hAnsi="Arial" w:cs="Arial"/>
          <w:i w:val="0"/>
          <w:iCs w:val="0"/>
          <w:spacing w:val="0"/>
          <w:sz w:val="23"/>
          <w:szCs w:val="23"/>
          <w:u w:val="none"/>
        </w:rPr>
      </w:pPr>
      <w:r w:rsidRPr="006E29E8">
        <w:rPr>
          <w:rFonts w:ascii="Arial" w:hAnsi="Arial" w:cs="Arial"/>
          <w:i w:val="0"/>
          <w:iCs w:val="0"/>
          <w:spacing w:val="0"/>
          <w:sz w:val="23"/>
          <w:szCs w:val="23"/>
          <w:u w:val="none"/>
        </w:rPr>
        <w:t>Valuations on h</w:t>
      </w:r>
      <w:r w:rsidR="00793B23" w:rsidRPr="006E29E8">
        <w:rPr>
          <w:rFonts w:ascii="Arial" w:hAnsi="Arial" w:cs="Arial"/>
          <w:i w:val="0"/>
          <w:iCs w:val="0"/>
          <w:spacing w:val="0"/>
          <w:sz w:val="23"/>
          <w:szCs w:val="23"/>
          <w:u w:val="none"/>
        </w:rPr>
        <w:t xml:space="preserve">igh value assets are </w:t>
      </w:r>
      <w:r w:rsidRPr="006E29E8">
        <w:rPr>
          <w:rFonts w:ascii="Arial" w:hAnsi="Arial" w:cs="Arial"/>
          <w:i w:val="0"/>
          <w:iCs w:val="0"/>
          <w:spacing w:val="0"/>
          <w:sz w:val="23"/>
          <w:szCs w:val="23"/>
          <w:u w:val="none"/>
        </w:rPr>
        <w:t>undertaken on an annual basis. V</w:t>
      </w:r>
      <w:r w:rsidR="00453270" w:rsidRPr="006E29E8">
        <w:rPr>
          <w:rFonts w:ascii="Arial" w:hAnsi="Arial" w:cs="Arial"/>
          <w:i w:val="0"/>
          <w:iCs w:val="0"/>
          <w:spacing w:val="0"/>
          <w:sz w:val="23"/>
          <w:szCs w:val="23"/>
          <w:u w:val="none"/>
        </w:rPr>
        <w:t xml:space="preserve">aluations </w:t>
      </w:r>
      <w:r w:rsidRPr="006E29E8">
        <w:rPr>
          <w:rFonts w:ascii="Arial" w:hAnsi="Arial" w:cs="Arial"/>
          <w:i w:val="0"/>
          <w:iCs w:val="0"/>
          <w:spacing w:val="0"/>
          <w:sz w:val="23"/>
          <w:szCs w:val="23"/>
          <w:u w:val="none"/>
        </w:rPr>
        <w:t xml:space="preserve">of other assets </w:t>
      </w:r>
      <w:r w:rsidR="00453270" w:rsidRPr="006E29E8">
        <w:rPr>
          <w:rFonts w:ascii="Arial" w:hAnsi="Arial" w:cs="Arial"/>
          <w:i w:val="0"/>
          <w:iCs w:val="0"/>
          <w:spacing w:val="0"/>
          <w:sz w:val="23"/>
          <w:szCs w:val="23"/>
          <w:u w:val="none"/>
        </w:rPr>
        <w:t>are carried out through</w:t>
      </w:r>
      <w:r w:rsidR="00E00863" w:rsidRPr="006E29E8">
        <w:rPr>
          <w:rFonts w:ascii="Arial" w:hAnsi="Arial" w:cs="Arial"/>
          <w:i w:val="0"/>
          <w:iCs w:val="0"/>
          <w:spacing w:val="0"/>
          <w:sz w:val="23"/>
          <w:szCs w:val="23"/>
          <w:u w:val="none"/>
        </w:rPr>
        <w:t xml:space="preserve"> a rolling five-year revaluation programme with all assets being re-value</w:t>
      </w:r>
      <w:r w:rsidR="00453270" w:rsidRPr="006E29E8">
        <w:rPr>
          <w:rFonts w:ascii="Arial" w:hAnsi="Arial" w:cs="Arial"/>
          <w:i w:val="0"/>
          <w:iCs w:val="0"/>
          <w:spacing w:val="0"/>
          <w:sz w:val="23"/>
          <w:szCs w:val="23"/>
          <w:u w:val="none"/>
        </w:rPr>
        <w:t xml:space="preserve">d at intervals of </w:t>
      </w:r>
      <w:r w:rsidR="00E00863" w:rsidRPr="006E29E8">
        <w:rPr>
          <w:rFonts w:ascii="Arial" w:hAnsi="Arial" w:cs="Arial"/>
          <w:i w:val="0"/>
          <w:iCs w:val="0"/>
          <w:spacing w:val="0"/>
          <w:sz w:val="23"/>
          <w:szCs w:val="23"/>
          <w:u w:val="none"/>
        </w:rPr>
        <w:t>five years</w:t>
      </w:r>
      <w:r w:rsidR="00453270" w:rsidRPr="006E29E8">
        <w:rPr>
          <w:rFonts w:ascii="Arial" w:hAnsi="Arial" w:cs="Arial"/>
          <w:i w:val="0"/>
          <w:iCs w:val="0"/>
          <w:spacing w:val="0"/>
          <w:sz w:val="23"/>
          <w:szCs w:val="23"/>
          <w:u w:val="none"/>
        </w:rPr>
        <w:t xml:space="preserve"> or less</w:t>
      </w:r>
      <w:r w:rsidR="00E00863" w:rsidRPr="006E29E8">
        <w:rPr>
          <w:rFonts w:ascii="Arial" w:hAnsi="Arial" w:cs="Arial"/>
          <w:i w:val="0"/>
          <w:iCs w:val="0"/>
          <w:spacing w:val="0"/>
          <w:sz w:val="23"/>
          <w:szCs w:val="23"/>
          <w:u w:val="none"/>
        </w:rPr>
        <w:t>.</w:t>
      </w:r>
      <w:r w:rsidR="00D95903" w:rsidRPr="006E29E8">
        <w:rPr>
          <w:rFonts w:ascii="Arial" w:hAnsi="Arial" w:cs="Arial"/>
          <w:i w:val="0"/>
          <w:iCs w:val="0"/>
          <w:spacing w:val="0"/>
          <w:sz w:val="23"/>
          <w:szCs w:val="23"/>
          <w:u w:val="none"/>
        </w:rPr>
        <w:t xml:space="preserve"> </w:t>
      </w:r>
      <w:r w:rsidR="005D569B" w:rsidRPr="006E29E8">
        <w:rPr>
          <w:rFonts w:ascii="Arial" w:hAnsi="Arial" w:cs="Arial"/>
          <w:i w:val="0"/>
          <w:iCs w:val="0"/>
          <w:spacing w:val="0"/>
          <w:sz w:val="23"/>
          <w:szCs w:val="23"/>
          <w:u w:val="none"/>
        </w:rPr>
        <w:t xml:space="preserve">The </w:t>
      </w:r>
      <w:r w:rsidR="007348DF" w:rsidRPr="006E29E8">
        <w:rPr>
          <w:rFonts w:ascii="Arial" w:hAnsi="Arial" w:cs="Arial"/>
          <w:i w:val="0"/>
          <w:iCs w:val="0"/>
          <w:spacing w:val="0"/>
          <w:sz w:val="23"/>
          <w:szCs w:val="23"/>
          <w:u w:val="none"/>
        </w:rPr>
        <w:t>20</w:t>
      </w:r>
      <w:r w:rsidR="00EF3F93" w:rsidRPr="006E29E8">
        <w:rPr>
          <w:rFonts w:ascii="Arial" w:hAnsi="Arial" w:cs="Arial"/>
          <w:i w:val="0"/>
          <w:iCs w:val="0"/>
          <w:spacing w:val="0"/>
          <w:sz w:val="23"/>
          <w:szCs w:val="23"/>
          <w:u w:val="none"/>
        </w:rPr>
        <w:t>2</w:t>
      </w:r>
      <w:r w:rsidR="006A7B7A">
        <w:rPr>
          <w:rFonts w:ascii="Arial" w:hAnsi="Arial" w:cs="Arial"/>
          <w:i w:val="0"/>
          <w:iCs w:val="0"/>
          <w:spacing w:val="0"/>
          <w:sz w:val="23"/>
          <w:szCs w:val="23"/>
          <w:u w:val="none"/>
        </w:rPr>
        <w:t>3</w:t>
      </w:r>
      <w:r w:rsidR="007348DF" w:rsidRPr="006E29E8">
        <w:rPr>
          <w:rFonts w:ascii="Arial" w:hAnsi="Arial" w:cs="Arial"/>
          <w:i w:val="0"/>
          <w:iCs w:val="0"/>
          <w:spacing w:val="0"/>
          <w:sz w:val="23"/>
          <w:szCs w:val="23"/>
          <w:u w:val="none"/>
        </w:rPr>
        <w:t>/2</w:t>
      </w:r>
      <w:r w:rsidR="006A7B7A">
        <w:rPr>
          <w:rFonts w:ascii="Arial" w:hAnsi="Arial" w:cs="Arial"/>
          <w:i w:val="0"/>
          <w:iCs w:val="0"/>
          <w:spacing w:val="0"/>
          <w:sz w:val="23"/>
          <w:szCs w:val="23"/>
          <w:u w:val="none"/>
        </w:rPr>
        <w:t>4</w:t>
      </w:r>
      <w:r w:rsidR="007348DF" w:rsidRPr="006E29E8">
        <w:rPr>
          <w:rFonts w:ascii="Arial" w:hAnsi="Arial" w:cs="Arial"/>
          <w:i w:val="0"/>
          <w:iCs w:val="0"/>
          <w:spacing w:val="0"/>
          <w:sz w:val="23"/>
          <w:szCs w:val="23"/>
          <w:u w:val="none"/>
        </w:rPr>
        <w:t xml:space="preserve"> </w:t>
      </w:r>
      <w:r w:rsidR="005D569B" w:rsidRPr="006E29E8">
        <w:rPr>
          <w:rFonts w:ascii="Arial" w:hAnsi="Arial" w:cs="Arial"/>
          <w:i w:val="0"/>
          <w:iCs w:val="0"/>
          <w:spacing w:val="0"/>
          <w:sz w:val="23"/>
          <w:szCs w:val="23"/>
          <w:u w:val="none"/>
        </w:rPr>
        <w:t xml:space="preserve">valuations </w:t>
      </w:r>
      <w:r w:rsidR="007348DF" w:rsidRPr="006E29E8">
        <w:rPr>
          <w:rFonts w:ascii="Arial" w:hAnsi="Arial" w:cs="Arial"/>
          <w:i w:val="0"/>
          <w:iCs w:val="0"/>
          <w:spacing w:val="0"/>
          <w:sz w:val="23"/>
          <w:szCs w:val="23"/>
          <w:u w:val="none"/>
        </w:rPr>
        <w:t>were</w:t>
      </w:r>
      <w:r w:rsidR="005D569B" w:rsidRPr="006E29E8">
        <w:rPr>
          <w:rFonts w:ascii="Arial" w:hAnsi="Arial" w:cs="Arial"/>
          <w:i w:val="0"/>
          <w:iCs w:val="0"/>
          <w:spacing w:val="0"/>
          <w:sz w:val="23"/>
          <w:szCs w:val="23"/>
          <w:u w:val="none"/>
        </w:rPr>
        <w:t xml:space="preserve"> carried out by </w:t>
      </w:r>
      <w:r w:rsidR="007348DF" w:rsidRPr="006E29E8">
        <w:rPr>
          <w:rFonts w:ascii="Arial" w:hAnsi="Arial" w:cs="Arial"/>
          <w:i w:val="0"/>
          <w:iCs w:val="0"/>
          <w:spacing w:val="0"/>
          <w:sz w:val="23"/>
          <w:szCs w:val="23"/>
          <w:u w:val="none"/>
        </w:rPr>
        <w:t>Mrs H Lancaster MSc MRICS of the Authority’s internal Property Service</w:t>
      </w:r>
      <w:r w:rsidR="005D569B" w:rsidRPr="006E29E8">
        <w:rPr>
          <w:rFonts w:ascii="Arial" w:hAnsi="Arial" w:cs="Arial"/>
          <w:i w:val="0"/>
          <w:iCs w:val="0"/>
          <w:spacing w:val="0"/>
          <w:sz w:val="23"/>
          <w:szCs w:val="23"/>
          <w:u w:val="none"/>
        </w:rPr>
        <w:t xml:space="preserve"> in compliance with the guidance notes provided by the Royal Institute of Chartered Surveyors. </w:t>
      </w:r>
      <w:r w:rsidR="00B7455A" w:rsidRPr="006E29E8">
        <w:rPr>
          <w:rFonts w:ascii="Arial" w:hAnsi="Arial" w:cs="Arial"/>
          <w:i w:val="0"/>
          <w:iCs w:val="0"/>
          <w:spacing w:val="0"/>
          <w:sz w:val="23"/>
          <w:szCs w:val="23"/>
          <w:u w:val="none"/>
        </w:rPr>
        <w:t>In addition to our investment properties</w:t>
      </w:r>
      <w:r w:rsidR="006E29E8" w:rsidRPr="006E29E8">
        <w:rPr>
          <w:rFonts w:ascii="Arial" w:hAnsi="Arial" w:cs="Arial"/>
          <w:i w:val="0"/>
          <w:iCs w:val="0"/>
          <w:spacing w:val="0"/>
          <w:sz w:val="23"/>
          <w:szCs w:val="23"/>
          <w:u w:val="none"/>
        </w:rPr>
        <w:t>, car parks</w:t>
      </w:r>
      <w:r w:rsidR="00B7455A" w:rsidRPr="006E29E8">
        <w:rPr>
          <w:rFonts w:ascii="Arial" w:hAnsi="Arial" w:cs="Arial"/>
          <w:i w:val="0"/>
          <w:iCs w:val="0"/>
          <w:spacing w:val="0"/>
          <w:sz w:val="23"/>
          <w:szCs w:val="23"/>
          <w:u w:val="none"/>
        </w:rPr>
        <w:t xml:space="preserve"> and major assets, which are valued annually, v</w:t>
      </w:r>
      <w:r w:rsidR="005D569B" w:rsidRPr="006E29E8">
        <w:rPr>
          <w:rFonts w:ascii="Arial" w:hAnsi="Arial" w:cs="Arial"/>
          <w:i w:val="0"/>
          <w:iCs w:val="0"/>
          <w:spacing w:val="0"/>
          <w:sz w:val="23"/>
          <w:szCs w:val="23"/>
          <w:u w:val="none"/>
        </w:rPr>
        <w:t xml:space="preserve">aluations of our different types of </w:t>
      </w:r>
      <w:r w:rsidR="00B7455A" w:rsidRPr="006E29E8">
        <w:rPr>
          <w:rFonts w:ascii="Arial" w:hAnsi="Arial" w:cs="Arial"/>
          <w:i w:val="0"/>
          <w:iCs w:val="0"/>
          <w:spacing w:val="0"/>
          <w:sz w:val="23"/>
          <w:szCs w:val="23"/>
          <w:u w:val="none"/>
        </w:rPr>
        <w:t xml:space="preserve">other </w:t>
      </w:r>
      <w:r w:rsidR="005D569B" w:rsidRPr="006E29E8">
        <w:rPr>
          <w:rFonts w:ascii="Arial" w:hAnsi="Arial" w:cs="Arial"/>
          <w:i w:val="0"/>
          <w:iCs w:val="0"/>
          <w:spacing w:val="0"/>
          <w:sz w:val="23"/>
          <w:szCs w:val="23"/>
          <w:u w:val="none"/>
        </w:rPr>
        <w:t>asset have been carried out as follows:</w:t>
      </w:r>
    </w:p>
    <w:p w14:paraId="507774E1" w14:textId="77777777" w:rsidR="006A7B7A" w:rsidRPr="006A7B7A" w:rsidRDefault="006A7B7A" w:rsidP="006A7B7A">
      <w:pPr>
        <w:rPr>
          <w:lang w:eastAsia="en-GB"/>
        </w:rPr>
      </w:pPr>
    </w:p>
    <w:p w14:paraId="621C3103" w14:textId="741893B3" w:rsidR="0080269C" w:rsidRDefault="00BC3A41" w:rsidP="0070459C">
      <w:pPr>
        <w:rPr>
          <w:lang w:eastAsia="en-GB"/>
        </w:rPr>
      </w:pPr>
      <w:r w:rsidRPr="00BC3A41">
        <w:rPr>
          <w:noProof/>
        </w:rPr>
        <w:drawing>
          <wp:inline distT="0" distB="0" distL="0" distR="0" wp14:anchorId="5272C2E6" wp14:editId="4E1AADB1">
            <wp:extent cx="6120765" cy="2032000"/>
            <wp:effectExtent l="0" t="0" r="0" b="6350"/>
            <wp:docPr id="1841450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2032000"/>
                    </a:xfrm>
                    <a:prstGeom prst="rect">
                      <a:avLst/>
                    </a:prstGeom>
                    <a:noFill/>
                    <a:ln>
                      <a:noFill/>
                    </a:ln>
                  </pic:spPr>
                </pic:pic>
              </a:graphicData>
            </a:graphic>
          </wp:inline>
        </w:drawing>
      </w:r>
    </w:p>
    <w:p w14:paraId="4F7A12AF" w14:textId="08513DE9" w:rsidR="0080269C" w:rsidRPr="0080269C" w:rsidRDefault="0080269C" w:rsidP="0070459C">
      <w:pPr>
        <w:rPr>
          <w:lang w:eastAsia="en-GB"/>
        </w:rPr>
      </w:pPr>
    </w:p>
    <w:p w14:paraId="6ECAFF73" w14:textId="2CA2F0E5" w:rsidR="00B7455A" w:rsidRDefault="00B7455A" w:rsidP="0070459C">
      <w:pPr>
        <w:pStyle w:val="ListParagraph"/>
        <w:numPr>
          <w:ilvl w:val="0"/>
          <w:numId w:val="13"/>
        </w:numPr>
        <w:ind w:left="0" w:firstLine="0"/>
        <w:rPr>
          <w:sz w:val="23"/>
          <w:szCs w:val="23"/>
          <w:u w:val="none"/>
        </w:rPr>
      </w:pPr>
      <w:r w:rsidRPr="002116F2">
        <w:rPr>
          <w:sz w:val="23"/>
          <w:szCs w:val="23"/>
          <w:u w:val="none"/>
        </w:rPr>
        <w:t>31 March 202</w:t>
      </w:r>
      <w:r w:rsidR="00BF5A2D">
        <w:rPr>
          <w:sz w:val="23"/>
          <w:szCs w:val="23"/>
          <w:u w:val="none"/>
        </w:rPr>
        <w:t>2</w:t>
      </w:r>
      <w:r w:rsidR="0080269C">
        <w:rPr>
          <w:sz w:val="23"/>
          <w:szCs w:val="23"/>
          <w:u w:val="none"/>
        </w:rPr>
        <w:t xml:space="preserve"> </w:t>
      </w:r>
      <w:r w:rsidR="00BF5A2D">
        <w:rPr>
          <w:sz w:val="23"/>
          <w:szCs w:val="23"/>
          <w:u w:val="none"/>
        </w:rPr>
        <w:t>-</w:t>
      </w:r>
      <w:r w:rsidR="0080269C">
        <w:rPr>
          <w:sz w:val="23"/>
          <w:szCs w:val="23"/>
          <w:u w:val="none"/>
        </w:rPr>
        <w:t xml:space="preserve"> Depots</w:t>
      </w:r>
    </w:p>
    <w:p w14:paraId="7861D855" w14:textId="3EF8405B" w:rsidR="00BF5A2D" w:rsidRPr="00BF5A2D" w:rsidRDefault="00BF5A2D" w:rsidP="00B66817">
      <w:pPr>
        <w:pStyle w:val="ListParagraph"/>
        <w:numPr>
          <w:ilvl w:val="0"/>
          <w:numId w:val="13"/>
        </w:numPr>
        <w:ind w:left="0" w:firstLine="0"/>
        <w:rPr>
          <w:sz w:val="23"/>
          <w:szCs w:val="23"/>
          <w:u w:val="none"/>
        </w:rPr>
      </w:pPr>
      <w:r w:rsidRPr="00BF5A2D">
        <w:rPr>
          <w:sz w:val="23"/>
          <w:szCs w:val="23"/>
          <w:u w:val="none"/>
        </w:rPr>
        <w:t>31 March 2023 – Other Land &amp; Buildings</w:t>
      </w:r>
    </w:p>
    <w:p w14:paraId="6BDBBA77" w14:textId="4F736A76" w:rsidR="006D4308" w:rsidRPr="00BF5A2D" w:rsidRDefault="0080269C" w:rsidP="00BF5A2D">
      <w:pPr>
        <w:pStyle w:val="ListParagraph"/>
        <w:numPr>
          <w:ilvl w:val="0"/>
          <w:numId w:val="13"/>
        </w:numPr>
        <w:ind w:left="709" w:hanging="709"/>
        <w:rPr>
          <w:u w:val="none"/>
        </w:rPr>
      </w:pPr>
      <w:r w:rsidRPr="00BF5A2D">
        <w:rPr>
          <w:u w:val="none"/>
        </w:rPr>
        <w:t>31 March 202</w:t>
      </w:r>
      <w:r w:rsidR="006A7B7A" w:rsidRPr="00BF5A2D">
        <w:rPr>
          <w:u w:val="none"/>
        </w:rPr>
        <w:t>4</w:t>
      </w:r>
      <w:r w:rsidRPr="00BF5A2D">
        <w:rPr>
          <w:u w:val="none"/>
        </w:rPr>
        <w:t xml:space="preserve"> - </w:t>
      </w:r>
      <w:r w:rsidR="006D4308" w:rsidRPr="00BF5A2D">
        <w:rPr>
          <w:u w:val="none"/>
        </w:rPr>
        <w:t>Brockhole, Coniston Boating Centre, Murley Moss office &amp; Northern Office</w:t>
      </w:r>
      <w:r w:rsidR="00BF5A2D" w:rsidRPr="00BF5A2D">
        <w:rPr>
          <w:u w:val="none"/>
        </w:rPr>
        <w:t>, Toilets &amp; TIC’s</w:t>
      </w:r>
    </w:p>
    <w:p w14:paraId="485A47C9" w14:textId="527EDF0C" w:rsidR="003975CB" w:rsidRPr="006E29E8" w:rsidRDefault="00A35E4A" w:rsidP="00BF5A2D">
      <w:pPr>
        <w:pStyle w:val="Subtitle"/>
        <w:numPr>
          <w:ilvl w:val="0"/>
          <w:numId w:val="13"/>
        </w:numPr>
        <w:tabs>
          <w:tab w:val="left" w:pos="709"/>
        </w:tabs>
        <w:ind w:left="709" w:hanging="709"/>
        <w:rPr>
          <w:rFonts w:ascii="Arial" w:hAnsi="Arial" w:cs="Arial"/>
          <w:bCs/>
          <w:i w:val="0"/>
          <w:spacing w:val="0"/>
          <w:sz w:val="23"/>
          <w:szCs w:val="23"/>
          <w:u w:val="none"/>
        </w:rPr>
      </w:pPr>
      <w:r w:rsidRPr="00BF5A2D">
        <w:rPr>
          <w:rFonts w:ascii="Arial" w:hAnsi="Arial" w:cs="Arial"/>
          <w:i w:val="0"/>
          <w:iCs w:val="0"/>
          <w:spacing w:val="0"/>
          <w:sz w:val="23"/>
          <w:szCs w:val="23"/>
          <w:u w:val="none"/>
        </w:rPr>
        <w:t xml:space="preserve">Our valuers </w:t>
      </w:r>
      <w:r w:rsidR="003975CB" w:rsidRPr="00BF5A2D">
        <w:rPr>
          <w:rFonts w:ascii="Arial" w:hAnsi="Arial" w:cs="Arial"/>
          <w:i w:val="0"/>
          <w:iCs w:val="0"/>
          <w:spacing w:val="0"/>
          <w:sz w:val="23"/>
          <w:szCs w:val="23"/>
          <w:u w:val="none"/>
        </w:rPr>
        <w:t>also provided a report confirming</w:t>
      </w:r>
      <w:r w:rsidR="003975CB" w:rsidRPr="006E29E8">
        <w:rPr>
          <w:rFonts w:ascii="Arial" w:hAnsi="Arial" w:cs="Arial"/>
          <w:i w:val="0"/>
          <w:iCs w:val="0"/>
          <w:spacing w:val="0"/>
          <w:sz w:val="23"/>
          <w:szCs w:val="23"/>
          <w:u w:val="none"/>
        </w:rPr>
        <w:t xml:space="preserve"> that there were no </w:t>
      </w:r>
      <w:r w:rsidRPr="006E29E8">
        <w:rPr>
          <w:rFonts w:ascii="Arial" w:hAnsi="Arial" w:cs="Arial"/>
          <w:i w:val="0"/>
          <w:iCs w:val="0"/>
          <w:spacing w:val="0"/>
          <w:sz w:val="23"/>
          <w:szCs w:val="23"/>
          <w:u w:val="none"/>
        </w:rPr>
        <w:t xml:space="preserve">other </w:t>
      </w:r>
      <w:r w:rsidR="003975CB" w:rsidRPr="006E29E8">
        <w:rPr>
          <w:rFonts w:ascii="Arial" w:hAnsi="Arial" w:cs="Arial"/>
          <w:i w:val="0"/>
          <w:iCs w:val="0"/>
          <w:spacing w:val="0"/>
          <w:sz w:val="23"/>
          <w:szCs w:val="23"/>
          <w:u w:val="none"/>
        </w:rPr>
        <w:t>changes in market conditions during 20</w:t>
      </w:r>
      <w:r w:rsidRPr="006E29E8">
        <w:rPr>
          <w:rFonts w:ascii="Arial" w:hAnsi="Arial" w:cs="Arial"/>
          <w:i w:val="0"/>
          <w:iCs w:val="0"/>
          <w:spacing w:val="0"/>
          <w:sz w:val="23"/>
          <w:szCs w:val="23"/>
          <w:u w:val="none"/>
        </w:rPr>
        <w:t>2</w:t>
      </w:r>
      <w:r w:rsidR="006A7B7A">
        <w:rPr>
          <w:rFonts w:ascii="Arial" w:hAnsi="Arial" w:cs="Arial"/>
          <w:i w:val="0"/>
          <w:iCs w:val="0"/>
          <w:spacing w:val="0"/>
          <w:sz w:val="23"/>
          <w:szCs w:val="23"/>
          <w:u w:val="none"/>
        </w:rPr>
        <w:t>3</w:t>
      </w:r>
      <w:r w:rsidRPr="006E29E8">
        <w:rPr>
          <w:rFonts w:ascii="Arial" w:hAnsi="Arial" w:cs="Arial"/>
          <w:i w:val="0"/>
          <w:iCs w:val="0"/>
          <w:spacing w:val="0"/>
          <w:sz w:val="23"/>
          <w:szCs w:val="23"/>
          <w:u w:val="none"/>
        </w:rPr>
        <w:t>/2</w:t>
      </w:r>
      <w:r w:rsidR="006A7B7A">
        <w:rPr>
          <w:rFonts w:ascii="Arial" w:hAnsi="Arial" w:cs="Arial"/>
          <w:i w:val="0"/>
          <w:iCs w:val="0"/>
          <w:spacing w:val="0"/>
          <w:sz w:val="23"/>
          <w:szCs w:val="23"/>
          <w:u w:val="none"/>
        </w:rPr>
        <w:t>4</w:t>
      </w:r>
      <w:r w:rsidR="003975CB" w:rsidRPr="006E29E8">
        <w:rPr>
          <w:rFonts w:ascii="Arial" w:hAnsi="Arial" w:cs="Arial"/>
          <w:i w:val="0"/>
          <w:iCs w:val="0"/>
          <w:spacing w:val="0"/>
          <w:sz w:val="23"/>
          <w:szCs w:val="23"/>
          <w:u w:val="none"/>
        </w:rPr>
        <w:t xml:space="preserve"> that would give rise to a material change in the valuations reported at 31 March 20</w:t>
      </w:r>
      <w:r w:rsidRPr="006E29E8">
        <w:rPr>
          <w:rFonts w:ascii="Arial" w:hAnsi="Arial" w:cs="Arial"/>
          <w:i w:val="0"/>
          <w:iCs w:val="0"/>
          <w:spacing w:val="0"/>
          <w:sz w:val="23"/>
          <w:szCs w:val="23"/>
          <w:u w:val="none"/>
        </w:rPr>
        <w:t>2</w:t>
      </w:r>
      <w:r w:rsidR="006A7B7A">
        <w:rPr>
          <w:rFonts w:ascii="Arial" w:hAnsi="Arial" w:cs="Arial"/>
          <w:i w:val="0"/>
          <w:iCs w:val="0"/>
          <w:spacing w:val="0"/>
          <w:sz w:val="23"/>
          <w:szCs w:val="23"/>
          <w:u w:val="none"/>
        </w:rPr>
        <w:t>4</w:t>
      </w:r>
      <w:r w:rsidRPr="006E29E8">
        <w:rPr>
          <w:rFonts w:ascii="Arial" w:hAnsi="Arial" w:cs="Arial"/>
          <w:i w:val="0"/>
          <w:iCs w:val="0"/>
          <w:spacing w:val="0"/>
          <w:sz w:val="23"/>
          <w:szCs w:val="23"/>
          <w:u w:val="none"/>
        </w:rPr>
        <w:t xml:space="preserve"> except where specified</w:t>
      </w:r>
      <w:r w:rsidR="003975CB" w:rsidRPr="006E29E8">
        <w:rPr>
          <w:rFonts w:ascii="Arial" w:hAnsi="Arial" w:cs="Arial"/>
          <w:i w:val="0"/>
          <w:iCs w:val="0"/>
          <w:spacing w:val="0"/>
          <w:sz w:val="23"/>
          <w:szCs w:val="23"/>
          <w:u w:val="none"/>
        </w:rPr>
        <w:t>.</w:t>
      </w:r>
    </w:p>
    <w:p w14:paraId="2982CE87" w14:textId="77777777" w:rsidR="00C4155C" w:rsidRDefault="00C4155C" w:rsidP="0070459C">
      <w:pPr>
        <w:rPr>
          <w:lang w:eastAsia="en-GB"/>
        </w:rPr>
      </w:pPr>
    </w:p>
    <w:p w14:paraId="3631E89C" w14:textId="77777777" w:rsidR="00C4155C" w:rsidRDefault="00C4155C" w:rsidP="0070459C">
      <w:pPr>
        <w:rPr>
          <w:lang w:eastAsia="en-GB"/>
        </w:rPr>
      </w:pPr>
    </w:p>
    <w:p w14:paraId="485A47CB" w14:textId="3204B8D8" w:rsidR="001F153B" w:rsidRPr="006E29E8" w:rsidRDefault="00A35E4A" w:rsidP="0070459C">
      <w:pPr>
        <w:pStyle w:val="Subtitle"/>
        <w:numPr>
          <w:ilvl w:val="0"/>
          <w:numId w:val="0"/>
        </w:numPr>
        <w:tabs>
          <w:tab w:val="left" w:pos="567"/>
        </w:tabs>
        <w:rPr>
          <w:rFonts w:ascii="Arial" w:hAnsi="Arial" w:cs="Arial"/>
          <w:bCs/>
          <w:i w:val="0"/>
          <w:spacing w:val="0"/>
          <w:sz w:val="23"/>
          <w:szCs w:val="23"/>
          <w:u w:val="none"/>
        </w:rPr>
      </w:pPr>
      <w:r w:rsidRPr="006E29E8">
        <w:rPr>
          <w:rFonts w:ascii="Arial" w:hAnsi="Arial" w:cs="Arial"/>
          <w:i w:val="0"/>
          <w:iCs w:val="0"/>
          <w:spacing w:val="0"/>
          <w:sz w:val="23"/>
          <w:szCs w:val="23"/>
          <w:u w:val="none"/>
        </w:rPr>
        <w:t xml:space="preserve">The values of all </w:t>
      </w:r>
      <w:r w:rsidR="00FF5712" w:rsidRPr="006E29E8">
        <w:rPr>
          <w:rFonts w:ascii="Arial" w:hAnsi="Arial" w:cs="Arial"/>
          <w:bCs/>
          <w:i w:val="0"/>
          <w:spacing w:val="0"/>
          <w:sz w:val="23"/>
          <w:szCs w:val="23"/>
          <w:u w:val="none"/>
        </w:rPr>
        <w:t xml:space="preserve">operational assets </w:t>
      </w:r>
      <w:r w:rsidR="005D569B" w:rsidRPr="006E29E8">
        <w:rPr>
          <w:rFonts w:ascii="Arial" w:hAnsi="Arial" w:cs="Arial"/>
          <w:bCs/>
          <w:i w:val="0"/>
          <w:spacing w:val="0"/>
          <w:sz w:val="23"/>
          <w:szCs w:val="23"/>
          <w:u w:val="none"/>
        </w:rPr>
        <w:t xml:space="preserve">other than land and buildings </w:t>
      </w:r>
      <w:r w:rsidR="00FF5712" w:rsidRPr="006E29E8">
        <w:rPr>
          <w:rFonts w:ascii="Arial" w:hAnsi="Arial" w:cs="Arial"/>
          <w:bCs/>
          <w:i w:val="0"/>
          <w:spacing w:val="0"/>
          <w:sz w:val="23"/>
          <w:szCs w:val="23"/>
          <w:u w:val="none"/>
        </w:rPr>
        <w:t xml:space="preserve">were </w:t>
      </w:r>
      <w:r w:rsidRPr="006E29E8">
        <w:rPr>
          <w:rFonts w:ascii="Arial" w:hAnsi="Arial" w:cs="Arial"/>
          <w:bCs/>
          <w:i w:val="0"/>
          <w:spacing w:val="0"/>
          <w:sz w:val="23"/>
          <w:szCs w:val="23"/>
          <w:u w:val="none"/>
        </w:rPr>
        <w:t>reconsidered</w:t>
      </w:r>
      <w:r w:rsidR="00453270" w:rsidRPr="006E29E8">
        <w:rPr>
          <w:rFonts w:ascii="Arial" w:hAnsi="Arial" w:cs="Arial"/>
          <w:bCs/>
          <w:i w:val="0"/>
          <w:spacing w:val="0"/>
          <w:sz w:val="23"/>
          <w:szCs w:val="23"/>
          <w:u w:val="none"/>
        </w:rPr>
        <w:t xml:space="preserve"> by </w:t>
      </w:r>
      <w:r w:rsidR="001639DF" w:rsidRPr="006E29E8">
        <w:rPr>
          <w:rFonts w:ascii="Arial" w:hAnsi="Arial" w:cs="Arial"/>
          <w:bCs/>
          <w:i w:val="0"/>
          <w:spacing w:val="0"/>
          <w:sz w:val="23"/>
          <w:szCs w:val="23"/>
          <w:u w:val="none"/>
        </w:rPr>
        <w:t xml:space="preserve">managers within </w:t>
      </w:r>
      <w:r w:rsidR="00453270" w:rsidRPr="006E29E8">
        <w:rPr>
          <w:rFonts w:ascii="Arial" w:hAnsi="Arial" w:cs="Arial"/>
          <w:bCs/>
          <w:i w:val="0"/>
          <w:spacing w:val="0"/>
          <w:sz w:val="23"/>
          <w:szCs w:val="23"/>
          <w:u w:val="none"/>
        </w:rPr>
        <w:t>the Authority</w:t>
      </w:r>
      <w:r w:rsidR="00E00863" w:rsidRPr="006E29E8">
        <w:rPr>
          <w:rFonts w:ascii="Arial" w:hAnsi="Arial" w:cs="Arial"/>
          <w:bCs/>
          <w:i w:val="0"/>
          <w:spacing w:val="0"/>
          <w:sz w:val="23"/>
          <w:szCs w:val="23"/>
          <w:u w:val="none"/>
        </w:rPr>
        <w:t xml:space="preserve"> at 31</w:t>
      </w:r>
      <w:r w:rsidR="00C33ED6" w:rsidRPr="006E29E8">
        <w:rPr>
          <w:rFonts w:ascii="Arial" w:hAnsi="Arial" w:cs="Arial"/>
          <w:bCs/>
          <w:i w:val="0"/>
          <w:spacing w:val="0"/>
          <w:sz w:val="23"/>
          <w:szCs w:val="23"/>
          <w:u w:val="none"/>
        </w:rPr>
        <w:t xml:space="preserve"> </w:t>
      </w:r>
      <w:r w:rsidR="00E00863" w:rsidRPr="006E29E8">
        <w:rPr>
          <w:rFonts w:ascii="Arial" w:hAnsi="Arial" w:cs="Arial"/>
          <w:bCs/>
          <w:i w:val="0"/>
          <w:spacing w:val="0"/>
          <w:sz w:val="23"/>
          <w:szCs w:val="23"/>
          <w:u w:val="none"/>
        </w:rPr>
        <w:t>March 20</w:t>
      </w:r>
      <w:r w:rsidR="00994056" w:rsidRPr="006E29E8">
        <w:rPr>
          <w:rFonts w:ascii="Arial" w:hAnsi="Arial" w:cs="Arial"/>
          <w:bCs/>
          <w:i w:val="0"/>
          <w:spacing w:val="0"/>
          <w:sz w:val="23"/>
          <w:szCs w:val="23"/>
          <w:u w:val="none"/>
        </w:rPr>
        <w:t>2</w:t>
      </w:r>
      <w:r w:rsidR="00BF5A2D">
        <w:rPr>
          <w:rFonts w:ascii="Arial" w:hAnsi="Arial" w:cs="Arial"/>
          <w:bCs/>
          <w:i w:val="0"/>
          <w:spacing w:val="0"/>
          <w:sz w:val="23"/>
          <w:szCs w:val="23"/>
          <w:u w:val="none"/>
        </w:rPr>
        <w:t>4</w:t>
      </w:r>
      <w:r w:rsidR="00E00863" w:rsidRPr="006E29E8">
        <w:rPr>
          <w:rFonts w:ascii="Arial" w:hAnsi="Arial" w:cs="Arial"/>
          <w:bCs/>
          <w:i w:val="0"/>
          <w:spacing w:val="0"/>
          <w:sz w:val="23"/>
          <w:szCs w:val="23"/>
          <w:u w:val="none"/>
        </w:rPr>
        <w:t xml:space="preserve">. The basis of asset valuation is set out </w:t>
      </w:r>
      <w:r w:rsidR="00276630" w:rsidRPr="006E29E8">
        <w:rPr>
          <w:rFonts w:ascii="Arial" w:hAnsi="Arial" w:cs="Arial"/>
          <w:bCs/>
          <w:i w:val="0"/>
          <w:spacing w:val="0"/>
          <w:sz w:val="23"/>
          <w:szCs w:val="23"/>
          <w:u w:val="none"/>
        </w:rPr>
        <w:t>below.</w:t>
      </w:r>
    </w:p>
    <w:p w14:paraId="485A47CD" w14:textId="77777777" w:rsidR="00276630" w:rsidRPr="006E29E8" w:rsidRDefault="00276630" w:rsidP="0070459C">
      <w:pPr>
        <w:pStyle w:val="Subtitle"/>
        <w:tabs>
          <w:tab w:val="left" w:pos="709"/>
        </w:tabs>
        <w:rPr>
          <w:rFonts w:ascii="Arial" w:hAnsi="Arial" w:cs="Arial"/>
          <w:bCs/>
          <w:i w:val="0"/>
          <w:spacing w:val="0"/>
          <w:sz w:val="23"/>
          <w:szCs w:val="23"/>
          <w:u w:val="none"/>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3556"/>
      </w:tblGrid>
      <w:tr w:rsidR="00276630" w:rsidRPr="006E29E8" w14:paraId="485A47D0" w14:textId="77777777" w:rsidTr="002116F2">
        <w:tc>
          <w:tcPr>
            <w:tcW w:w="5342" w:type="dxa"/>
            <w:shd w:val="clear" w:color="auto" w:fill="000000"/>
          </w:tcPr>
          <w:p w14:paraId="485A47CE" w14:textId="77777777" w:rsidR="00276630" w:rsidRPr="006E29E8" w:rsidRDefault="00276630" w:rsidP="0070459C">
            <w:pPr>
              <w:pStyle w:val="Subtitle"/>
              <w:tabs>
                <w:tab w:val="left" w:pos="709"/>
              </w:tabs>
              <w:rPr>
                <w:rFonts w:ascii="Arial" w:hAnsi="Arial" w:cs="Arial"/>
                <w:b/>
                <w:bCs/>
                <w:i w:val="0"/>
                <w:sz w:val="23"/>
                <w:szCs w:val="23"/>
                <w:u w:val="none"/>
              </w:rPr>
            </w:pPr>
            <w:r w:rsidRPr="006E29E8">
              <w:rPr>
                <w:rFonts w:ascii="Arial" w:hAnsi="Arial" w:cs="Arial"/>
                <w:b/>
                <w:bCs/>
                <w:i w:val="0"/>
                <w:sz w:val="23"/>
                <w:szCs w:val="23"/>
                <w:u w:val="none"/>
              </w:rPr>
              <w:t>Asset Category</w:t>
            </w:r>
          </w:p>
        </w:tc>
        <w:tc>
          <w:tcPr>
            <w:tcW w:w="3556" w:type="dxa"/>
            <w:shd w:val="clear" w:color="auto" w:fill="000000"/>
          </w:tcPr>
          <w:p w14:paraId="485A47CF" w14:textId="77777777" w:rsidR="00276630" w:rsidRPr="006E29E8" w:rsidRDefault="00276630" w:rsidP="0070459C">
            <w:pPr>
              <w:pStyle w:val="Subtitle"/>
              <w:tabs>
                <w:tab w:val="left" w:pos="709"/>
              </w:tabs>
              <w:rPr>
                <w:rFonts w:ascii="Arial" w:hAnsi="Arial" w:cs="Arial"/>
                <w:b/>
                <w:bCs/>
                <w:i w:val="0"/>
                <w:sz w:val="23"/>
                <w:szCs w:val="23"/>
                <w:u w:val="none"/>
              </w:rPr>
            </w:pPr>
            <w:r w:rsidRPr="006E29E8">
              <w:rPr>
                <w:rFonts w:ascii="Arial" w:hAnsi="Arial" w:cs="Arial"/>
                <w:b/>
                <w:bCs/>
                <w:i w:val="0"/>
                <w:sz w:val="23"/>
                <w:szCs w:val="23"/>
                <w:u w:val="none"/>
              </w:rPr>
              <w:t>Basis of Valuation</w:t>
            </w:r>
          </w:p>
        </w:tc>
      </w:tr>
      <w:tr w:rsidR="00D02977" w:rsidRPr="006E29E8" w14:paraId="485A47D3" w14:textId="77777777" w:rsidTr="002116F2">
        <w:tc>
          <w:tcPr>
            <w:tcW w:w="5342" w:type="dxa"/>
            <w:shd w:val="clear" w:color="auto" w:fill="auto"/>
          </w:tcPr>
          <w:p w14:paraId="485A47D1" w14:textId="77777777" w:rsidR="00D02977" w:rsidRPr="006E29E8" w:rsidRDefault="00D02977" w:rsidP="0070459C">
            <w:pPr>
              <w:pStyle w:val="BlockText"/>
              <w:tabs>
                <w:tab w:val="clear" w:pos="1843"/>
                <w:tab w:val="left" w:pos="709"/>
              </w:tabs>
              <w:ind w:left="0"/>
              <w:rPr>
                <w:sz w:val="23"/>
                <w:szCs w:val="23"/>
              </w:rPr>
            </w:pPr>
            <w:r w:rsidRPr="006E29E8">
              <w:rPr>
                <w:sz w:val="23"/>
                <w:szCs w:val="23"/>
              </w:rPr>
              <w:t>Operational Land and Buildings -  non specialised</w:t>
            </w:r>
          </w:p>
        </w:tc>
        <w:tc>
          <w:tcPr>
            <w:tcW w:w="3556" w:type="dxa"/>
            <w:shd w:val="clear" w:color="auto" w:fill="auto"/>
          </w:tcPr>
          <w:p w14:paraId="485A47D2" w14:textId="77777777" w:rsidR="00D02977" w:rsidRPr="006E29E8" w:rsidRDefault="00D02977" w:rsidP="0070459C">
            <w:pPr>
              <w:pStyle w:val="BlockText"/>
              <w:tabs>
                <w:tab w:val="clear" w:pos="1843"/>
                <w:tab w:val="left" w:pos="709"/>
              </w:tabs>
              <w:ind w:left="0"/>
              <w:rPr>
                <w:sz w:val="23"/>
                <w:szCs w:val="23"/>
              </w:rPr>
            </w:pPr>
            <w:r w:rsidRPr="006E29E8">
              <w:rPr>
                <w:sz w:val="23"/>
                <w:szCs w:val="23"/>
              </w:rPr>
              <w:t>Current Value - Existing Use Value</w:t>
            </w:r>
          </w:p>
        </w:tc>
      </w:tr>
      <w:tr w:rsidR="00D02977" w:rsidRPr="006E29E8" w14:paraId="485A47D6" w14:textId="77777777" w:rsidTr="002116F2">
        <w:tc>
          <w:tcPr>
            <w:tcW w:w="5342" w:type="dxa"/>
            <w:shd w:val="clear" w:color="auto" w:fill="auto"/>
          </w:tcPr>
          <w:p w14:paraId="485A47D4" w14:textId="77777777" w:rsidR="00D02977" w:rsidRPr="006E29E8" w:rsidRDefault="00D02977" w:rsidP="0070459C">
            <w:pPr>
              <w:pStyle w:val="BlockText"/>
              <w:tabs>
                <w:tab w:val="clear" w:pos="1843"/>
                <w:tab w:val="left" w:pos="709"/>
              </w:tabs>
              <w:ind w:left="0"/>
              <w:rPr>
                <w:sz w:val="23"/>
                <w:szCs w:val="23"/>
              </w:rPr>
            </w:pPr>
            <w:r w:rsidRPr="006E29E8">
              <w:rPr>
                <w:sz w:val="23"/>
                <w:szCs w:val="23"/>
              </w:rPr>
              <w:t>Operational Land and Buildings - specialised</w:t>
            </w:r>
          </w:p>
        </w:tc>
        <w:tc>
          <w:tcPr>
            <w:tcW w:w="3556" w:type="dxa"/>
            <w:shd w:val="clear" w:color="auto" w:fill="auto"/>
          </w:tcPr>
          <w:p w14:paraId="485A47D5" w14:textId="77777777" w:rsidR="00D02977" w:rsidRPr="006E29E8" w:rsidRDefault="00D02977" w:rsidP="0070459C">
            <w:pPr>
              <w:pStyle w:val="BlockText"/>
              <w:tabs>
                <w:tab w:val="clear" w:pos="1843"/>
                <w:tab w:val="left" w:pos="709"/>
              </w:tabs>
              <w:ind w:left="0"/>
              <w:rPr>
                <w:sz w:val="23"/>
                <w:szCs w:val="23"/>
              </w:rPr>
            </w:pPr>
            <w:r w:rsidRPr="006E29E8">
              <w:rPr>
                <w:sz w:val="23"/>
                <w:szCs w:val="23"/>
              </w:rPr>
              <w:t>Depreciated Replacement Cost</w:t>
            </w:r>
          </w:p>
        </w:tc>
      </w:tr>
      <w:tr w:rsidR="00D02977" w:rsidRPr="006E29E8" w14:paraId="485A47D9" w14:textId="77777777" w:rsidTr="002116F2">
        <w:tc>
          <w:tcPr>
            <w:tcW w:w="5342" w:type="dxa"/>
            <w:shd w:val="clear" w:color="auto" w:fill="auto"/>
          </w:tcPr>
          <w:p w14:paraId="485A47D7" w14:textId="77777777" w:rsidR="00D02977" w:rsidRPr="006E29E8" w:rsidRDefault="00D02977" w:rsidP="0070459C">
            <w:pPr>
              <w:pStyle w:val="BlockText"/>
              <w:tabs>
                <w:tab w:val="clear" w:pos="1843"/>
                <w:tab w:val="left" w:pos="709"/>
              </w:tabs>
              <w:ind w:left="0"/>
              <w:rPr>
                <w:sz w:val="23"/>
                <w:szCs w:val="23"/>
              </w:rPr>
            </w:pPr>
            <w:r w:rsidRPr="006E29E8">
              <w:rPr>
                <w:sz w:val="23"/>
                <w:szCs w:val="23"/>
              </w:rPr>
              <w:t>Infrastructure, and Community Assets</w:t>
            </w:r>
          </w:p>
        </w:tc>
        <w:tc>
          <w:tcPr>
            <w:tcW w:w="3556" w:type="dxa"/>
            <w:shd w:val="clear" w:color="auto" w:fill="auto"/>
          </w:tcPr>
          <w:p w14:paraId="485A47D8" w14:textId="77777777" w:rsidR="00D02977" w:rsidRPr="006E29E8" w:rsidRDefault="00D02977" w:rsidP="0070459C">
            <w:pPr>
              <w:pStyle w:val="BlockText"/>
              <w:tabs>
                <w:tab w:val="clear" w:pos="1843"/>
                <w:tab w:val="left" w:pos="709"/>
              </w:tabs>
              <w:ind w:left="0"/>
              <w:rPr>
                <w:sz w:val="23"/>
                <w:szCs w:val="23"/>
              </w:rPr>
            </w:pPr>
            <w:r w:rsidRPr="006E29E8">
              <w:rPr>
                <w:sz w:val="23"/>
                <w:szCs w:val="23"/>
              </w:rPr>
              <w:t>Depreciated Historic Cost</w:t>
            </w:r>
          </w:p>
        </w:tc>
      </w:tr>
      <w:tr w:rsidR="00D02977" w:rsidRPr="006E29E8" w14:paraId="485A47DC" w14:textId="77777777" w:rsidTr="002116F2">
        <w:tc>
          <w:tcPr>
            <w:tcW w:w="5342" w:type="dxa"/>
            <w:shd w:val="clear" w:color="auto" w:fill="auto"/>
          </w:tcPr>
          <w:p w14:paraId="485A47DA" w14:textId="77777777" w:rsidR="00D02977" w:rsidRPr="006E29E8" w:rsidRDefault="00D02977" w:rsidP="0070459C">
            <w:pPr>
              <w:pStyle w:val="BlockText"/>
              <w:tabs>
                <w:tab w:val="clear" w:pos="1843"/>
                <w:tab w:val="left" w:pos="709"/>
              </w:tabs>
              <w:ind w:left="0"/>
              <w:rPr>
                <w:sz w:val="23"/>
                <w:szCs w:val="23"/>
              </w:rPr>
            </w:pPr>
            <w:r w:rsidRPr="006E29E8">
              <w:rPr>
                <w:sz w:val="23"/>
                <w:szCs w:val="23"/>
              </w:rPr>
              <w:t>Vehicles, Plant and Equipment</w:t>
            </w:r>
          </w:p>
        </w:tc>
        <w:tc>
          <w:tcPr>
            <w:tcW w:w="3556" w:type="dxa"/>
            <w:shd w:val="clear" w:color="auto" w:fill="auto"/>
          </w:tcPr>
          <w:p w14:paraId="485A47DB" w14:textId="77777777" w:rsidR="00D02977" w:rsidRPr="006E29E8" w:rsidRDefault="00D02977" w:rsidP="0070459C">
            <w:pPr>
              <w:pStyle w:val="BlockText"/>
              <w:tabs>
                <w:tab w:val="clear" w:pos="1843"/>
                <w:tab w:val="left" w:pos="709"/>
              </w:tabs>
              <w:ind w:left="0"/>
              <w:rPr>
                <w:sz w:val="23"/>
                <w:szCs w:val="23"/>
              </w:rPr>
            </w:pPr>
            <w:r w:rsidRPr="006E29E8">
              <w:rPr>
                <w:sz w:val="23"/>
                <w:szCs w:val="23"/>
              </w:rPr>
              <w:t>Depreciated Historic Cost (as a proxy for fair value)</w:t>
            </w:r>
          </w:p>
        </w:tc>
      </w:tr>
      <w:tr w:rsidR="00D02977" w:rsidRPr="004D5CA8" w14:paraId="485A47DF" w14:textId="77777777" w:rsidTr="002116F2">
        <w:tc>
          <w:tcPr>
            <w:tcW w:w="5342" w:type="dxa"/>
            <w:shd w:val="clear" w:color="auto" w:fill="auto"/>
          </w:tcPr>
          <w:p w14:paraId="485A47DD" w14:textId="77777777" w:rsidR="00D02977" w:rsidRPr="006E29E8" w:rsidRDefault="00D02977" w:rsidP="0070459C">
            <w:pPr>
              <w:pStyle w:val="BlockText"/>
              <w:tabs>
                <w:tab w:val="clear" w:pos="1843"/>
                <w:tab w:val="left" w:pos="709"/>
              </w:tabs>
              <w:ind w:left="0"/>
              <w:rPr>
                <w:sz w:val="23"/>
                <w:szCs w:val="23"/>
              </w:rPr>
            </w:pPr>
            <w:r w:rsidRPr="006E29E8">
              <w:rPr>
                <w:sz w:val="23"/>
                <w:szCs w:val="23"/>
              </w:rPr>
              <w:t>Surplus Assets</w:t>
            </w:r>
          </w:p>
        </w:tc>
        <w:tc>
          <w:tcPr>
            <w:tcW w:w="3556" w:type="dxa"/>
            <w:shd w:val="clear" w:color="auto" w:fill="auto"/>
          </w:tcPr>
          <w:p w14:paraId="485A47DE" w14:textId="77777777" w:rsidR="00D02977" w:rsidRPr="006E29E8" w:rsidRDefault="00D02977" w:rsidP="0070459C">
            <w:pPr>
              <w:pStyle w:val="BlockText"/>
              <w:tabs>
                <w:tab w:val="clear" w:pos="1843"/>
                <w:tab w:val="left" w:pos="709"/>
              </w:tabs>
              <w:ind w:left="0"/>
              <w:rPr>
                <w:sz w:val="23"/>
                <w:szCs w:val="23"/>
              </w:rPr>
            </w:pPr>
            <w:r w:rsidRPr="006E29E8">
              <w:rPr>
                <w:sz w:val="23"/>
                <w:szCs w:val="23"/>
              </w:rPr>
              <w:t>Current Value – Fair value estimated at highest and best use from a market participant’s perspective</w:t>
            </w:r>
          </w:p>
        </w:tc>
      </w:tr>
    </w:tbl>
    <w:p w14:paraId="485A47E0" w14:textId="77777777" w:rsidR="00E00863" w:rsidRPr="00971D23" w:rsidRDefault="00E00863" w:rsidP="0070459C">
      <w:pPr>
        <w:pStyle w:val="Subtitle"/>
        <w:tabs>
          <w:tab w:val="left" w:pos="709"/>
        </w:tabs>
        <w:rPr>
          <w:rFonts w:ascii="Arial Narrow" w:hAnsi="Arial Narrow" w:cs="Arial"/>
          <w:bCs/>
          <w:i w:val="0"/>
          <w:sz w:val="23"/>
          <w:szCs w:val="23"/>
          <w:u w:val="none"/>
        </w:rPr>
      </w:pPr>
    </w:p>
    <w:p w14:paraId="485A47E1" w14:textId="7FC7D074" w:rsidR="00AC146E" w:rsidRPr="00971D23" w:rsidRDefault="007348DF" w:rsidP="0070459C">
      <w:pPr>
        <w:rPr>
          <w:lang w:eastAsia="en-GB"/>
        </w:rPr>
      </w:pPr>
      <w:r w:rsidRPr="00971D23">
        <w:rPr>
          <w:lang w:eastAsia="en-GB"/>
        </w:rPr>
        <w:t xml:space="preserve">The fair value for </w:t>
      </w:r>
      <w:r w:rsidR="00AC146E" w:rsidRPr="00971D23">
        <w:rPr>
          <w:lang w:eastAsia="en-GB"/>
        </w:rPr>
        <w:t>the Authority’s surplus assets</w:t>
      </w:r>
      <w:r w:rsidR="0004312A" w:rsidRPr="00971D23">
        <w:rPr>
          <w:lang w:eastAsia="en-GB"/>
        </w:rPr>
        <w:t xml:space="preserve">, which </w:t>
      </w:r>
      <w:r w:rsidR="00C07EBC" w:rsidRPr="00971D23">
        <w:rPr>
          <w:lang w:eastAsia="en-GB"/>
        </w:rPr>
        <w:t>a</w:t>
      </w:r>
      <w:r w:rsidR="0004312A" w:rsidRPr="00971D23">
        <w:rPr>
          <w:lang w:eastAsia="en-GB"/>
        </w:rPr>
        <w:t xml:space="preserve">re </w:t>
      </w:r>
      <w:r w:rsidR="00F94AB7" w:rsidRPr="00971D23">
        <w:rPr>
          <w:lang w:eastAsia="en-GB"/>
        </w:rPr>
        <w:t>land assets,</w:t>
      </w:r>
      <w:r w:rsidR="00AC146E" w:rsidRPr="00971D23">
        <w:rPr>
          <w:lang w:eastAsia="en-GB"/>
        </w:rPr>
        <w:t xml:space="preserve"> has been determined using level 2 of the above hierarchy</w:t>
      </w:r>
      <w:r w:rsidR="00C07EBC" w:rsidRPr="00971D23">
        <w:rPr>
          <w:lang w:eastAsia="en-GB"/>
        </w:rPr>
        <w:t>.</w:t>
      </w:r>
      <w:r w:rsidR="0004312A" w:rsidRPr="00971D23">
        <w:rPr>
          <w:lang w:eastAsia="en-GB"/>
        </w:rPr>
        <w:t xml:space="preserve"> </w:t>
      </w:r>
      <w:r w:rsidR="00C07EBC" w:rsidRPr="00971D23">
        <w:rPr>
          <w:lang w:eastAsia="en-GB"/>
        </w:rPr>
        <w:t>These</w:t>
      </w:r>
      <w:r w:rsidR="0004312A" w:rsidRPr="00971D23">
        <w:rPr>
          <w:lang w:eastAsia="en-GB"/>
        </w:rPr>
        <w:t xml:space="preserve"> asset</w:t>
      </w:r>
      <w:r w:rsidR="0014569D">
        <w:rPr>
          <w:lang w:eastAsia="en-GB"/>
        </w:rPr>
        <w:t>s</w:t>
      </w:r>
      <w:r w:rsidR="0004312A" w:rsidRPr="00971D23">
        <w:rPr>
          <w:lang w:eastAsia="en-GB"/>
        </w:rPr>
        <w:t xml:space="preserve"> have been categorised as Assets Held for </w:t>
      </w:r>
      <w:r w:rsidR="0004312A" w:rsidRPr="00971D23">
        <w:rPr>
          <w:lang w:eastAsia="en-GB"/>
        </w:rPr>
        <w:lastRenderedPageBreak/>
        <w:t>Sale as they</w:t>
      </w:r>
      <w:r w:rsidR="00D67FEC" w:rsidRPr="00971D23">
        <w:rPr>
          <w:lang w:eastAsia="en-GB"/>
        </w:rPr>
        <w:t xml:space="preserve"> me</w:t>
      </w:r>
      <w:r w:rsidR="0004312A" w:rsidRPr="00971D23">
        <w:rPr>
          <w:lang w:eastAsia="en-GB"/>
        </w:rPr>
        <w:t>et</w:t>
      </w:r>
      <w:r w:rsidR="00B95427" w:rsidRPr="00971D23">
        <w:rPr>
          <w:lang w:eastAsia="en-GB"/>
        </w:rPr>
        <w:t xml:space="preserve"> the requirements set out in the code of practice.</w:t>
      </w:r>
      <w:r w:rsidR="002617BF" w:rsidRPr="00971D23">
        <w:rPr>
          <w:lang w:eastAsia="en-GB"/>
        </w:rPr>
        <w:t xml:space="preserve"> </w:t>
      </w:r>
      <w:r w:rsidR="00AC146E" w:rsidRPr="00971D23">
        <w:rPr>
          <w:lang w:eastAsia="en-GB"/>
        </w:rPr>
        <w:t>The market approach valuation technique using current market conditions and recent sales prices and other relevant information for similar assets in the local area has been used to determine fair value. Any adjustments applied in the assessment of fair value are those consistent with established practices.</w:t>
      </w:r>
    </w:p>
    <w:p w14:paraId="485A47E2" w14:textId="77777777" w:rsidR="0073245D" w:rsidRPr="00971D23" w:rsidRDefault="0073245D" w:rsidP="0070459C">
      <w:pPr>
        <w:rPr>
          <w:lang w:eastAsia="en-GB"/>
        </w:rPr>
      </w:pPr>
    </w:p>
    <w:p w14:paraId="485A47E3" w14:textId="2E7C4090" w:rsidR="0073245D" w:rsidRPr="00971D23" w:rsidRDefault="0073245D" w:rsidP="0070459C">
      <w:pPr>
        <w:rPr>
          <w:lang w:eastAsia="en-GB"/>
        </w:rPr>
      </w:pPr>
      <w:r w:rsidRPr="00971D23">
        <w:rPr>
          <w:lang w:eastAsia="en-GB"/>
        </w:rPr>
        <w:t>In estimating the fair value o</w:t>
      </w:r>
      <w:r w:rsidR="0004312A" w:rsidRPr="00971D23">
        <w:rPr>
          <w:lang w:eastAsia="en-GB"/>
        </w:rPr>
        <w:t xml:space="preserve">f the Authority’s </w:t>
      </w:r>
      <w:r w:rsidR="00BF5A2D">
        <w:rPr>
          <w:lang w:eastAsia="en-GB"/>
        </w:rPr>
        <w:t xml:space="preserve">assets </w:t>
      </w:r>
      <w:r w:rsidR="0004312A" w:rsidRPr="00971D23">
        <w:rPr>
          <w:lang w:eastAsia="en-GB"/>
        </w:rPr>
        <w:t>held for sale</w:t>
      </w:r>
      <w:r w:rsidRPr="00971D23">
        <w:rPr>
          <w:lang w:eastAsia="en-GB"/>
        </w:rPr>
        <w:t>, the highest and best use of the properties is their current use.</w:t>
      </w:r>
      <w:r w:rsidR="00C15F82" w:rsidRPr="00971D23">
        <w:t xml:space="preserve"> </w:t>
      </w:r>
      <w:r w:rsidR="00C15F82" w:rsidRPr="00971D23">
        <w:rPr>
          <w:lang w:eastAsia="en-GB"/>
        </w:rPr>
        <w:t>The authority has carried out sufficient work to satisfy itself that the carrying value of assets not valued in year are not materially different to their current values.</w:t>
      </w:r>
    </w:p>
    <w:p w14:paraId="485A47E4" w14:textId="77777777" w:rsidR="0073245D" w:rsidRPr="004D5CA8" w:rsidRDefault="0073245D" w:rsidP="0070459C">
      <w:pPr>
        <w:rPr>
          <w:highlight w:val="yellow"/>
          <w:lang w:eastAsia="en-GB"/>
        </w:rPr>
      </w:pPr>
    </w:p>
    <w:p w14:paraId="485A47E5" w14:textId="7384AFE3" w:rsidR="007C4374" w:rsidRPr="00971D23" w:rsidRDefault="00540452" w:rsidP="0070459C">
      <w:pPr>
        <w:rPr>
          <w:lang w:eastAsia="en-GB"/>
        </w:rPr>
      </w:pPr>
      <w:r w:rsidRPr="00971D23">
        <w:rPr>
          <w:lang w:eastAsia="en-GB"/>
        </w:rPr>
        <w:t>Depreciation is provided on</w:t>
      </w:r>
      <w:r w:rsidR="00276630" w:rsidRPr="00971D23">
        <w:rPr>
          <w:lang w:eastAsia="en-GB"/>
        </w:rPr>
        <w:t xml:space="preserve"> assets with a finite useful life, other than freehold land. </w:t>
      </w:r>
      <w:r w:rsidRPr="00971D23">
        <w:rPr>
          <w:lang w:eastAsia="en-GB"/>
        </w:rPr>
        <w:t>T</w:t>
      </w:r>
      <w:r w:rsidR="006C2E30" w:rsidRPr="00971D23">
        <w:rPr>
          <w:lang w:eastAsia="en-GB"/>
        </w:rPr>
        <w:t>hree</w:t>
      </w:r>
      <w:r w:rsidRPr="00971D23">
        <w:rPr>
          <w:lang w:eastAsia="en-GB"/>
        </w:rPr>
        <w:t xml:space="preserve"> of the Authority’s </w:t>
      </w:r>
      <w:r w:rsidR="00846F23" w:rsidRPr="00971D23">
        <w:rPr>
          <w:lang w:eastAsia="en-GB"/>
        </w:rPr>
        <w:t>assets</w:t>
      </w:r>
      <w:r w:rsidRPr="00971D23">
        <w:rPr>
          <w:lang w:eastAsia="en-GB"/>
        </w:rPr>
        <w:t>, Murley Moss</w:t>
      </w:r>
      <w:r w:rsidR="00846F23" w:rsidRPr="00971D23">
        <w:rPr>
          <w:lang w:eastAsia="en-GB"/>
        </w:rPr>
        <w:t>, Brockhole and the Keswick to Threlkeld Multi User Trail</w:t>
      </w:r>
      <w:r w:rsidRPr="00971D23">
        <w:rPr>
          <w:lang w:eastAsia="en-GB"/>
        </w:rPr>
        <w:t xml:space="preserve"> have been split into components with estimated useful lives as follows:</w:t>
      </w:r>
    </w:p>
    <w:p w14:paraId="485A47E7" w14:textId="77777777" w:rsidR="001F153B" w:rsidRPr="00971D23" w:rsidRDefault="001F153B" w:rsidP="0070459C">
      <w:pPr>
        <w:rPr>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tblGrid>
      <w:tr w:rsidR="00540452" w:rsidRPr="00971D23" w14:paraId="485A47EA" w14:textId="77777777" w:rsidTr="008775D1">
        <w:trPr>
          <w:jc w:val="center"/>
        </w:trPr>
        <w:tc>
          <w:tcPr>
            <w:tcW w:w="2802" w:type="dxa"/>
            <w:shd w:val="clear" w:color="auto" w:fill="000000"/>
          </w:tcPr>
          <w:p w14:paraId="485A47E8" w14:textId="77777777" w:rsidR="00540452" w:rsidRPr="00971D23" w:rsidRDefault="00540452" w:rsidP="0070459C">
            <w:pPr>
              <w:rPr>
                <w:b/>
                <w:lang w:eastAsia="en-GB"/>
              </w:rPr>
            </w:pPr>
            <w:r w:rsidRPr="00971D23">
              <w:rPr>
                <w:b/>
                <w:lang w:eastAsia="en-GB"/>
              </w:rPr>
              <w:t>Component</w:t>
            </w:r>
          </w:p>
        </w:tc>
        <w:tc>
          <w:tcPr>
            <w:tcW w:w="2268" w:type="dxa"/>
            <w:shd w:val="clear" w:color="auto" w:fill="000000"/>
          </w:tcPr>
          <w:p w14:paraId="485A47E9" w14:textId="77777777" w:rsidR="00540452" w:rsidRPr="00971D23" w:rsidRDefault="00540452" w:rsidP="0070459C">
            <w:pPr>
              <w:rPr>
                <w:b/>
                <w:lang w:eastAsia="en-GB"/>
              </w:rPr>
            </w:pPr>
            <w:r w:rsidRPr="00971D23">
              <w:rPr>
                <w:b/>
                <w:lang w:eastAsia="en-GB"/>
              </w:rPr>
              <w:t>Useful Life (Years)</w:t>
            </w:r>
          </w:p>
        </w:tc>
      </w:tr>
      <w:tr w:rsidR="00540452" w:rsidRPr="00971D23" w14:paraId="485A47ED" w14:textId="77777777" w:rsidTr="00D876E8">
        <w:trPr>
          <w:jc w:val="center"/>
        </w:trPr>
        <w:tc>
          <w:tcPr>
            <w:tcW w:w="2802" w:type="dxa"/>
            <w:shd w:val="clear" w:color="auto" w:fill="auto"/>
          </w:tcPr>
          <w:p w14:paraId="485A47EB" w14:textId="23942923" w:rsidR="00540452" w:rsidRPr="00971D23" w:rsidRDefault="00540452" w:rsidP="0070459C">
            <w:pPr>
              <w:rPr>
                <w:lang w:eastAsia="en-GB"/>
              </w:rPr>
            </w:pPr>
            <w:r w:rsidRPr="00971D23">
              <w:rPr>
                <w:lang w:eastAsia="en-GB"/>
              </w:rPr>
              <w:t>Structure</w:t>
            </w:r>
            <w:r w:rsidR="006C2E30" w:rsidRPr="00971D23">
              <w:rPr>
                <w:lang w:eastAsia="en-GB"/>
              </w:rPr>
              <w:t>/Tunnels</w:t>
            </w:r>
          </w:p>
        </w:tc>
        <w:tc>
          <w:tcPr>
            <w:tcW w:w="2268" w:type="dxa"/>
            <w:shd w:val="clear" w:color="auto" w:fill="auto"/>
          </w:tcPr>
          <w:p w14:paraId="485A47EC" w14:textId="77777777" w:rsidR="00540452" w:rsidRPr="00971D23" w:rsidRDefault="00540452" w:rsidP="0070459C">
            <w:pPr>
              <w:jc w:val="center"/>
              <w:rPr>
                <w:lang w:eastAsia="en-GB"/>
              </w:rPr>
            </w:pPr>
            <w:r w:rsidRPr="00971D23">
              <w:rPr>
                <w:lang w:eastAsia="en-GB"/>
              </w:rPr>
              <w:t>50</w:t>
            </w:r>
          </w:p>
        </w:tc>
      </w:tr>
      <w:tr w:rsidR="00540452" w:rsidRPr="00971D23" w14:paraId="485A47F0" w14:textId="77777777" w:rsidTr="00D876E8">
        <w:trPr>
          <w:jc w:val="center"/>
        </w:trPr>
        <w:tc>
          <w:tcPr>
            <w:tcW w:w="2802" w:type="dxa"/>
            <w:shd w:val="clear" w:color="auto" w:fill="auto"/>
          </w:tcPr>
          <w:p w14:paraId="485A47EE" w14:textId="77777777" w:rsidR="00540452" w:rsidRPr="00971D23" w:rsidRDefault="00540452" w:rsidP="0070459C">
            <w:pPr>
              <w:rPr>
                <w:lang w:eastAsia="en-GB"/>
              </w:rPr>
            </w:pPr>
            <w:r w:rsidRPr="00971D23">
              <w:rPr>
                <w:lang w:eastAsia="en-GB"/>
              </w:rPr>
              <w:t>Mechanical &amp; Electrical</w:t>
            </w:r>
          </w:p>
        </w:tc>
        <w:tc>
          <w:tcPr>
            <w:tcW w:w="2268" w:type="dxa"/>
            <w:shd w:val="clear" w:color="auto" w:fill="auto"/>
          </w:tcPr>
          <w:p w14:paraId="485A47EF" w14:textId="77777777" w:rsidR="00540452" w:rsidRPr="00971D23" w:rsidRDefault="00540452" w:rsidP="0070459C">
            <w:pPr>
              <w:jc w:val="center"/>
              <w:rPr>
                <w:lang w:eastAsia="en-GB"/>
              </w:rPr>
            </w:pPr>
            <w:r w:rsidRPr="00971D23">
              <w:rPr>
                <w:lang w:eastAsia="en-GB"/>
              </w:rPr>
              <w:t>20</w:t>
            </w:r>
          </w:p>
        </w:tc>
      </w:tr>
      <w:tr w:rsidR="00540452" w:rsidRPr="004D5CA8" w14:paraId="485A47F3" w14:textId="77777777" w:rsidTr="00D876E8">
        <w:trPr>
          <w:jc w:val="center"/>
        </w:trPr>
        <w:tc>
          <w:tcPr>
            <w:tcW w:w="2802" w:type="dxa"/>
            <w:shd w:val="clear" w:color="auto" w:fill="auto"/>
          </w:tcPr>
          <w:p w14:paraId="485A47F1" w14:textId="77777777" w:rsidR="00540452" w:rsidRPr="00971D23" w:rsidRDefault="00540452" w:rsidP="0070459C">
            <w:pPr>
              <w:rPr>
                <w:lang w:eastAsia="en-GB"/>
              </w:rPr>
            </w:pPr>
            <w:r w:rsidRPr="00971D23">
              <w:rPr>
                <w:lang w:eastAsia="en-GB"/>
              </w:rPr>
              <w:t>Roof</w:t>
            </w:r>
          </w:p>
        </w:tc>
        <w:tc>
          <w:tcPr>
            <w:tcW w:w="2268" w:type="dxa"/>
            <w:shd w:val="clear" w:color="auto" w:fill="auto"/>
          </w:tcPr>
          <w:p w14:paraId="485A47F2" w14:textId="77777777" w:rsidR="00540452" w:rsidRPr="00971D23" w:rsidRDefault="00540452" w:rsidP="0070459C">
            <w:pPr>
              <w:jc w:val="center"/>
              <w:rPr>
                <w:lang w:eastAsia="en-GB"/>
              </w:rPr>
            </w:pPr>
            <w:r w:rsidRPr="00971D23">
              <w:rPr>
                <w:lang w:eastAsia="en-GB"/>
              </w:rPr>
              <w:t>35</w:t>
            </w:r>
          </w:p>
        </w:tc>
      </w:tr>
      <w:tr w:rsidR="00540452" w:rsidRPr="00971D23" w14:paraId="485A47F6" w14:textId="77777777" w:rsidTr="00D876E8">
        <w:trPr>
          <w:jc w:val="center"/>
        </w:trPr>
        <w:tc>
          <w:tcPr>
            <w:tcW w:w="2802" w:type="dxa"/>
            <w:shd w:val="clear" w:color="auto" w:fill="auto"/>
          </w:tcPr>
          <w:p w14:paraId="485A47F4" w14:textId="77777777" w:rsidR="00540452" w:rsidRPr="00971D23" w:rsidRDefault="00540452" w:rsidP="0070459C">
            <w:pPr>
              <w:rPr>
                <w:lang w:eastAsia="en-GB"/>
              </w:rPr>
            </w:pPr>
            <w:r w:rsidRPr="00971D23">
              <w:rPr>
                <w:lang w:eastAsia="en-GB"/>
              </w:rPr>
              <w:t>External Works</w:t>
            </w:r>
          </w:p>
        </w:tc>
        <w:tc>
          <w:tcPr>
            <w:tcW w:w="2268" w:type="dxa"/>
            <w:shd w:val="clear" w:color="auto" w:fill="auto"/>
          </w:tcPr>
          <w:p w14:paraId="485A47F5" w14:textId="77777777" w:rsidR="00540452" w:rsidRPr="00971D23" w:rsidRDefault="00540452" w:rsidP="0070459C">
            <w:pPr>
              <w:jc w:val="center"/>
              <w:rPr>
                <w:lang w:eastAsia="en-GB"/>
              </w:rPr>
            </w:pPr>
            <w:r w:rsidRPr="00971D23">
              <w:rPr>
                <w:lang w:eastAsia="en-GB"/>
              </w:rPr>
              <w:t>30</w:t>
            </w:r>
          </w:p>
        </w:tc>
      </w:tr>
      <w:tr w:rsidR="006C2E30" w:rsidRPr="00971D23" w14:paraId="62930E5D" w14:textId="77777777" w:rsidTr="00D876E8">
        <w:trPr>
          <w:jc w:val="center"/>
        </w:trPr>
        <w:tc>
          <w:tcPr>
            <w:tcW w:w="2802" w:type="dxa"/>
            <w:shd w:val="clear" w:color="auto" w:fill="auto"/>
          </w:tcPr>
          <w:p w14:paraId="18E25038" w14:textId="644CEE82" w:rsidR="006C2E30" w:rsidRPr="00971D23" w:rsidRDefault="00846F23" w:rsidP="0070459C">
            <w:pPr>
              <w:rPr>
                <w:lang w:eastAsia="en-GB"/>
              </w:rPr>
            </w:pPr>
            <w:r w:rsidRPr="00971D23">
              <w:rPr>
                <w:lang w:eastAsia="en-GB"/>
              </w:rPr>
              <w:t>Path surfaces &amp; fencing</w:t>
            </w:r>
          </w:p>
        </w:tc>
        <w:tc>
          <w:tcPr>
            <w:tcW w:w="2268" w:type="dxa"/>
            <w:shd w:val="clear" w:color="auto" w:fill="auto"/>
          </w:tcPr>
          <w:p w14:paraId="3D2C2BA4" w14:textId="7666E18B" w:rsidR="006C2E30" w:rsidRPr="00971D23" w:rsidRDefault="00846F23" w:rsidP="0070459C">
            <w:pPr>
              <w:jc w:val="center"/>
              <w:rPr>
                <w:lang w:eastAsia="en-GB"/>
              </w:rPr>
            </w:pPr>
            <w:r w:rsidRPr="00971D23">
              <w:rPr>
                <w:lang w:eastAsia="en-GB"/>
              </w:rPr>
              <w:t>15</w:t>
            </w:r>
          </w:p>
        </w:tc>
      </w:tr>
    </w:tbl>
    <w:p w14:paraId="485A47F7" w14:textId="77777777" w:rsidR="00540452" w:rsidRPr="00971D23" w:rsidRDefault="00540452" w:rsidP="0070459C">
      <w:pPr>
        <w:rPr>
          <w:lang w:eastAsia="en-GB"/>
        </w:rPr>
      </w:pPr>
    </w:p>
    <w:p w14:paraId="485A47F8" w14:textId="77777777" w:rsidR="00F64E83" w:rsidRPr="00971D23" w:rsidRDefault="00F64E83" w:rsidP="0070459C">
      <w:pPr>
        <w:rPr>
          <w:lang w:eastAsia="en-GB"/>
        </w:rPr>
      </w:pPr>
    </w:p>
    <w:p w14:paraId="485A47F9" w14:textId="1FBF069F" w:rsidR="00540452" w:rsidRPr="00971D23" w:rsidRDefault="00540452" w:rsidP="0070459C">
      <w:pPr>
        <w:rPr>
          <w:lang w:eastAsia="en-GB"/>
        </w:rPr>
      </w:pPr>
      <w:r w:rsidRPr="00971D23">
        <w:rPr>
          <w:lang w:eastAsia="en-GB"/>
        </w:rPr>
        <w:t>For all other assets depreciation is charged, in line with the accounting policies, on a straight line basis over the following estimated useful lives:</w:t>
      </w:r>
    </w:p>
    <w:p w14:paraId="485A47FB" w14:textId="77777777" w:rsidR="00F64E83" w:rsidRPr="00971D23" w:rsidRDefault="00F64E83" w:rsidP="0070459C">
      <w:pPr>
        <w:rPr>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901"/>
      </w:tblGrid>
      <w:tr w:rsidR="00540452" w:rsidRPr="00971D23" w14:paraId="485A47FE" w14:textId="77777777" w:rsidTr="008775D1">
        <w:trPr>
          <w:jc w:val="center"/>
        </w:trPr>
        <w:tc>
          <w:tcPr>
            <w:tcW w:w="2801" w:type="dxa"/>
            <w:shd w:val="clear" w:color="auto" w:fill="000000"/>
          </w:tcPr>
          <w:p w14:paraId="485A47FC" w14:textId="77777777" w:rsidR="00540452" w:rsidRPr="00971D23" w:rsidRDefault="00540452" w:rsidP="0070459C">
            <w:pPr>
              <w:rPr>
                <w:b/>
                <w:lang w:eastAsia="en-GB"/>
              </w:rPr>
            </w:pPr>
            <w:r w:rsidRPr="00971D23">
              <w:rPr>
                <w:b/>
                <w:lang w:eastAsia="en-GB"/>
              </w:rPr>
              <w:t>Asset Type</w:t>
            </w:r>
          </w:p>
        </w:tc>
        <w:tc>
          <w:tcPr>
            <w:tcW w:w="3901" w:type="dxa"/>
            <w:shd w:val="clear" w:color="auto" w:fill="000000"/>
          </w:tcPr>
          <w:p w14:paraId="485A47FD" w14:textId="77777777" w:rsidR="00540452" w:rsidRPr="00971D23" w:rsidRDefault="00540452" w:rsidP="0070459C">
            <w:pPr>
              <w:rPr>
                <w:b/>
                <w:lang w:eastAsia="en-GB"/>
              </w:rPr>
            </w:pPr>
            <w:r w:rsidRPr="00971D23">
              <w:rPr>
                <w:b/>
                <w:lang w:eastAsia="en-GB"/>
              </w:rPr>
              <w:t>Useful Life</w:t>
            </w:r>
            <w:r w:rsidR="001F581B" w:rsidRPr="00971D23">
              <w:rPr>
                <w:b/>
                <w:lang w:eastAsia="en-GB"/>
              </w:rPr>
              <w:t xml:space="preserve"> (Years)</w:t>
            </w:r>
          </w:p>
        </w:tc>
      </w:tr>
      <w:tr w:rsidR="00540452" w:rsidRPr="00971D23" w14:paraId="485A4801" w14:textId="77777777" w:rsidTr="00D876E8">
        <w:trPr>
          <w:jc w:val="center"/>
        </w:trPr>
        <w:tc>
          <w:tcPr>
            <w:tcW w:w="2801" w:type="dxa"/>
            <w:shd w:val="clear" w:color="auto" w:fill="auto"/>
          </w:tcPr>
          <w:p w14:paraId="485A47FF" w14:textId="77777777" w:rsidR="00540452" w:rsidRPr="00971D23" w:rsidRDefault="00540452" w:rsidP="0070459C">
            <w:pPr>
              <w:rPr>
                <w:lang w:eastAsia="en-GB"/>
              </w:rPr>
            </w:pPr>
            <w:r w:rsidRPr="00971D23">
              <w:rPr>
                <w:lang w:eastAsia="en-GB"/>
              </w:rPr>
              <w:t>Operational Buildings</w:t>
            </w:r>
          </w:p>
        </w:tc>
        <w:tc>
          <w:tcPr>
            <w:tcW w:w="3901" w:type="dxa"/>
            <w:shd w:val="clear" w:color="auto" w:fill="auto"/>
          </w:tcPr>
          <w:p w14:paraId="485A4800" w14:textId="77777777" w:rsidR="00540452" w:rsidRPr="00971D23" w:rsidRDefault="001F581B" w:rsidP="0070459C">
            <w:pPr>
              <w:jc w:val="center"/>
              <w:rPr>
                <w:lang w:eastAsia="en-GB"/>
              </w:rPr>
            </w:pPr>
            <w:r w:rsidRPr="00971D23">
              <w:rPr>
                <w:lang w:eastAsia="en-GB"/>
              </w:rPr>
              <w:t>10 to 50 depending on the type of asset and the construction material</w:t>
            </w:r>
          </w:p>
        </w:tc>
      </w:tr>
      <w:tr w:rsidR="00540452" w:rsidRPr="00971D23" w14:paraId="485A4804" w14:textId="77777777" w:rsidTr="00D876E8">
        <w:trPr>
          <w:jc w:val="center"/>
        </w:trPr>
        <w:tc>
          <w:tcPr>
            <w:tcW w:w="2801" w:type="dxa"/>
            <w:shd w:val="clear" w:color="auto" w:fill="auto"/>
          </w:tcPr>
          <w:p w14:paraId="485A4802" w14:textId="77777777" w:rsidR="00540452" w:rsidRPr="00971D23" w:rsidRDefault="001F581B" w:rsidP="0070459C">
            <w:pPr>
              <w:rPr>
                <w:lang w:eastAsia="en-GB"/>
              </w:rPr>
            </w:pPr>
            <w:r w:rsidRPr="00971D23">
              <w:rPr>
                <w:lang w:eastAsia="en-GB"/>
              </w:rPr>
              <w:t>Vehicles and Plant</w:t>
            </w:r>
          </w:p>
        </w:tc>
        <w:tc>
          <w:tcPr>
            <w:tcW w:w="3901" w:type="dxa"/>
            <w:shd w:val="clear" w:color="auto" w:fill="auto"/>
          </w:tcPr>
          <w:p w14:paraId="485A4803" w14:textId="77777777" w:rsidR="00540452" w:rsidRPr="00971D23" w:rsidRDefault="001F581B" w:rsidP="0070459C">
            <w:pPr>
              <w:jc w:val="center"/>
              <w:rPr>
                <w:lang w:eastAsia="en-GB"/>
              </w:rPr>
            </w:pPr>
            <w:r w:rsidRPr="00971D23">
              <w:rPr>
                <w:lang w:eastAsia="en-GB"/>
              </w:rPr>
              <w:t>5 to 15</w:t>
            </w:r>
          </w:p>
        </w:tc>
      </w:tr>
      <w:tr w:rsidR="00540452" w:rsidRPr="00971D23" w14:paraId="485A4807" w14:textId="77777777" w:rsidTr="00D876E8">
        <w:trPr>
          <w:jc w:val="center"/>
        </w:trPr>
        <w:tc>
          <w:tcPr>
            <w:tcW w:w="2801" w:type="dxa"/>
            <w:shd w:val="clear" w:color="auto" w:fill="auto"/>
          </w:tcPr>
          <w:p w14:paraId="485A4805" w14:textId="77777777" w:rsidR="00540452" w:rsidRPr="00971D23" w:rsidRDefault="001F581B" w:rsidP="0070459C">
            <w:pPr>
              <w:rPr>
                <w:lang w:eastAsia="en-GB"/>
              </w:rPr>
            </w:pPr>
            <w:r w:rsidRPr="00971D23">
              <w:rPr>
                <w:lang w:eastAsia="en-GB"/>
              </w:rPr>
              <w:t>Fixtures and Fittings</w:t>
            </w:r>
          </w:p>
        </w:tc>
        <w:tc>
          <w:tcPr>
            <w:tcW w:w="3901" w:type="dxa"/>
            <w:shd w:val="clear" w:color="auto" w:fill="auto"/>
          </w:tcPr>
          <w:p w14:paraId="485A4806" w14:textId="77777777" w:rsidR="00540452" w:rsidRPr="00971D23" w:rsidRDefault="001F581B" w:rsidP="0070459C">
            <w:pPr>
              <w:jc w:val="center"/>
              <w:rPr>
                <w:lang w:eastAsia="en-GB"/>
              </w:rPr>
            </w:pPr>
            <w:r w:rsidRPr="00971D23">
              <w:rPr>
                <w:lang w:eastAsia="en-GB"/>
              </w:rPr>
              <w:t>5 to 15</w:t>
            </w:r>
          </w:p>
        </w:tc>
      </w:tr>
      <w:tr w:rsidR="00540452" w:rsidRPr="00971D23" w14:paraId="485A480A" w14:textId="77777777" w:rsidTr="00D876E8">
        <w:trPr>
          <w:jc w:val="center"/>
        </w:trPr>
        <w:tc>
          <w:tcPr>
            <w:tcW w:w="2801" w:type="dxa"/>
            <w:shd w:val="clear" w:color="auto" w:fill="auto"/>
          </w:tcPr>
          <w:p w14:paraId="485A4808" w14:textId="77777777" w:rsidR="00540452" w:rsidRPr="00971D23" w:rsidRDefault="001F581B" w:rsidP="0070459C">
            <w:pPr>
              <w:rPr>
                <w:lang w:eastAsia="en-GB"/>
              </w:rPr>
            </w:pPr>
            <w:r w:rsidRPr="00971D23">
              <w:rPr>
                <w:lang w:eastAsia="en-GB"/>
              </w:rPr>
              <w:t>Infrastructure Assets</w:t>
            </w:r>
          </w:p>
        </w:tc>
        <w:tc>
          <w:tcPr>
            <w:tcW w:w="3901" w:type="dxa"/>
            <w:shd w:val="clear" w:color="auto" w:fill="auto"/>
          </w:tcPr>
          <w:p w14:paraId="485A4809" w14:textId="04016B54" w:rsidR="00540452" w:rsidRPr="00971D23" w:rsidRDefault="00803179" w:rsidP="0070459C">
            <w:pPr>
              <w:jc w:val="center"/>
              <w:rPr>
                <w:lang w:eastAsia="en-GB"/>
              </w:rPr>
            </w:pPr>
            <w:r>
              <w:rPr>
                <w:lang w:eastAsia="en-GB"/>
              </w:rPr>
              <w:t xml:space="preserve">Generally </w:t>
            </w:r>
            <w:r w:rsidR="001F581B" w:rsidRPr="00971D23">
              <w:rPr>
                <w:lang w:eastAsia="en-GB"/>
              </w:rPr>
              <w:t>30</w:t>
            </w:r>
            <w:r>
              <w:rPr>
                <w:lang w:eastAsia="en-GB"/>
              </w:rPr>
              <w:t xml:space="preserve"> years but may differ depending on specific asset</w:t>
            </w:r>
          </w:p>
        </w:tc>
      </w:tr>
      <w:tr w:rsidR="00540452" w:rsidRPr="00971D23" w14:paraId="485A480D" w14:textId="77777777" w:rsidTr="00D876E8">
        <w:trPr>
          <w:jc w:val="center"/>
        </w:trPr>
        <w:tc>
          <w:tcPr>
            <w:tcW w:w="2801" w:type="dxa"/>
            <w:shd w:val="clear" w:color="auto" w:fill="auto"/>
          </w:tcPr>
          <w:p w14:paraId="485A480B" w14:textId="77777777" w:rsidR="00540452" w:rsidRPr="00971D23" w:rsidRDefault="001F581B" w:rsidP="0070459C">
            <w:pPr>
              <w:rPr>
                <w:lang w:eastAsia="en-GB"/>
              </w:rPr>
            </w:pPr>
            <w:r w:rsidRPr="00971D23">
              <w:rPr>
                <w:lang w:eastAsia="en-GB"/>
              </w:rPr>
              <w:t>Computer Equipment</w:t>
            </w:r>
          </w:p>
        </w:tc>
        <w:tc>
          <w:tcPr>
            <w:tcW w:w="3901" w:type="dxa"/>
            <w:shd w:val="clear" w:color="auto" w:fill="auto"/>
          </w:tcPr>
          <w:p w14:paraId="485A480C" w14:textId="77777777" w:rsidR="00540452" w:rsidRPr="00971D23" w:rsidRDefault="001F581B" w:rsidP="0070459C">
            <w:pPr>
              <w:jc w:val="center"/>
              <w:rPr>
                <w:lang w:eastAsia="en-GB"/>
              </w:rPr>
            </w:pPr>
            <w:r w:rsidRPr="00971D23">
              <w:rPr>
                <w:lang w:eastAsia="en-GB"/>
              </w:rPr>
              <w:t>3 to 5</w:t>
            </w:r>
          </w:p>
        </w:tc>
      </w:tr>
      <w:tr w:rsidR="00540452" w:rsidRPr="00971D23" w14:paraId="485A4810" w14:textId="77777777" w:rsidTr="00D876E8">
        <w:trPr>
          <w:jc w:val="center"/>
        </w:trPr>
        <w:tc>
          <w:tcPr>
            <w:tcW w:w="2801" w:type="dxa"/>
            <w:shd w:val="clear" w:color="auto" w:fill="auto"/>
          </w:tcPr>
          <w:p w14:paraId="485A480E" w14:textId="77777777" w:rsidR="00540452" w:rsidRPr="00971D23" w:rsidRDefault="001F581B" w:rsidP="0070459C">
            <w:pPr>
              <w:rPr>
                <w:lang w:eastAsia="en-GB"/>
              </w:rPr>
            </w:pPr>
            <w:r w:rsidRPr="00971D23">
              <w:rPr>
                <w:lang w:eastAsia="en-GB"/>
              </w:rPr>
              <w:t>Other Equipment</w:t>
            </w:r>
          </w:p>
        </w:tc>
        <w:tc>
          <w:tcPr>
            <w:tcW w:w="3901" w:type="dxa"/>
            <w:shd w:val="clear" w:color="auto" w:fill="auto"/>
          </w:tcPr>
          <w:p w14:paraId="485A480F" w14:textId="1168DF09" w:rsidR="00540452" w:rsidRPr="00971D23" w:rsidRDefault="001F581B" w:rsidP="0070459C">
            <w:pPr>
              <w:jc w:val="center"/>
              <w:rPr>
                <w:lang w:eastAsia="en-GB"/>
              </w:rPr>
            </w:pPr>
            <w:r w:rsidRPr="00971D23">
              <w:rPr>
                <w:lang w:eastAsia="en-GB"/>
              </w:rPr>
              <w:t xml:space="preserve">5 to </w:t>
            </w:r>
            <w:r w:rsidR="00826802">
              <w:rPr>
                <w:lang w:eastAsia="en-GB"/>
              </w:rPr>
              <w:t>10</w:t>
            </w:r>
          </w:p>
        </w:tc>
      </w:tr>
    </w:tbl>
    <w:p w14:paraId="485A4811" w14:textId="77777777" w:rsidR="00540452" w:rsidRPr="00971D23" w:rsidRDefault="00540452" w:rsidP="0070459C">
      <w:pPr>
        <w:rPr>
          <w:lang w:eastAsia="en-GB"/>
        </w:rPr>
      </w:pPr>
    </w:p>
    <w:p w14:paraId="485A4812" w14:textId="77777777" w:rsidR="00540452" w:rsidRPr="00F63F45" w:rsidRDefault="001F581B" w:rsidP="0070459C">
      <w:pPr>
        <w:rPr>
          <w:lang w:eastAsia="en-GB"/>
        </w:rPr>
      </w:pPr>
      <w:r w:rsidRPr="00F63F45">
        <w:rPr>
          <w:lang w:eastAsia="en-GB"/>
        </w:rPr>
        <w:t>Resid</w:t>
      </w:r>
      <w:r w:rsidR="00AD46B4" w:rsidRPr="00F63F45">
        <w:rPr>
          <w:lang w:eastAsia="en-GB"/>
        </w:rPr>
        <w:t xml:space="preserve">ual values are based on </w:t>
      </w:r>
      <w:r w:rsidR="005731AF" w:rsidRPr="00F63F45">
        <w:rPr>
          <w:lang w:eastAsia="en-GB"/>
        </w:rPr>
        <w:t>the expected age and condition of the asset at the end of its useful life.</w:t>
      </w:r>
    </w:p>
    <w:p w14:paraId="485A4813" w14:textId="77777777" w:rsidR="001F581B" w:rsidRPr="00F63F45" w:rsidRDefault="001F581B" w:rsidP="0070459C">
      <w:pPr>
        <w:rPr>
          <w:lang w:eastAsia="en-GB"/>
        </w:rPr>
      </w:pPr>
    </w:p>
    <w:p w14:paraId="485A4814" w14:textId="77777777" w:rsidR="00E00863" w:rsidRPr="00F63F45" w:rsidRDefault="00E00863" w:rsidP="0070459C">
      <w:pPr>
        <w:pStyle w:val="Subtitle"/>
        <w:tabs>
          <w:tab w:val="left" w:pos="709"/>
        </w:tabs>
        <w:rPr>
          <w:rFonts w:ascii="Arial" w:hAnsi="Arial"/>
          <w:i w:val="0"/>
          <w:iCs w:val="0"/>
          <w:spacing w:val="0"/>
          <w:sz w:val="23"/>
          <w:szCs w:val="23"/>
          <w:u w:val="none"/>
        </w:rPr>
      </w:pPr>
      <w:r w:rsidRPr="00154305">
        <w:rPr>
          <w:rFonts w:ascii="Arial" w:hAnsi="Arial"/>
          <w:i w:val="0"/>
          <w:iCs w:val="0"/>
          <w:spacing w:val="0"/>
          <w:sz w:val="23"/>
          <w:szCs w:val="23"/>
          <w:u w:val="none"/>
        </w:rPr>
        <w:t xml:space="preserve">An analysis of all property, plant and equipment, </w:t>
      </w:r>
      <w:r w:rsidR="00F930D2" w:rsidRPr="00154305">
        <w:rPr>
          <w:rFonts w:ascii="Arial" w:hAnsi="Arial"/>
          <w:i w:val="0"/>
          <w:iCs w:val="0"/>
          <w:spacing w:val="0"/>
          <w:sz w:val="23"/>
          <w:szCs w:val="23"/>
          <w:u w:val="none"/>
        </w:rPr>
        <w:t xml:space="preserve">heritage assets &amp; </w:t>
      </w:r>
      <w:r w:rsidRPr="00154305">
        <w:rPr>
          <w:rFonts w:ascii="Arial" w:hAnsi="Arial"/>
          <w:i w:val="0"/>
          <w:iCs w:val="0"/>
          <w:spacing w:val="0"/>
          <w:sz w:val="23"/>
          <w:szCs w:val="23"/>
          <w:u w:val="none"/>
        </w:rPr>
        <w:t xml:space="preserve">investment property and </w:t>
      </w:r>
      <w:r w:rsidR="00F930D2" w:rsidRPr="00154305">
        <w:rPr>
          <w:rFonts w:ascii="Arial" w:hAnsi="Arial"/>
          <w:i w:val="0"/>
          <w:iCs w:val="0"/>
          <w:spacing w:val="0"/>
          <w:sz w:val="23"/>
          <w:szCs w:val="23"/>
          <w:u w:val="none"/>
        </w:rPr>
        <w:t xml:space="preserve">non-current </w:t>
      </w:r>
      <w:r w:rsidRPr="00154305">
        <w:rPr>
          <w:rFonts w:ascii="Arial" w:hAnsi="Arial"/>
          <w:i w:val="0"/>
          <w:iCs w:val="0"/>
          <w:spacing w:val="0"/>
          <w:sz w:val="23"/>
          <w:szCs w:val="23"/>
          <w:u w:val="none"/>
        </w:rPr>
        <w:t>assets held for sale includes: -</w:t>
      </w:r>
    </w:p>
    <w:p w14:paraId="485A4816" w14:textId="70864427" w:rsidR="00E00863" w:rsidRPr="00F63F45" w:rsidRDefault="00E00863" w:rsidP="0070459C">
      <w:pPr>
        <w:pStyle w:val="Subtitle"/>
        <w:tabs>
          <w:tab w:val="left" w:pos="0"/>
        </w:tabs>
        <w:ind w:right="-1"/>
        <w:jc w:val="center"/>
        <w:rPr>
          <w:b/>
          <w:sz w:val="22"/>
        </w:rPr>
      </w:pPr>
      <w:bookmarkStart w:id="287" w:name="_MON_1370694915"/>
      <w:bookmarkStart w:id="288" w:name="_MON_1395563362"/>
      <w:bookmarkStart w:id="289" w:name="_MON_1401092242"/>
      <w:bookmarkStart w:id="290" w:name="_MON_1401262794"/>
      <w:bookmarkStart w:id="291" w:name="_MON_1401539091"/>
      <w:bookmarkStart w:id="292" w:name="_MON_1402138189"/>
      <w:bookmarkStart w:id="293" w:name="_MON_1361875372"/>
      <w:bookmarkStart w:id="294" w:name="_MON_1361875448"/>
      <w:bookmarkStart w:id="295" w:name="_MON_1362396253"/>
      <w:bookmarkStart w:id="296" w:name="_MON_1363760650"/>
      <w:bookmarkStart w:id="297" w:name="_MON_1368447127"/>
      <w:bookmarkStart w:id="298" w:name="_MON_1368447486"/>
      <w:bookmarkStart w:id="299" w:name="_MON_1368447525"/>
      <w:bookmarkStart w:id="300" w:name="_MON_1368447891"/>
      <w:bookmarkStart w:id="301" w:name="_MON_1369553213"/>
      <w:bookmarkStart w:id="302" w:name="_MON_1369727678"/>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485A4817" w14:textId="6DAAF746" w:rsidR="00E00863" w:rsidRPr="00F63F45" w:rsidRDefault="00E00863" w:rsidP="00BC3A41">
      <w:pPr>
        <w:pStyle w:val="Subtitle"/>
        <w:numPr>
          <w:ilvl w:val="0"/>
          <w:numId w:val="0"/>
        </w:numPr>
        <w:tabs>
          <w:tab w:val="left" w:pos="-709"/>
          <w:tab w:val="left" w:pos="-284"/>
          <w:tab w:val="left" w:pos="-142"/>
          <w:tab w:val="left" w:pos="993"/>
          <w:tab w:val="left" w:pos="1276"/>
        </w:tabs>
        <w:spacing w:line="240" w:lineRule="atLeast"/>
        <w:ind w:left="1418" w:right="680"/>
        <w:rPr>
          <w:rFonts w:ascii="Arial" w:eastAsia="Times New Roman" w:hAnsi="Arial"/>
          <w:i w:val="0"/>
          <w:iCs w:val="0"/>
          <w:spacing w:val="0"/>
          <w:sz w:val="23"/>
          <w:szCs w:val="23"/>
        </w:rPr>
      </w:pPr>
    </w:p>
    <w:p w14:paraId="485A4818" w14:textId="4D32AEC0" w:rsidR="00D73A39" w:rsidRPr="00F63F45" w:rsidRDefault="009A6FA0" w:rsidP="0070459C">
      <w:pPr>
        <w:rPr>
          <w:lang w:eastAsia="en-GB"/>
        </w:rPr>
      </w:pPr>
      <w:r>
        <w:t xml:space="preserve">              </w:t>
      </w:r>
      <w:r w:rsidRPr="009A6FA0">
        <w:rPr>
          <w:noProof/>
        </w:rPr>
        <w:drawing>
          <wp:inline distT="0" distB="0" distL="0" distR="0" wp14:anchorId="7915D7BA" wp14:editId="22E920B9">
            <wp:extent cx="4539615" cy="1699260"/>
            <wp:effectExtent l="0" t="0" r="0" b="0"/>
            <wp:docPr id="948638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39615" cy="1699260"/>
                    </a:xfrm>
                    <a:prstGeom prst="rect">
                      <a:avLst/>
                    </a:prstGeom>
                    <a:noFill/>
                    <a:ln>
                      <a:noFill/>
                    </a:ln>
                  </pic:spPr>
                </pic:pic>
              </a:graphicData>
            </a:graphic>
          </wp:inline>
        </w:drawing>
      </w:r>
    </w:p>
    <w:p w14:paraId="485A4819" w14:textId="2F5727CF" w:rsidR="00E00863" w:rsidRPr="000119E5" w:rsidRDefault="00C15F82" w:rsidP="0070459C">
      <w:pPr>
        <w:pStyle w:val="Subtitle"/>
        <w:numPr>
          <w:ilvl w:val="0"/>
          <w:numId w:val="47"/>
        </w:numPr>
        <w:tabs>
          <w:tab w:val="left" w:pos="-709"/>
          <w:tab w:val="left" w:pos="-284"/>
          <w:tab w:val="left" w:pos="-142"/>
          <w:tab w:val="left" w:pos="567"/>
        </w:tabs>
        <w:spacing w:line="240" w:lineRule="atLeast"/>
        <w:ind w:left="0" w:right="680" w:firstLine="0"/>
        <w:rPr>
          <w:rFonts w:ascii="Arial" w:hAnsi="Arial" w:cs="Arial"/>
          <w:b/>
          <w:i w:val="0"/>
          <w:sz w:val="23"/>
          <w:szCs w:val="23"/>
          <w:u w:val="none"/>
        </w:rPr>
      </w:pPr>
      <w:r w:rsidRPr="00F63F45">
        <w:rPr>
          <w:rFonts w:ascii="Arial" w:hAnsi="Arial" w:cs="Arial"/>
          <w:b/>
          <w:i w:val="0"/>
          <w:sz w:val="23"/>
          <w:szCs w:val="23"/>
          <w:u w:val="none"/>
        </w:rPr>
        <w:br w:type="page"/>
      </w:r>
      <w:bookmarkStart w:id="303" w:name="_Toc167965813"/>
      <w:r w:rsidR="00E00863" w:rsidRPr="006C7E96">
        <w:rPr>
          <w:rStyle w:val="Heading2Char"/>
          <w:i w:val="0"/>
          <w:iCs w:val="0"/>
          <w:u w:val="none"/>
        </w:rPr>
        <w:lastRenderedPageBreak/>
        <w:t>Capital Expenditure</w:t>
      </w:r>
      <w:bookmarkEnd w:id="303"/>
    </w:p>
    <w:p w14:paraId="485A481A" w14:textId="77777777" w:rsidR="00E00863" w:rsidRPr="000119E5" w:rsidRDefault="005A4342" w:rsidP="0070459C">
      <w:pPr>
        <w:pStyle w:val="Subtitle"/>
        <w:tabs>
          <w:tab w:val="left" w:pos="709"/>
          <w:tab w:val="left" w:pos="1103"/>
        </w:tabs>
        <w:rPr>
          <w:rFonts w:ascii="Arial" w:hAnsi="Arial"/>
          <w:i w:val="0"/>
          <w:iCs w:val="0"/>
          <w:spacing w:val="0"/>
          <w:sz w:val="22"/>
          <w:szCs w:val="20"/>
          <w:u w:val="none"/>
        </w:rPr>
      </w:pPr>
      <w:r w:rsidRPr="000119E5">
        <w:rPr>
          <w:rFonts w:ascii="Arial" w:hAnsi="Arial"/>
          <w:i w:val="0"/>
          <w:iCs w:val="0"/>
          <w:spacing w:val="0"/>
          <w:sz w:val="22"/>
          <w:szCs w:val="20"/>
          <w:u w:val="none"/>
        </w:rPr>
        <w:tab/>
      </w:r>
    </w:p>
    <w:p w14:paraId="485A481B" w14:textId="223AD898" w:rsidR="00E00863" w:rsidRPr="000119E5" w:rsidRDefault="00CF3182" w:rsidP="0070459C">
      <w:pPr>
        <w:pStyle w:val="Subtitle"/>
        <w:tabs>
          <w:tab w:val="left" w:pos="567"/>
        </w:tabs>
        <w:rPr>
          <w:rFonts w:ascii="Arial" w:hAnsi="Arial"/>
          <w:i w:val="0"/>
          <w:iCs w:val="0"/>
          <w:spacing w:val="0"/>
          <w:sz w:val="22"/>
          <w:szCs w:val="20"/>
          <w:u w:val="none"/>
        </w:rPr>
      </w:pPr>
      <w:r w:rsidRPr="000119E5">
        <w:rPr>
          <w:rFonts w:ascii="Arial" w:hAnsi="Arial"/>
          <w:i w:val="0"/>
          <w:iCs w:val="0"/>
          <w:spacing w:val="0"/>
          <w:sz w:val="22"/>
          <w:szCs w:val="20"/>
          <w:u w:val="none"/>
        </w:rPr>
        <w:tab/>
      </w:r>
      <w:r w:rsidR="00E00863" w:rsidRPr="000119E5">
        <w:rPr>
          <w:rFonts w:ascii="Arial" w:hAnsi="Arial"/>
          <w:i w:val="0"/>
          <w:iCs w:val="0"/>
          <w:spacing w:val="0"/>
          <w:sz w:val="22"/>
          <w:szCs w:val="20"/>
          <w:u w:val="none"/>
        </w:rPr>
        <w:t xml:space="preserve">Capital Expenditure </w:t>
      </w:r>
      <w:r w:rsidR="004735BE" w:rsidRPr="000119E5">
        <w:rPr>
          <w:rFonts w:ascii="Arial" w:hAnsi="Arial"/>
          <w:i w:val="0"/>
          <w:iCs w:val="0"/>
          <w:spacing w:val="0"/>
          <w:sz w:val="22"/>
          <w:szCs w:val="20"/>
          <w:u w:val="none"/>
        </w:rPr>
        <w:t>and its financing</w:t>
      </w:r>
      <w:r w:rsidR="0067794B" w:rsidRPr="000119E5">
        <w:rPr>
          <w:rFonts w:ascii="Arial" w:hAnsi="Arial"/>
          <w:i w:val="0"/>
          <w:iCs w:val="0"/>
          <w:spacing w:val="0"/>
          <w:sz w:val="22"/>
          <w:szCs w:val="20"/>
          <w:u w:val="none"/>
        </w:rPr>
        <w:t>, including schemes under construction</w:t>
      </w:r>
      <w:r w:rsidR="004735BE" w:rsidRPr="000119E5">
        <w:rPr>
          <w:rFonts w:ascii="Arial" w:hAnsi="Arial"/>
          <w:i w:val="0"/>
          <w:iCs w:val="0"/>
          <w:spacing w:val="0"/>
          <w:sz w:val="22"/>
          <w:szCs w:val="20"/>
          <w:u w:val="none"/>
        </w:rPr>
        <w:t xml:space="preserve"> were </w:t>
      </w:r>
      <w:r w:rsidR="00E00863" w:rsidRPr="000119E5">
        <w:rPr>
          <w:rFonts w:ascii="Arial" w:hAnsi="Arial"/>
          <w:i w:val="0"/>
          <w:iCs w:val="0"/>
          <w:spacing w:val="0"/>
          <w:sz w:val="22"/>
          <w:szCs w:val="20"/>
          <w:u w:val="none"/>
        </w:rPr>
        <w:t>as follows:</w:t>
      </w:r>
    </w:p>
    <w:p w14:paraId="2F50AF98" w14:textId="77777777" w:rsidR="000119E5" w:rsidRDefault="000119E5" w:rsidP="0070459C">
      <w:pPr>
        <w:rPr>
          <w:highlight w:val="yellow"/>
          <w:lang w:eastAsia="en-GB"/>
        </w:rPr>
      </w:pPr>
    </w:p>
    <w:tbl>
      <w:tblPr>
        <w:tblW w:w="8698" w:type="dxa"/>
        <w:tblInd w:w="274" w:type="dxa"/>
        <w:tblLook w:val="04A0" w:firstRow="1" w:lastRow="0" w:firstColumn="1" w:lastColumn="0" w:noHBand="0" w:noVBand="1"/>
      </w:tblPr>
      <w:tblGrid>
        <w:gridCol w:w="734"/>
        <w:gridCol w:w="1196"/>
        <w:gridCol w:w="3776"/>
        <w:gridCol w:w="1012"/>
        <w:gridCol w:w="1012"/>
        <w:gridCol w:w="968"/>
      </w:tblGrid>
      <w:tr w:rsidR="000119E5" w:rsidRPr="000119E5" w14:paraId="72554A3E" w14:textId="77777777" w:rsidTr="00CA46EF">
        <w:trPr>
          <w:trHeight w:val="290"/>
        </w:trPr>
        <w:tc>
          <w:tcPr>
            <w:tcW w:w="734" w:type="dxa"/>
            <w:tcBorders>
              <w:top w:val="single" w:sz="8" w:space="0" w:color="auto"/>
              <w:left w:val="single" w:sz="8" w:space="0" w:color="auto"/>
              <w:bottom w:val="nil"/>
              <w:right w:val="nil"/>
            </w:tcBorders>
            <w:shd w:val="clear" w:color="000000" w:fill="000000"/>
            <w:noWrap/>
            <w:vAlign w:val="center"/>
            <w:hideMark/>
          </w:tcPr>
          <w:p w14:paraId="2E9F1FF2" w14:textId="77777777" w:rsidR="000119E5" w:rsidRPr="000119E5" w:rsidRDefault="000119E5" w:rsidP="0070459C">
            <w:pPr>
              <w:rPr>
                <w:rFonts w:cs="Arial"/>
                <w:color w:val="FFFFFF"/>
                <w:lang w:eastAsia="en-GB"/>
              </w:rPr>
            </w:pPr>
            <w:r w:rsidRPr="000119E5">
              <w:rPr>
                <w:rFonts w:cs="Arial"/>
                <w:color w:val="FFFFFF"/>
                <w:lang w:eastAsia="en-GB"/>
              </w:rPr>
              <w:t> </w:t>
            </w:r>
          </w:p>
        </w:tc>
        <w:tc>
          <w:tcPr>
            <w:tcW w:w="1196" w:type="dxa"/>
            <w:tcBorders>
              <w:top w:val="single" w:sz="8" w:space="0" w:color="auto"/>
              <w:left w:val="nil"/>
              <w:bottom w:val="nil"/>
              <w:right w:val="nil"/>
            </w:tcBorders>
            <w:shd w:val="clear" w:color="000000" w:fill="000000"/>
            <w:noWrap/>
            <w:vAlign w:val="center"/>
            <w:hideMark/>
          </w:tcPr>
          <w:p w14:paraId="2999610A" w14:textId="77777777" w:rsidR="000119E5" w:rsidRPr="000119E5" w:rsidRDefault="000119E5" w:rsidP="0070459C">
            <w:pPr>
              <w:rPr>
                <w:rFonts w:cs="Arial"/>
                <w:b/>
                <w:bCs/>
                <w:color w:val="FFFFFF"/>
                <w:lang w:eastAsia="en-GB"/>
              </w:rPr>
            </w:pPr>
            <w:r w:rsidRPr="000119E5">
              <w:rPr>
                <w:rFonts w:cs="Arial"/>
                <w:b/>
                <w:bCs/>
                <w:color w:val="FFFFFF"/>
                <w:lang w:eastAsia="en-GB"/>
              </w:rPr>
              <w:t> </w:t>
            </w:r>
          </w:p>
        </w:tc>
        <w:tc>
          <w:tcPr>
            <w:tcW w:w="3776" w:type="dxa"/>
            <w:tcBorders>
              <w:top w:val="single" w:sz="8" w:space="0" w:color="auto"/>
              <w:left w:val="nil"/>
              <w:bottom w:val="nil"/>
              <w:right w:val="nil"/>
            </w:tcBorders>
            <w:shd w:val="clear" w:color="000000" w:fill="000000"/>
            <w:noWrap/>
            <w:vAlign w:val="center"/>
            <w:hideMark/>
          </w:tcPr>
          <w:p w14:paraId="7C2C9349" w14:textId="77777777" w:rsidR="000119E5" w:rsidRPr="000119E5" w:rsidRDefault="000119E5" w:rsidP="0070459C">
            <w:pPr>
              <w:rPr>
                <w:rFonts w:cs="Arial"/>
                <w:color w:val="FFFFFF"/>
                <w:lang w:eastAsia="en-GB"/>
              </w:rPr>
            </w:pPr>
            <w:r w:rsidRPr="000119E5">
              <w:rPr>
                <w:rFonts w:cs="Arial"/>
                <w:color w:val="FFFFFF"/>
                <w:lang w:eastAsia="en-GB"/>
              </w:rPr>
              <w:t> </w:t>
            </w:r>
          </w:p>
        </w:tc>
        <w:tc>
          <w:tcPr>
            <w:tcW w:w="1012" w:type="dxa"/>
            <w:tcBorders>
              <w:top w:val="single" w:sz="8" w:space="0" w:color="auto"/>
              <w:left w:val="nil"/>
              <w:bottom w:val="nil"/>
              <w:right w:val="nil"/>
            </w:tcBorders>
            <w:shd w:val="clear" w:color="000000" w:fill="000000"/>
            <w:noWrap/>
            <w:vAlign w:val="center"/>
            <w:hideMark/>
          </w:tcPr>
          <w:p w14:paraId="551B4720" w14:textId="109F108E" w:rsidR="000119E5" w:rsidRPr="000119E5" w:rsidRDefault="000119E5" w:rsidP="0070459C">
            <w:pPr>
              <w:jc w:val="center"/>
              <w:rPr>
                <w:rFonts w:cs="Arial"/>
                <w:b/>
                <w:bCs/>
                <w:color w:val="FFFFFF"/>
                <w:sz w:val="22"/>
                <w:szCs w:val="22"/>
                <w:lang w:eastAsia="en-GB"/>
              </w:rPr>
            </w:pPr>
            <w:r w:rsidRPr="000119E5">
              <w:rPr>
                <w:rFonts w:cs="Arial"/>
                <w:b/>
                <w:bCs/>
                <w:color w:val="FFFFFF"/>
                <w:sz w:val="22"/>
                <w:szCs w:val="22"/>
                <w:lang w:eastAsia="en-GB"/>
              </w:rPr>
              <w:t>202</w:t>
            </w:r>
            <w:r w:rsidR="00A734BB">
              <w:rPr>
                <w:rFonts w:cs="Arial"/>
                <w:b/>
                <w:bCs/>
                <w:color w:val="FFFFFF"/>
                <w:sz w:val="22"/>
                <w:szCs w:val="22"/>
                <w:lang w:eastAsia="en-GB"/>
              </w:rPr>
              <w:t>2</w:t>
            </w:r>
            <w:r w:rsidRPr="000119E5">
              <w:rPr>
                <w:rFonts w:cs="Arial"/>
                <w:b/>
                <w:bCs/>
                <w:color w:val="FFFFFF"/>
                <w:sz w:val="22"/>
                <w:szCs w:val="22"/>
                <w:lang w:eastAsia="en-GB"/>
              </w:rPr>
              <w:t>/2</w:t>
            </w:r>
            <w:r w:rsidR="00A734BB">
              <w:rPr>
                <w:rFonts w:cs="Arial"/>
                <w:b/>
                <w:bCs/>
                <w:color w:val="FFFFFF"/>
                <w:sz w:val="22"/>
                <w:szCs w:val="22"/>
                <w:lang w:eastAsia="en-GB"/>
              </w:rPr>
              <w:t>3</w:t>
            </w:r>
          </w:p>
        </w:tc>
        <w:tc>
          <w:tcPr>
            <w:tcW w:w="1012" w:type="dxa"/>
            <w:tcBorders>
              <w:top w:val="single" w:sz="8" w:space="0" w:color="auto"/>
              <w:left w:val="nil"/>
              <w:bottom w:val="nil"/>
              <w:right w:val="nil"/>
            </w:tcBorders>
            <w:shd w:val="clear" w:color="000000" w:fill="000000"/>
            <w:noWrap/>
            <w:vAlign w:val="center"/>
            <w:hideMark/>
          </w:tcPr>
          <w:p w14:paraId="12847291" w14:textId="451AA46D" w:rsidR="000119E5" w:rsidRPr="000119E5" w:rsidRDefault="000119E5" w:rsidP="0070459C">
            <w:pPr>
              <w:jc w:val="center"/>
              <w:rPr>
                <w:rFonts w:cs="Arial"/>
                <w:b/>
                <w:bCs/>
                <w:color w:val="FFFFFF"/>
                <w:sz w:val="22"/>
                <w:szCs w:val="22"/>
                <w:lang w:eastAsia="en-GB"/>
              </w:rPr>
            </w:pPr>
            <w:r w:rsidRPr="000119E5">
              <w:rPr>
                <w:rFonts w:cs="Arial"/>
                <w:b/>
                <w:bCs/>
                <w:color w:val="FFFFFF"/>
                <w:sz w:val="22"/>
                <w:szCs w:val="22"/>
                <w:lang w:eastAsia="en-GB"/>
              </w:rPr>
              <w:t>202</w:t>
            </w:r>
            <w:r w:rsidR="00A734BB">
              <w:rPr>
                <w:rFonts w:cs="Arial"/>
                <w:b/>
                <w:bCs/>
                <w:color w:val="FFFFFF"/>
                <w:sz w:val="22"/>
                <w:szCs w:val="22"/>
                <w:lang w:eastAsia="en-GB"/>
              </w:rPr>
              <w:t>3</w:t>
            </w:r>
            <w:r w:rsidRPr="000119E5">
              <w:rPr>
                <w:rFonts w:cs="Arial"/>
                <w:b/>
                <w:bCs/>
                <w:color w:val="FFFFFF"/>
                <w:sz w:val="22"/>
                <w:szCs w:val="22"/>
                <w:lang w:eastAsia="en-GB"/>
              </w:rPr>
              <w:t>/2</w:t>
            </w:r>
            <w:r w:rsidR="00A734BB">
              <w:rPr>
                <w:rFonts w:cs="Arial"/>
                <w:b/>
                <w:bCs/>
                <w:color w:val="FFFFFF"/>
                <w:sz w:val="22"/>
                <w:szCs w:val="22"/>
                <w:lang w:eastAsia="en-GB"/>
              </w:rPr>
              <w:t>4</w:t>
            </w:r>
          </w:p>
        </w:tc>
        <w:tc>
          <w:tcPr>
            <w:tcW w:w="968" w:type="dxa"/>
            <w:tcBorders>
              <w:top w:val="single" w:sz="8" w:space="0" w:color="auto"/>
              <w:left w:val="nil"/>
              <w:bottom w:val="nil"/>
              <w:right w:val="single" w:sz="8" w:space="0" w:color="auto"/>
            </w:tcBorders>
            <w:shd w:val="clear" w:color="000000" w:fill="000000"/>
            <w:noWrap/>
            <w:vAlign w:val="center"/>
            <w:hideMark/>
          </w:tcPr>
          <w:p w14:paraId="7E2BD347" w14:textId="77777777" w:rsidR="000119E5" w:rsidRPr="000119E5" w:rsidRDefault="000119E5" w:rsidP="0070459C">
            <w:pPr>
              <w:rPr>
                <w:rFonts w:cs="Arial"/>
                <w:color w:val="FFFFFF"/>
                <w:lang w:eastAsia="en-GB"/>
              </w:rPr>
            </w:pPr>
            <w:r w:rsidRPr="000119E5">
              <w:rPr>
                <w:rFonts w:cs="Arial"/>
                <w:color w:val="FFFFFF"/>
                <w:lang w:eastAsia="en-GB"/>
              </w:rPr>
              <w:t> </w:t>
            </w:r>
          </w:p>
        </w:tc>
      </w:tr>
      <w:tr w:rsidR="000119E5" w:rsidRPr="000119E5" w14:paraId="38724728" w14:textId="77777777" w:rsidTr="00CA46EF">
        <w:trPr>
          <w:trHeight w:val="290"/>
        </w:trPr>
        <w:tc>
          <w:tcPr>
            <w:tcW w:w="734" w:type="dxa"/>
            <w:tcBorders>
              <w:top w:val="nil"/>
              <w:left w:val="single" w:sz="8" w:space="0" w:color="auto"/>
              <w:bottom w:val="nil"/>
              <w:right w:val="nil"/>
            </w:tcBorders>
            <w:shd w:val="clear" w:color="000000" w:fill="000000"/>
            <w:noWrap/>
            <w:vAlign w:val="center"/>
            <w:hideMark/>
          </w:tcPr>
          <w:p w14:paraId="4D0E2BAD" w14:textId="77777777" w:rsidR="000119E5" w:rsidRPr="000119E5" w:rsidRDefault="000119E5" w:rsidP="0070459C">
            <w:pPr>
              <w:rPr>
                <w:rFonts w:cs="Arial"/>
                <w:color w:val="FFFFFF"/>
                <w:lang w:eastAsia="en-GB"/>
              </w:rPr>
            </w:pPr>
            <w:r w:rsidRPr="000119E5">
              <w:rPr>
                <w:rFonts w:cs="Arial"/>
                <w:color w:val="FFFFFF"/>
                <w:lang w:eastAsia="en-GB"/>
              </w:rPr>
              <w:t> </w:t>
            </w:r>
          </w:p>
        </w:tc>
        <w:tc>
          <w:tcPr>
            <w:tcW w:w="1196" w:type="dxa"/>
            <w:tcBorders>
              <w:top w:val="nil"/>
              <w:left w:val="nil"/>
              <w:bottom w:val="nil"/>
              <w:right w:val="nil"/>
            </w:tcBorders>
            <w:shd w:val="clear" w:color="000000" w:fill="000000"/>
            <w:noWrap/>
            <w:vAlign w:val="center"/>
            <w:hideMark/>
          </w:tcPr>
          <w:p w14:paraId="33AE6F21" w14:textId="77777777" w:rsidR="000119E5" w:rsidRPr="000119E5" w:rsidRDefault="000119E5" w:rsidP="0070459C">
            <w:pPr>
              <w:rPr>
                <w:rFonts w:cs="Arial"/>
                <w:b/>
                <w:bCs/>
                <w:color w:val="FFFFFF"/>
                <w:lang w:eastAsia="en-GB"/>
              </w:rPr>
            </w:pPr>
            <w:r w:rsidRPr="000119E5">
              <w:rPr>
                <w:rFonts w:cs="Arial"/>
                <w:b/>
                <w:bCs/>
                <w:color w:val="FFFFFF"/>
                <w:lang w:eastAsia="en-GB"/>
              </w:rPr>
              <w:t> </w:t>
            </w:r>
          </w:p>
        </w:tc>
        <w:tc>
          <w:tcPr>
            <w:tcW w:w="3776" w:type="dxa"/>
            <w:tcBorders>
              <w:top w:val="nil"/>
              <w:left w:val="nil"/>
              <w:bottom w:val="nil"/>
              <w:right w:val="nil"/>
            </w:tcBorders>
            <w:shd w:val="clear" w:color="000000" w:fill="000000"/>
            <w:noWrap/>
            <w:vAlign w:val="center"/>
            <w:hideMark/>
          </w:tcPr>
          <w:p w14:paraId="45EA1250" w14:textId="77777777" w:rsidR="000119E5" w:rsidRPr="000119E5" w:rsidRDefault="000119E5" w:rsidP="0070459C">
            <w:pPr>
              <w:rPr>
                <w:rFonts w:cs="Arial"/>
                <w:color w:val="FFFFFF"/>
                <w:lang w:eastAsia="en-GB"/>
              </w:rPr>
            </w:pPr>
            <w:r w:rsidRPr="000119E5">
              <w:rPr>
                <w:rFonts w:cs="Arial"/>
                <w:color w:val="FFFFFF"/>
                <w:lang w:eastAsia="en-GB"/>
              </w:rPr>
              <w:t> </w:t>
            </w:r>
          </w:p>
        </w:tc>
        <w:tc>
          <w:tcPr>
            <w:tcW w:w="1012" w:type="dxa"/>
            <w:tcBorders>
              <w:top w:val="nil"/>
              <w:left w:val="nil"/>
              <w:bottom w:val="nil"/>
              <w:right w:val="nil"/>
            </w:tcBorders>
            <w:shd w:val="clear" w:color="000000" w:fill="000000"/>
            <w:noWrap/>
            <w:vAlign w:val="center"/>
            <w:hideMark/>
          </w:tcPr>
          <w:p w14:paraId="3FCD7249" w14:textId="77777777" w:rsidR="000119E5" w:rsidRPr="000119E5" w:rsidRDefault="000119E5" w:rsidP="0070459C">
            <w:pPr>
              <w:jc w:val="center"/>
              <w:rPr>
                <w:rFonts w:cs="Arial"/>
                <w:b/>
                <w:bCs/>
                <w:color w:val="FFFFFF"/>
                <w:sz w:val="22"/>
                <w:szCs w:val="22"/>
                <w:lang w:eastAsia="en-GB"/>
              </w:rPr>
            </w:pPr>
            <w:r w:rsidRPr="000119E5">
              <w:rPr>
                <w:rFonts w:cs="Arial"/>
                <w:b/>
                <w:bCs/>
                <w:color w:val="FFFFFF"/>
                <w:sz w:val="22"/>
                <w:szCs w:val="22"/>
                <w:lang w:eastAsia="en-GB"/>
              </w:rPr>
              <w:t>£000s</w:t>
            </w:r>
          </w:p>
        </w:tc>
        <w:tc>
          <w:tcPr>
            <w:tcW w:w="1012" w:type="dxa"/>
            <w:tcBorders>
              <w:top w:val="nil"/>
              <w:left w:val="nil"/>
              <w:bottom w:val="nil"/>
              <w:right w:val="nil"/>
            </w:tcBorders>
            <w:shd w:val="clear" w:color="000000" w:fill="000000"/>
            <w:noWrap/>
            <w:vAlign w:val="center"/>
            <w:hideMark/>
          </w:tcPr>
          <w:p w14:paraId="47A63196" w14:textId="77777777" w:rsidR="000119E5" w:rsidRPr="000119E5" w:rsidRDefault="000119E5" w:rsidP="0070459C">
            <w:pPr>
              <w:jc w:val="center"/>
              <w:rPr>
                <w:rFonts w:cs="Arial"/>
                <w:b/>
                <w:bCs/>
                <w:color w:val="FFFFFF"/>
                <w:sz w:val="22"/>
                <w:szCs w:val="22"/>
                <w:lang w:eastAsia="en-GB"/>
              </w:rPr>
            </w:pPr>
            <w:r w:rsidRPr="000119E5">
              <w:rPr>
                <w:rFonts w:cs="Arial"/>
                <w:b/>
                <w:bCs/>
                <w:color w:val="FFFFFF"/>
                <w:sz w:val="22"/>
                <w:szCs w:val="22"/>
                <w:lang w:eastAsia="en-GB"/>
              </w:rPr>
              <w:t>£000s</w:t>
            </w:r>
          </w:p>
        </w:tc>
        <w:tc>
          <w:tcPr>
            <w:tcW w:w="968" w:type="dxa"/>
            <w:tcBorders>
              <w:top w:val="nil"/>
              <w:left w:val="nil"/>
              <w:bottom w:val="nil"/>
              <w:right w:val="single" w:sz="8" w:space="0" w:color="auto"/>
            </w:tcBorders>
            <w:shd w:val="clear" w:color="000000" w:fill="000000"/>
            <w:noWrap/>
            <w:vAlign w:val="center"/>
            <w:hideMark/>
          </w:tcPr>
          <w:p w14:paraId="4DC923E1" w14:textId="77777777" w:rsidR="000119E5" w:rsidRPr="000119E5" w:rsidRDefault="000119E5" w:rsidP="0070459C">
            <w:pPr>
              <w:rPr>
                <w:rFonts w:cs="Arial"/>
                <w:color w:val="FFFFFF"/>
                <w:lang w:eastAsia="en-GB"/>
              </w:rPr>
            </w:pPr>
            <w:r w:rsidRPr="000119E5">
              <w:rPr>
                <w:rFonts w:cs="Arial"/>
                <w:color w:val="FFFFFF"/>
                <w:lang w:eastAsia="en-GB"/>
              </w:rPr>
              <w:t> </w:t>
            </w:r>
          </w:p>
        </w:tc>
      </w:tr>
      <w:tr w:rsidR="000119E5" w:rsidRPr="000119E5" w14:paraId="2B8ED7E1"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132089E6"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6256F127"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3C6E52A4"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nil"/>
              <w:right w:val="nil"/>
            </w:tcBorders>
            <w:shd w:val="clear" w:color="000000" w:fill="FFFFFF"/>
            <w:noWrap/>
            <w:vAlign w:val="center"/>
            <w:hideMark/>
          </w:tcPr>
          <w:p w14:paraId="6F651F83"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nil"/>
              <w:right w:val="nil"/>
            </w:tcBorders>
            <w:shd w:val="clear" w:color="000000" w:fill="FFFFFF"/>
            <w:noWrap/>
            <w:vAlign w:val="center"/>
            <w:hideMark/>
          </w:tcPr>
          <w:p w14:paraId="1576DECD"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968" w:type="dxa"/>
            <w:tcBorders>
              <w:top w:val="nil"/>
              <w:left w:val="nil"/>
              <w:bottom w:val="nil"/>
              <w:right w:val="single" w:sz="8" w:space="0" w:color="auto"/>
            </w:tcBorders>
            <w:shd w:val="clear" w:color="000000" w:fill="FFFFFF"/>
            <w:noWrap/>
            <w:vAlign w:val="center"/>
            <w:hideMark/>
          </w:tcPr>
          <w:p w14:paraId="0C4E1BD8"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7ABD44B7"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21FCA53D"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4972" w:type="dxa"/>
            <w:gridSpan w:val="2"/>
            <w:tcBorders>
              <w:top w:val="nil"/>
              <w:left w:val="nil"/>
              <w:bottom w:val="nil"/>
              <w:right w:val="nil"/>
            </w:tcBorders>
            <w:shd w:val="clear" w:color="000000" w:fill="FFFFFF"/>
            <w:noWrap/>
            <w:vAlign w:val="center"/>
            <w:hideMark/>
          </w:tcPr>
          <w:p w14:paraId="745BC81C"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Land and Buildings</w:t>
            </w:r>
          </w:p>
        </w:tc>
        <w:tc>
          <w:tcPr>
            <w:tcW w:w="1012" w:type="dxa"/>
            <w:tcBorders>
              <w:top w:val="nil"/>
              <w:left w:val="nil"/>
              <w:bottom w:val="nil"/>
              <w:right w:val="nil"/>
            </w:tcBorders>
            <w:shd w:val="clear" w:color="000000" w:fill="FFFFFF"/>
            <w:noWrap/>
            <w:vAlign w:val="center"/>
            <w:hideMark/>
          </w:tcPr>
          <w:p w14:paraId="0018C7CC"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nil"/>
              <w:right w:val="nil"/>
            </w:tcBorders>
            <w:shd w:val="clear" w:color="000000" w:fill="FFFFFF"/>
            <w:noWrap/>
            <w:vAlign w:val="center"/>
            <w:hideMark/>
          </w:tcPr>
          <w:p w14:paraId="51B586B2"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968" w:type="dxa"/>
            <w:tcBorders>
              <w:top w:val="nil"/>
              <w:left w:val="nil"/>
              <w:bottom w:val="nil"/>
              <w:right w:val="single" w:sz="8" w:space="0" w:color="auto"/>
            </w:tcBorders>
            <w:shd w:val="clear" w:color="000000" w:fill="FFFFFF"/>
            <w:noWrap/>
            <w:vAlign w:val="center"/>
            <w:hideMark/>
          </w:tcPr>
          <w:p w14:paraId="3BFD2D3D"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5F2D04FB"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4A020C3A"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4B9BEEB4"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38213CDE"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Information Centre works</w:t>
            </w:r>
          </w:p>
        </w:tc>
        <w:tc>
          <w:tcPr>
            <w:tcW w:w="1012" w:type="dxa"/>
            <w:tcBorders>
              <w:top w:val="nil"/>
              <w:left w:val="nil"/>
              <w:bottom w:val="nil"/>
              <w:right w:val="nil"/>
            </w:tcBorders>
            <w:shd w:val="clear" w:color="000000" w:fill="FFFFFF"/>
            <w:noWrap/>
            <w:vAlign w:val="center"/>
            <w:hideMark/>
          </w:tcPr>
          <w:p w14:paraId="6E28E371" w14:textId="2222C5AB" w:rsidR="000119E5" w:rsidRPr="000119E5" w:rsidRDefault="00CA46EF" w:rsidP="0070459C">
            <w:pPr>
              <w:jc w:val="right"/>
              <w:rPr>
                <w:rFonts w:cs="Arial"/>
                <w:color w:val="000000"/>
                <w:sz w:val="22"/>
                <w:szCs w:val="22"/>
                <w:lang w:eastAsia="en-GB"/>
              </w:rPr>
            </w:pPr>
            <w:r>
              <w:rPr>
                <w:rFonts w:cs="Arial"/>
                <w:color w:val="000000"/>
                <w:sz w:val="22"/>
                <w:szCs w:val="22"/>
                <w:lang w:eastAsia="en-GB"/>
              </w:rPr>
              <w:t>44</w:t>
            </w:r>
          </w:p>
        </w:tc>
        <w:tc>
          <w:tcPr>
            <w:tcW w:w="1012" w:type="dxa"/>
            <w:tcBorders>
              <w:top w:val="nil"/>
              <w:left w:val="nil"/>
              <w:bottom w:val="nil"/>
              <w:right w:val="nil"/>
            </w:tcBorders>
            <w:shd w:val="clear" w:color="000000" w:fill="FFFFFF"/>
            <w:noWrap/>
            <w:vAlign w:val="center"/>
            <w:hideMark/>
          </w:tcPr>
          <w:p w14:paraId="31AA5B3D" w14:textId="42D7A062" w:rsidR="000119E5" w:rsidRPr="000119E5" w:rsidRDefault="00CA46EF" w:rsidP="0070459C">
            <w:pPr>
              <w:jc w:val="right"/>
              <w:rPr>
                <w:rFonts w:cs="Arial"/>
                <w:color w:val="000000"/>
                <w:sz w:val="22"/>
                <w:szCs w:val="22"/>
                <w:lang w:eastAsia="en-GB"/>
              </w:rPr>
            </w:pPr>
            <w:r>
              <w:rPr>
                <w:rFonts w:cs="Arial"/>
                <w:color w:val="000000"/>
                <w:sz w:val="22"/>
                <w:szCs w:val="22"/>
                <w:lang w:eastAsia="en-GB"/>
              </w:rPr>
              <w:t>148</w:t>
            </w:r>
          </w:p>
        </w:tc>
        <w:tc>
          <w:tcPr>
            <w:tcW w:w="968" w:type="dxa"/>
            <w:tcBorders>
              <w:top w:val="nil"/>
              <w:left w:val="nil"/>
              <w:bottom w:val="nil"/>
              <w:right w:val="single" w:sz="8" w:space="0" w:color="auto"/>
            </w:tcBorders>
            <w:shd w:val="clear" w:color="000000" w:fill="FFFFFF"/>
            <w:noWrap/>
            <w:vAlign w:val="center"/>
            <w:hideMark/>
          </w:tcPr>
          <w:p w14:paraId="6F7B104B"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0BD3411E"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5D24F536"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6DE00543"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4636C3B7"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Brockhole Improvements</w:t>
            </w:r>
          </w:p>
        </w:tc>
        <w:tc>
          <w:tcPr>
            <w:tcW w:w="1012" w:type="dxa"/>
            <w:tcBorders>
              <w:top w:val="nil"/>
              <w:left w:val="nil"/>
              <w:bottom w:val="nil"/>
              <w:right w:val="nil"/>
            </w:tcBorders>
            <w:shd w:val="clear" w:color="000000" w:fill="FFFFFF"/>
            <w:noWrap/>
            <w:vAlign w:val="center"/>
            <w:hideMark/>
          </w:tcPr>
          <w:p w14:paraId="3DFF1E5E" w14:textId="24809A62" w:rsidR="000119E5" w:rsidRPr="000119E5" w:rsidRDefault="00CA46EF" w:rsidP="0070459C">
            <w:pPr>
              <w:jc w:val="right"/>
              <w:rPr>
                <w:rFonts w:cs="Arial"/>
                <w:color w:val="000000"/>
                <w:sz w:val="22"/>
                <w:szCs w:val="22"/>
                <w:lang w:eastAsia="en-GB"/>
              </w:rPr>
            </w:pPr>
            <w:r>
              <w:rPr>
                <w:rFonts w:cs="Arial"/>
                <w:color w:val="000000"/>
                <w:sz w:val="22"/>
                <w:szCs w:val="22"/>
                <w:lang w:eastAsia="en-GB"/>
              </w:rPr>
              <w:t>216</w:t>
            </w:r>
          </w:p>
        </w:tc>
        <w:tc>
          <w:tcPr>
            <w:tcW w:w="1012" w:type="dxa"/>
            <w:tcBorders>
              <w:top w:val="nil"/>
              <w:left w:val="nil"/>
              <w:bottom w:val="nil"/>
              <w:right w:val="nil"/>
            </w:tcBorders>
            <w:shd w:val="clear" w:color="000000" w:fill="FFFFFF"/>
            <w:noWrap/>
            <w:vAlign w:val="center"/>
            <w:hideMark/>
          </w:tcPr>
          <w:p w14:paraId="7F3CE2A6" w14:textId="1EB9654A" w:rsidR="000119E5" w:rsidRPr="000119E5" w:rsidRDefault="00CA46EF" w:rsidP="0070459C">
            <w:pPr>
              <w:jc w:val="right"/>
              <w:rPr>
                <w:rFonts w:cs="Arial"/>
                <w:color w:val="000000"/>
                <w:sz w:val="22"/>
                <w:szCs w:val="22"/>
                <w:lang w:eastAsia="en-GB"/>
              </w:rPr>
            </w:pPr>
            <w:r>
              <w:rPr>
                <w:rFonts w:cs="Arial"/>
                <w:color w:val="000000"/>
                <w:sz w:val="22"/>
                <w:szCs w:val="22"/>
                <w:lang w:eastAsia="en-GB"/>
              </w:rPr>
              <w:t>151</w:t>
            </w:r>
          </w:p>
        </w:tc>
        <w:tc>
          <w:tcPr>
            <w:tcW w:w="968" w:type="dxa"/>
            <w:tcBorders>
              <w:top w:val="nil"/>
              <w:left w:val="nil"/>
              <w:bottom w:val="nil"/>
              <w:right w:val="single" w:sz="8" w:space="0" w:color="auto"/>
            </w:tcBorders>
            <w:shd w:val="clear" w:color="000000" w:fill="FFFFFF"/>
            <w:noWrap/>
            <w:vAlign w:val="center"/>
            <w:hideMark/>
          </w:tcPr>
          <w:p w14:paraId="5DCFE6B9"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69A9B27A"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4275E3AE"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3FAC6480"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5398579E"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Depot works</w:t>
            </w:r>
          </w:p>
        </w:tc>
        <w:tc>
          <w:tcPr>
            <w:tcW w:w="1012" w:type="dxa"/>
            <w:tcBorders>
              <w:top w:val="nil"/>
              <w:left w:val="nil"/>
              <w:bottom w:val="nil"/>
              <w:right w:val="nil"/>
            </w:tcBorders>
            <w:shd w:val="clear" w:color="000000" w:fill="FFFFFF"/>
            <w:noWrap/>
            <w:vAlign w:val="center"/>
            <w:hideMark/>
          </w:tcPr>
          <w:p w14:paraId="16662F6D" w14:textId="48917286" w:rsidR="000119E5" w:rsidRPr="000119E5" w:rsidRDefault="00CA46EF" w:rsidP="0070459C">
            <w:pPr>
              <w:jc w:val="right"/>
              <w:rPr>
                <w:rFonts w:cs="Arial"/>
                <w:color w:val="000000"/>
                <w:sz w:val="22"/>
                <w:szCs w:val="22"/>
                <w:lang w:eastAsia="en-GB"/>
              </w:rPr>
            </w:pPr>
            <w:r>
              <w:rPr>
                <w:rFonts w:cs="Arial"/>
                <w:color w:val="000000"/>
                <w:sz w:val="22"/>
                <w:szCs w:val="22"/>
                <w:lang w:eastAsia="en-GB"/>
              </w:rPr>
              <w:t>28</w:t>
            </w:r>
          </w:p>
        </w:tc>
        <w:tc>
          <w:tcPr>
            <w:tcW w:w="1012" w:type="dxa"/>
            <w:tcBorders>
              <w:top w:val="nil"/>
              <w:left w:val="nil"/>
              <w:bottom w:val="nil"/>
              <w:right w:val="nil"/>
            </w:tcBorders>
            <w:shd w:val="clear" w:color="000000" w:fill="FFFFFF"/>
            <w:noWrap/>
            <w:vAlign w:val="center"/>
            <w:hideMark/>
          </w:tcPr>
          <w:p w14:paraId="69363912" w14:textId="6AA25665" w:rsidR="000119E5" w:rsidRPr="000119E5" w:rsidRDefault="00CA46EF" w:rsidP="0070459C">
            <w:pPr>
              <w:jc w:val="right"/>
              <w:rPr>
                <w:rFonts w:cs="Arial"/>
                <w:color w:val="000000"/>
                <w:sz w:val="22"/>
                <w:szCs w:val="22"/>
                <w:lang w:eastAsia="en-GB"/>
              </w:rPr>
            </w:pPr>
            <w:r>
              <w:rPr>
                <w:rFonts w:cs="Arial"/>
                <w:color w:val="000000"/>
                <w:sz w:val="22"/>
                <w:szCs w:val="22"/>
                <w:lang w:eastAsia="en-GB"/>
              </w:rPr>
              <w:t>0</w:t>
            </w:r>
          </w:p>
        </w:tc>
        <w:tc>
          <w:tcPr>
            <w:tcW w:w="968" w:type="dxa"/>
            <w:tcBorders>
              <w:top w:val="nil"/>
              <w:left w:val="nil"/>
              <w:bottom w:val="nil"/>
              <w:right w:val="single" w:sz="8" w:space="0" w:color="auto"/>
            </w:tcBorders>
            <w:shd w:val="clear" w:color="000000" w:fill="FFFFFF"/>
            <w:noWrap/>
            <w:vAlign w:val="center"/>
            <w:hideMark/>
          </w:tcPr>
          <w:p w14:paraId="60384486"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618C6DEF"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2E30DE71"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23D27303"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5B930B63"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Murley Moss</w:t>
            </w:r>
          </w:p>
        </w:tc>
        <w:tc>
          <w:tcPr>
            <w:tcW w:w="1012" w:type="dxa"/>
            <w:tcBorders>
              <w:top w:val="nil"/>
              <w:left w:val="nil"/>
              <w:bottom w:val="nil"/>
              <w:right w:val="nil"/>
            </w:tcBorders>
            <w:shd w:val="clear" w:color="000000" w:fill="FFFFFF"/>
            <w:noWrap/>
            <w:vAlign w:val="center"/>
            <w:hideMark/>
          </w:tcPr>
          <w:p w14:paraId="3328B1E1" w14:textId="5DA6DD5E" w:rsidR="000119E5" w:rsidRPr="000119E5" w:rsidRDefault="00CA46EF" w:rsidP="0070459C">
            <w:pPr>
              <w:jc w:val="right"/>
              <w:rPr>
                <w:rFonts w:cs="Arial"/>
                <w:color w:val="000000"/>
                <w:sz w:val="22"/>
                <w:szCs w:val="22"/>
                <w:lang w:eastAsia="en-GB"/>
              </w:rPr>
            </w:pPr>
            <w:r>
              <w:rPr>
                <w:rFonts w:cs="Arial"/>
                <w:color w:val="000000"/>
                <w:sz w:val="22"/>
                <w:szCs w:val="22"/>
                <w:lang w:eastAsia="en-GB"/>
              </w:rPr>
              <w:t>0</w:t>
            </w:r>
          </w:p>
        </w:tc>
        <w:tc>
          <w:tcPr>
            <w:tcW w:w="1012" w:type="dxa"/>
            <w:tcBorders>
              <w:top w:val="nil"/>
              <w:left w:val="nil"/>
              <w:bottom w:val="nil"/>
              <w:right w:val="nil"/>
            </w:tcBorders>
            <w:shd w:val="clear" w:color="000000" w:fill="FFFFFF"/>
            <w:noWrap/>
            <w:vAlign w:val="center"/>
            <w:hideMark/>
          </w:tcPr>
          <w:p w14:paraId="3B3CC135" w14:textId="5A425295" w:rsidR="000119E5" w:rsidRPr="000119E5" w:rsidRDefault="00CA46EF" w:rsidP="0070459C">
            <w:pPr>
              <w:jc w:val="right"/>
              <w:rPr>
                <w:rFonts w:cs="Arial"/>
                <w:color w:val="000000"/>
                <w:sz w:val="22"/>
                <w:szCs w:val="22"/>
                <w:lang w:eastAsia="en-GB"/>
              </w:rPr>
            </w:pPr>
            <w:r>
              <w:rPr>
                <w:rFonts w:cs="Arial"/>
                <w:color w:val="000000"/>
                <w:sz w:val="22"/>
                <w:szCs w:val="22"/>
                <w:lang w:eastAsia="en-GB"/>
              </w:rPr>
              <w:t>1</w:t>
            </w:r>
          </w:p>
        </w:tc>
        <w:tc>
          <w:tcPr>
            <w:tcW w:w="968" w:type="dxa"/>
            <w:tcBorders>
              <w:top w:val="nil"/>
              <w:left w:val="nil"/>
              <w:bottom w:val="nil"/>
              <w:right w:val="single" w:sz="8" w:space="0" w:color="auto"/>
            </w:tcBorders>
            <w:shd w:val="clear" w:color="000000" w:fill="FFFFFF"/>
            <w:noWrap/>
            <w:vAlign w:val="center"/>
            <w:hideMark/>
          </w:tcPr>
          <w:p w14:paraId="24CCD823"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CA46EF" w:rsidRPr="000119E5" w14:paraId="469FA625" w14:textId="77777777" w:rsidTr="00CA46EF">
        <w:trPr>
          <w:trHeight w:val="300"/>
        </w:trPr>
        <w:tc>
          <w:tcPr>
            <w:tcW w:w="734" w:type="dxa"/>
            <w:tcBorders>
              <w:top w:val="nil"/>
              <w:left w:val="single" w:sz="8" w:space="0" w:color="auto"/>
              <w:bottom w:val="nil"/>
              <w:right w:val="nil"/>
            </w:tcBorders>
            <w:shd w:val="clear" w:color="000000" w:fill="FFFFFF"/>
            <w:noWrap/>
            <w:vAlign w:val="center"/>
          </w:tcPr>
          <w:p w14:paraId="72B0C8C1" w14:textId="77777777" w:rsidR="00CA46EF" w:rsidRPr="000119E5" w:rsidRDefault="00CA46EF" w:rsidP="0070459C">
            <w:pPr>
              <w:rPr>
                <w:rFonts w:cs="Arial"/>
                <w:color w:val="000000"/>
                <w:sz w:val="22"/>
                <w:szCs w:val="22"/>
                <w:lang w:eastAsia="en-GB"/>
              </w:rPr>
            </w:pPr>
          </w:p>
        </w:tc>
        <w:tc>
          <w:tcPr>
            <w:tcW w:w="1196" w:type="dxa"/>
            <w:tcBorders>
              <w:top w:val="nil"/>
              <w:left w:val="nil"/>
              <w:bottom w:val="nil"/>
              <w:right w:val="nil"/>
            </w:tcBorders>
            <w:shd w:val="clear" w:color="000000" w:fill="FFFFFF"/>
            <w:noWrap/>
            <w:vAlign w:val="center"/>
          </w:tcPr>
          <w:p w14:paraId="03129BF6" w14:textId="77777777" w:rsidR="00CA46EF" w:rsidRPr="000119E5" w:rsidRDefault="00CA46EF" w:rsidP="0070459C">
            <w:pPr>
              <w:rPr>
                <w:rFonts w:cs="Arial"/>
                <w:b/>
                <w:bCs/>
                <w:color w:val="000000"/>
                <w:sz w:val="22"/>
                <w:szCs w:val="22"/>
                <w:lang w:eastAsia="en-GB"/>
              </w:rPr>
            </w:pPr>
          </w:p>
        </w:tc>
        <w:tc>
          <w:tcPr>
            <w:tcW w:w="3776" w:type="dxa"/>
            <w:tcBorders>
              <w:top w:val="nil"/>
              <w:left w:val="nil"/>
              <w:bottom w:val="nil"/>
              <w:right w:val="nil"/>
            </w:tcBorders>
            <w:shd w:val="clear" w:color="000000" w:fill="FFFFFF"/>
            <w:noWrap/>
            <w:vAlign w:val="center"/>
          </w:tcPr>
          <w:p w14:paraId="7BF5EBFA" w14:textId="46B7F7A7" w:rsidR="00CA46EF" w:rsidRPr="000119E5" w:rsidRDefault="00CA46EF" w:rsidP="0070459C">
            <w:pPr>
              <w:rPr>
                <w:rFonts w:cs="Arial"/>
                <w:color w:val="000000"/>
                <w:sz w:val="22"/>
                <w:szCs w:val="22"/>
                <w:lang w:eastAsia="en-GB"/>
              </w:rPr>
            </w:pPr>
            <w:r>
              <w:rPr>
                <w:rFonts w:cs="Arial"/>
                <w:color w:val="000000"/>
                <w:sz w:val="22"/>
                <w:szCs w:val="22"/>
                <w:lang w:eastAsia="en-GB"/>
              </w:rPr>
              <w:t>Northern Office</w:t>
            </w:r>
          </w:p>
        </w:tc>
        <w:tc>
          <w:tcPr>
            <w:tcW w:w="1012" w:type="dxa"/>
            <w:tcBorders>
              <w:top w:val="nil"/>
              <w:left w:val="nil"/>
              <w:bottom w:val="nil"/>
              <w:right w:val="nil"/>
            </w:tcBorders>
            <w:shd w:val="clear" w:color="000000" w:fill="FFFFFF"/>
            <w:noWrap/>
            <w:vAlign w:val="center"/>
          </w:tcPr>
          <w:p w14:paraId="246ADE32" w14:textId="1AA4918B" w:rsidR="00CA46EF" w:rsidRDefault="00CA46EF" w:rsidP="0070459C">
            <w:pPr>
              <w:jc w:val="right"/>
              <w:rPr>
                <w:rFonts w:cs="Arial"/>
                <w:color w:val="000000"/>
                <w:sz w:val="22"/>
                <w:szCs w:val="22"/>
                <w:lang w:eastAsia="en-GB"/>
              </w:rPr>
            </w:pPr>
            <w:r>
              <w:rPr>
                <w:rFonts w:cs="Arial"/>
                <w:color w:val="000000"/>
                <w:sz w:val="22"/>
                <w:szCs w:val="22"/>
                <w:lang w:eastAsia="en-GB"/>
              </w:rPr>
              <w:t>0</w:t>
            </w:r>
          </w:p>
        </w:tc>
        <w:tc>
          <w:tcPr>
            <w:tcW w:w="1012" w:type="dxa"/>
            <w:tcBorders>
              <w:top w:val="nil"/>
              <w:left w:val="nil"/>
              <w:bottom w:val="nil"/>
              <w:right w:val="nil"/>
            </w:tcBorders>
            <w:shd w:val="clear" w:color="000000" w:fill="FFFFFF"/>
            <w:noWrap/>
            <w:vAlign w:val="center"/>
          </w:tcPr>
          <w:p w14:paraId="32DADED6" w14:textId="0D4A9C7D" w:rsidR="00CA46EF" w:rsidRDefault="00CA46EF" w:rsidP="0070459C">
            <w:pPr>
              <w:jc w:val="right"/>
              <w:rPr>
                <w:rFonts w:cs="Arial"/>
                <w:color w:val="000000"/>
                <w:sz w:val="22"/>
                <w:szCs w:val="22"/>
                <w:lang w:eastAsia="en-GB"/>
              </w:rPr>
            </w:pPr>
            <w:r>
              <w:rPr>
                <w:rFonts w:cs="Arial"/>
                <w:color w:val="000000"/>
                <w:sz w:val="22"/>
                <w:szCs w:val="22"/>
                <w:lang w:eastAsia="en-GB"/>
              </w:rPr>
              <w:t>22</w:t>
            </w:r>
          </w:p>
        </w:tc>
        <w:tc>
          <w:tcPr>
            <w:tcW w:w="968" w:type="dxa"/>
            <w:tcBorders>
              <w:top w:val="nil"/>
              <w:left w:val="nil"/>
              <w:bottom w:val="nil"/>
              <w:right w:val="single" w:sz="8" w:space="0" w:color="auto"/>
            </w:tcBorders>
            <w:shd w:val="clear" w:color="000000" w:fill="FFFFFF"/>
            <w:noWrap/>
            <w:vAlign w:val="center"/>
          </w:tcPr>
          <w:p w14:paraId="11A373D6" w14:textId="77777777" w:rsidR="00CA46EF" w:rsidRPr="000119E5" w:rsidRDefault="00CA46EF" w:rsidP="0070459C">
            <w:pPr>
              <w:rPr>
                <w:rFonts w:cs="Arial"/>
                <w:color w:val="000000"/>
                <w:sz w:val="22"/>
                <w:szCs w:val="22"/>
                <w:lang w:eastAsia="en-GB"/>
              </w:rPr>
            </w:pPr>
          </w:p>
        </w:tc>
      </w:tr>
      <w:tr w:rsidR="00CA46EF" w:rsidRPr="000119E5" w14:paraId="54925C7C" w14:textId="77777777" w:rsidTr="00CA46EF">
        <w:trPr>
          <w:trHeight w:val="300"/>
        </w:trPr>
        <w:tc>
          <w:tcPr>
            <w:tcW w:w="734" w:type="dxa"/>
            <w:tcBorders>
              <w:top w:val="nil"/>
              <w:left w:val="single" w:sz="8" w:space="0" w:color="auto"/>
              <w:bottom w:val="nil"/>
              <w:right w:val="nil"/>
            </w:tcBorders>
            <w:shd w:val="clear" w:color="000000" w:fill="FFFFFF"/>
            <w:noWrap/>
            <w:vAlign w:val="center"/>
          </w:tcPr>
          <w:p w14:paraId="77EB51F4" w14:textId="77777777" w:rsidR="00CA46EF" w:rsidRPr="000119E5" w:rsidRDefault="00CA46EF" w:rsidP="0070459C">
            <w:pPr>
              <w:rPr>
                <w:rFonts w:cs="Arial"/>
                <w:color w:val="000000"/>
                <w:sz w:val="22"/>
                <w:szCs w:val="22"/>
                <w:lang w:eastAsia="en-GB"/>
              </w:rPr>
            </w:pPr>
          </w:p>
        </w:tc>
        <w:tc>
          <w:tcPr>
            <w:tcW w:w="1196" w:type="dxa"/>
            <w:tcBorders>
              <w:top w:val="nil"/>
              <w:left w:val="nil"/>
              <w:bottom w:val="nil"/>
              <w:right w:val="nil"/>
            </w:tcBorders>
            <w:shd w:val="clear" w:color="000000" w:fill="FFFFFF"/>
            <w:noWrap/>
            <w:vAlign w:val="center"/>
          </w:tcPr>
          <w:p w14:paraId="19B3ECE9" w14:textId="77777777" w:rsidR="00CA46EF" w:rsidRPr="000119E5" w:rsidRDefault="00CA46EF" w:rsidP="0070459C">
            <w:pPr>
              <w:rPr>
                <w:rFonts w:cs="Arial"/>
                <w:b/>
                <w:bCs/>
                <w:color w:val="000000"/>
                <w:sz w:val="22"/>
                <w:szCs w:val="22"/>
                <w:lang w:eastAsia="en-GB"/>
              </w:rPr>
            </w:pPr>
          </w:p>
        </w:tc>
        <w:tc>
          <w:tcPr>
            <w:tcW w:w="3776" w:type="dxa"/>
            <w:tcBorders>
              <w:top w:val="nil"/>
              <w:left w:val="nil"/>
              <w:bottom w:val="nil"/>
              <w:right w:val="nil"/>
            </w:tcBorders>
            <w:shd w:val="clear" w:color="000000" w:fill="FFFFFF"/>
            <w:noWrap/>
            <w:vAlign w:val="center"/>
          </w:tcPr>
          <w:p w14:paraId="26947672" w14:textId="288B4B89" w:rsidR="00CA46EF" w:rsidRPr="000119E5" w:rsidRDefault="00CA46EF" w:rsidP="0070459C">
            <w:pPr>
              <w:rPr>
                <w:rFonts w:cs="Arial"/>
                <w:color w:val="000000"/>
                <w:sz w:val="22"/>
                <w:szCs w:val="22"/>
                <w:lang w:eastAsia="en-GB"/>
              </w:rPr>
            </w:pPr>
            <w:r>
              <w:rPr>
                <w:rFonts w:cs="Arial"/>
                <w:color w:val="000000"/>
                <w:sz w:val="22"/>
                <w:szCs w:val="22"/>
                <w:lang w:eastAsia="en-GB"/>
              </w:rPr>
              <w:t>Southern Office</w:t>
            </w:r>
          </w:p>
        </w:tc>
        <w:tc>
          <w:tcPr>
            <w:tcW w:w="1012" w:type="dxa"/>
            <w:tcBorders>
              <w:top w:val="nil"/>
              <w:left w:val="nil"/>
              <w:bottom w:val="nil"/>
              <w:right w:val="nil"/>
            </w:tcBorders>
            <w:shd w:val="clear" w:color="000000" w:fill="FFFFFF"/>
            <w:noWrap/>
            <w:vAlign w:val="center"/>
          </w:tcPr>
          <w:p w14:paraId="2890B80D" w14:textId="02DD7C1F" w:rsidR="00CA46EF" w:rsidRDefault="00CA46EF" w:rsidP="0070459C">
            <w:pPr>
              <w:jc w:val="right"/>
              <w:rPr>
                <w:rFonts w:cs="Arial"/>
                <w:color w:val="000000"/>
                <w:sz w:val="22"/>
                <w:szCs w:val="22"/>
                <w:lang w:eastAsia="en-GB"/>
              </w:rPr>
            </w:pPr>
            <w:r>
              <w:rPr>
                <w:rFonts w:cs="Arial"/>
                <w:color w:val="000000"/>
                <w:sz w:val="22"/>
                <w:szCs w:val="22"/>
                <w:lang w:eastAsia="en-GB"/>
              </w:rPr>
              <w:t>0</w:t>
            </w:r>
          </w:p>
        </w:tc>
        <w:tc>
          <w:tcPr>
            <w:tcW w:w="1012" w:type="dxa"/>
            <w:tcBorders>
              <w:top w:val="nil"/>
              <w:left w:val="nil"/>
              <w:bottom w:val="nil"/>
              <w:right w:val="nil"/>
            </w:tcBorders>
            <w:shd w:val="clear" w:color="000000" w:fill="FFFFFF"/>
            <w:noWrap/>
            <w:vAlign w:val="center"/>
          </w:tcPr>
          <w:p w14:paraId="52F18CE2" w14:textId="05EF7154" w:rsidR="00CA46EF" w:rsidRDefault="00CA46EF" w:rsidP="0070459C">
            <w:pPr>
              <w:jc w:val="right"/>
              <w:rPr>
                <w:rFonts w:cs="Arial"/>
                <w:color w:val="000000"/>
                <w:sz w:val="22"/>
                <w:szCs w:val="22"/>
                <w:lang w:eastAsia="en-GB"/>
              </w:rPr>
            </w:pPr>
            <w:r>
              <w:rPr>
                <w:rFonts w:cs="Arial"/>
                <w:color w:val="000000"/>
                <w:sz w:val="22"/>
                <w:szCs w:val="22"/>
                <w:lang w:eastAsia="en-GB"/>
              </w:rPr>
              <w:t>1</w:t>
            </w:r>
          </w:p>
        </w:tc>
        <w:tc>
          <w:tcPr>
            <w:tcW w:w="968" w:type="dxa"/>
            <w:tcBorders>
              <w:top w:val="nil"/>
              <w:left w:val="nil"/>
              <w:bottom w:val="nil"/>
              <w:right w:val="single" w:sz="8" w:space="0" w:color="auto"/>
            </w:tcBorders>
            <w:shd w:val="clear" w:color="000000" w:fill="FFFFFF"/>
            <w:noWrap/>
            <w:vAlign w:val="center"/>
          </w:tcPr>
          <w:p w14:paraId="17B6A2DB" w14:textId="77777777" w:rsidR="00CA46EF" w:rsidRPr="000119E5" w:rsidRDefault="00CA46EF" w:rsidP="0070459C">
            <w:pPr>
              <w:rPr>
                <w:rFonts w:cs="Arial"/>
                <w:color w:val="000000"/>
                <w:sz w:val="22"/>
                <w:szCs w:val="22"/>
                <w:lang w:eastAsia="en-GB"/>
              </w:rPr>
            </w:pPr>
          </w:p>
        </w:tc>
      </w:tr>
      <w:tr w:rsidR="000119E5" w:rsidRPr="000119E5" w14:paraId="49C9C895" w14:textId="77777777" w:rsidTr="00CA46EF">
        <w:trPr>
          <w:trHeight w:val="300"/>
        </w:trPr>
        <w:tc>
          <w:tcPr>
            <w:tcW w:w="734" w:type="dxa"/>
            <w:tcBorders>
              <w:top w:val="nil"/>
              <w:left w:val="single" w:sz="8" w:space="0" w:color="auto"/>
              <w:bottom w:val="nil"/>
              <w:right w:val="nil"/>
            </w:tcBorders>
            <w:shd w:val="clear" w:color="000000" w:fill="FFFFFF"/>
            <w:noWrap/>
            <w:vAlign w:val="center"/>
            <w:hideMark/>
          </w:tcPr>
          <w:p w14:paraId="63626501"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50C9C8E1"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682C40B2"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Car Parks</w:t>
            </w:r>
          </w:p>
        </w:tc>
        <w:tc>
          <w:tcPr>
            <w:tcW w:w="1012" w:type="dxa"/>
            <w:tcBorders>
              <w:top w:val="nil"/>
              <w:left w:val="nil"/>
              <w:bottom w:val="nil"/>
              <w:right w:val="nil"/>
            </w:tcBorders>
            <w:shd w:val="clear" w:color="000000" w:fill="FFFFFF"/>
            <w:noWrap/>
            <w:vAlign w:val="center"/>
            <w:hideMark/>
          </w:tcPr>
          <w:p w14:paraId="04BAC828" w14:textId="1114E2E7" w:rsidR="000119E5" w:rsidRPr="000119E5" w:rsidRDefault="00CA46EF" w:rsidP="0070459C">
            <w:pPr>
              <w:jc w:val="right"/>
              <w:rPr>
                <w:rFonts w:cs="Arial"/>
                <w:color w:val="000000"/>
                <w:sz w:val="22"/>
                <w:szCs w:val="22"/>
                <w:lang w:eastAsia="en-GB"/>
              </w:rPr>
            </w:pPr>
            <w:r>
              <w:rPr>
                <w:rFonts w:cs="Arial"/>
                <w:color w:val="000000"/>
                <w:sz w:val="22"/>
                <w:szCs w:val="22"/>
                <w:lang w:eastAsia="en-GB"/>
              </w:rPr>
              <w:t>0</w:t>
            </w:r>
          </w:p>
        </w:tc>
        <w:tc>
          <w:tcPr>
            <w:tcW w:w="1012" w:type="dxa"/>
            <w:tcBorders>
              <w:top w:val="nil"/>
              <w:left w:val="nil"/>
              <w:bottom w:val="nil"/>
              <w:right w:val="nil"/>
            </w:tcBorders>
            <w:shd w:val="clear" w:color="000000" w:fill="FFFFFF"/>
            <w:noWrap/>
            <w:vAlign w:val="center"/>
            <w:hideMark/>
          </w:tcPr>
          <w:p w14:paraId="0C9D51B2" w14:textId="1F588763" w:rsidR="000119E5" w:rsidRPr="000119E5" w:rsidRDefault="00CA46EF" w:rsidP="0070459C">
            <w:pPr>
              <w:jc w:val="right"/>
              <w:rPr>
                <w:rFonts w:cs="Arial"/>
                <w:color w:val="000000"/>
                <w:sz w:val="22"/>
                <w:szCs w:val="22"/>
                <w:lang w:eastAsia="en-GB"/>
              </w:rPr>
            </w:pPr>
            <w:r>
              <w:rPr>
                <w:rFonts w:cs="Arial"/>
                <w:color w:val="000000"/>
                <w:sz w:val="22"/>
                <w:szCs w:val="22"/>
                <w:lang w:eastAsia="en-GB"/>
              </w:rPr>
              <w:t>74</w:t>
            </w:r>
          </w:p>
        </w:tc>
        <w:tc>
          <w:tcPr>
            <w:tcW w:w="968" w:type="dxa"/>
            <w:tcBorders>
              <w:top w:val="nil"/>
              <w:left w:val="nil"/>
              <w:bottom w:val="nil"/>
              <w:right w:val="single" w:sz="8" w:space="0" w:color="auto"/>
            </w:tcBorders>
            <w:shd w:val="clear" w:color="000000" w:fill="FFFFFF"/>
            <w:noWrap/>
            <w:vAlign w:val="center"/>
            <w:hideMark/>
          </w:tcPr>
          <w:p w14:paraId="0A53BEC2"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09ACCEE3"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5D20C721"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4D84365F"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6426BE3D"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single" w:sz="8" w:space="0" w:color="auto"/>
              <w:left w:val="nil"/>
              <w:bottom w:val="nil"/>
              <w:right w:val="nil"/>
            </w:tcBorders>
            <w:shd w:val="clear" w:color="000000" w:fill="FFFFFF"/>
            <w:noWrap/>
            <w:vAlign w:val="center"/>
            <w:hideMark/>
          </w:tcPr>
          <w:p w14:paraId="3D5D214C" w14:textId="3F04103E" w:rsidR="000119E5" w:rsidRPr="000119E5" w:rsidRDefault="00CA46EF" w:rsidP="0070459C">
            <w:pPr>
              <w:jc w:val="right"/>
              <w:rPr>
                <w:rFonts w:cs="Arial"/>
                <w:color w:val="000000"/>
                <w:sz w:val="22"/>
                <w:szCs w:val="22"/>
                <w:lang w:eastAsia="en-GB"/>
              </w:rPr>
            </w:pPr>
            <w:r>
              <w:rPr>
                <w:rFonts w:cs="Arial"/>
                <w:color w:val="000000"/>
                <w:sz w:val="22"/>
                <w:szCs w:val="22"/>
                <w:lang w:eastAsia="en-GB"/>
              </w:rPr>
              <w:t>288</w:t>
            </w:r>
          </w:p>
        </w:tc>
        <w:tc>
          <w:tcPr>
            <w:tcW w:w="1012" w:type="dxa"/>
            <w:tcBorders>
              <w:top w:val="single" w:sz="8" w:space="0" w:color="auto"/>
              <w:left w:val="nil"/>
              <w:bottom w:val="nil"/>
              <w:right w:val="nil"/>
            </w:tcBorders>
            <w:shd w:val="clear" w:color="000000" w:fill="FFFFFF"/>
            <w:noWrap/>
            <w:vAlign w:val="center"/>
            <w:hideMark/>
          </w:tcPr>
          <w:p w14:paraId="38D3331B" w14:textId="02A20951" w:rsidR="000119E5" w:rsidRPr="000119E5" w:rsidRDefault="00CA46EF" w:rsidP="0070459C">
            <w:pPr>
              <w:jc w:val="right"/>
              <w:rPr>
                <w:rFonts w:cs="Arial"/>
                <w:color w:val="000000"/>
                <w:sz w:val="22"/>
                <w:szCs w:val="22"/>
                <w:lang w:eastAsia="en-GB"/>
              </w:rPr>
            </w:pPr>
            <w:r>
              <w:rPr>
                <w:rFonts w:cs="Arial"/>
                <w:color w:val="000000"/>
                <w:sz w:val="22"/>
                <w:szCs w:val="22"/>
                <w:lang w:eastAsia="en-GB"/>
              </w:rPr>
              <w:t>397</w:t>
            </w:r>
          </w:p>
        </w:tc>
        <w:tc>
          <w:tcPr>
            <w:tcW w:w="968" w:type="dxa"/>
            <w:tcBorders>
              <w:top w:val="nil"/>
              <w:left w:val="nil"/>
              <w:bottom w:val="nil"/>
              <w:right w:val="single" w:sz="8" w:space="0" w:color="auto"/>
            </w:tcBorders>
            <w:shd w:val="clear" w:color="000000" w:fill="FFFFFF"/>
            <w:noWrap/>
            <w:vAlign w:val="center"/>
            <w:hideMark/>
          </w:tcPr>
          <w:p w14:paraId="195C6C20"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4F9E9690"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458983FA"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4972" w:type="dxa"/>
            <w:gridSpan w:val="2"/>
            <w:tcBorders>
              <w:top w:val="nil"/>
              <w:left w:val="nil"/>
              <w:bottom w:val="nil"/>
              <w:right w:val="nil"/>
            </w:tcBorders>
            <w:shd w:val="clear" w:color="000000" w:fill="FFFFFF"/>
            <w:noWrap/>
            <w:vAlign w:val="center"/>
            <w:hideMark/>
          </w:tcPr>
          <w:p w14:paraId="4798D96C"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Investment Properties</w:t>
            </w:r>
          </w:p>
        </w:tc>
        <w:tc>
          <w:tcPr>
            <w:tcW w:w="1012" w:type="dxa"/>
            <w:tcBorders>
              <w:top w:val="nil"/>
              <w:left w:val="nil"/>
              <w:bottom w:val="nil"/>
              <w:right w:val="nil"/>
            </w:tcBorders>
            <w:shd w:val="clear" w:color="000000" w:fill="FFFFFF"/>
            <w:noWrap/>
            <w:vAlign w:val="center"/>
            <w:hideMark/>
          </w:tcPr>
          <w:p w14:paraId="4DD9E8A3"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nil"/>
              <w:right w:val="nil"/>
            </w:tcBorders>
            <w:shd w:val="clear" w:color="000000" w:fill="FFFFFF"/>
            <w:noWrap/>
            <w:vAlign w:val="center"/>
            <w:hideMark/>
          </w:tcPr>
          <w:p w14:paraId="3BBE9E57"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968" w:type="dxa"/>
            <w:tcBorders>
              <w:top w:val="nil"/>
              <w:left w:val="nil"/>
              <w:bottom w:val="nil"/>
              <w:right w:val="single" w:sz="8" w:space="0" w:color="auto"/>
            </w:tcBorders>
            <w:shd w:val="clear" w:color="000000" w:fill="FFFFFF"/>
            <w:noWrap/>
            <w:vAlign w:val="center"/>
            <w:hideMark/>
          </w:tcPr>
          <w:p w14:paraId="1ACD4361"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205B6F7F" w14:textId="77777777" w:rsidTr="00CA46EF">
        <w:trPr>
          <w:trHeight w:val="300"/>
        </w:trPr>
        <w:tc>
          <w:tcPr>
            <w:tcW w:w="734" w:type="dxa"/>
            <w:tcBorders>
              <w:top w:val="nil"/>
              <w:left w:val="single" w:sz="8" w:space="0" w:color="auto"/>
              <w:bottom w:val="nil"/>
              <w:right w:val="nil"/>
            </w:tcBorders>
            <w:shd w:val="clear" w:color="000000" w:fill="FFFFFF"/>
            <w:noWrap/>
            <w:vAlign w:val="center"/>
            <w:hideMark/>
          </w:tcPr>
          <w:p w14:paraId="1202E03E"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13615A68"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18D5FDE2"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Haverthwaite Heights</w:t>
            </w:r>
          </w:p>
        </w:tc>
        <w:tc>
          <w:tcPr>
            <w:tcW w:w="1012" w:type="dxa"/>
            <w:tcBorders>
              <w:top w:val="nil"/>
              <w:left w:val="nil"/>
              <w:bottom w:val="nil"/>
              <w:right w:val="nil"/>
            </w:tcBorders>
            <w:shd w:val="clear" w:color="000000" w:fill="FFFFFF"/>
            <w:noWrap/>
            <w:vAlign w:val="center"/>
            <w:hideMark/>
          </w:tcPr>
          <w:p w14:paraId="6479801F" w14:textId="225C698B" w:rsidR="000119E5" w:rsidRPr="000119E5" w:rsidRDefault="00CA46EF" w:rsidP="0070459C">
            <w:pPr>
              <w:jc w:val="right"/>
              <w:rPr>
                <w:rFonts w:cs="Arial"/>
                <w:color w:val="000000"/>
                <w:sz w:val="22"/>
                <w:szCs w:val="22"/>
                <w:lang w:eastAsia="en-GB"/>
              </w:rPr>
            </w:pPr>
            <w:r>
              <w:rPr>
                <w:rFonts w:cs="Arial"/>
                <w:color w:val="000000"/>
                <w:sz w:val="22"/>
                <w:szCs w:val="22"/>
                <w:lang w:eastAsia="en-GB"/>
              </w:rPr>
              <w:t>0</w:t>
            </w:r>
          </w:p>
        </w:tc>
        <w:tc>
          <w:tcPr>
            <w:tcW w:w="1012" w:type="dxa"/>
            <w:tcBorders>
              <w:top w:val="nil"/>
              <w:left w:val="nil"/>
              <w:bottom w:val="nil"/>
              <w:right w:val="nil"/>
            </w:tcBorders>
            <w:shd w:val="clear" w:color="000000" w:fill="FFFFFF"/>
            <w:noWrap/>
            <w:vAlign w:val="center"/>
            <w:hideMark/>
          </w:tcPr>
          <w:p w14:paraId="243507DF" w14:textId="77777777" w:rsidR="000119E5" w:rsidRPr="000119E5" w:rsidRDefault="000119E5" w:rsidP="0070459C">
            <w:pPr>
              <w:jc w:val="right"/>
              <w:rPr>
                <w:rFonts w:cs="Arial"/>
                <w:color w:val="000000"/>
                <w:sz w:val="22"/>
                <w:szCs w:val="22"/>
                <w:lang w:eastAsia="en-GB"/>
              </w:rPr>
            </w:pPr>
            <w:r w:rsidRPr="000119E5">
              <w:rPr>
                <w:rFonts w:cs="Arial"/>
                <w:color w:val="000000"/>
                <w:sz w:val="22"/>
                <w:szCs w:val="22"/>
                <w:lang w:eastAsia="en-GB"/>
              </w:rPr>
              <w:t>0</w:t>
            </w:r>
          </w:p>
        </w:tc>
        <w:tc>
          <w:tcPr>
            <w:tcW w:w="968" w:type="dxa"/>
            <w:tcBorders>
              <w:top w:val="nil"/>
              <w:left w:val="nil"/>
              <w:bottom w:val="nil"/>
              <w:right w:val="single" w:sz="8" w:space="0" w:color="auto"/>
            </w:tcBorders>
            <w:shd w:val="clear" w:color="000000" w:fill="FFFFFF"/>
            <w:noWrap/>
            <w:vAlign w:val="center"/>
            <w:hideMark/>
          </w:tcPr>
          <w:p w14:paraId="217BAAFD"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4A88C7FE"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6ED12ED4"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69FE7718"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622BCC20"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single" w:sz="8" w:space="0" w:color="auto"/>
              <w:left w:val="nil"/>
              <w:bottom w:val="nil"/>
              <w:right w:val="nil"/>
            </w:tcBorders>
            <w:shd w:val="clear" w:color="000000" w:fill="FFFFFF"/>
            <w:noWrap/>
            <w:vAlign w:val="center"/>
            <w:hideMark/>
          </w:tcPr>
          <w:p w14:paraId="4542E3DB" w14:textId="7B4140D7" w:rsidR="000119E5" w:rsidRPr="000119E5" w:rsidRDefault="00CA46EF" w:rsidP="0070459C">
            <w:pPr>
              <w:jc w:val="right"/>
              <w:rPr>
                <w:rFonts w:cs="Arial"/>
                <w:color w:val="000000"/>
                <w:sz w:val="22"/>
                <w:szCs w:val="22"/>
                <w:lang w:eastAsia="en-GB"/>
              </w:rPr>
            </w:pPr>
            <w:r>
              <w:rPr>
                <w:rFonts w:cs="Arial"/>
                <w:color w:val="000000"/>
                <w:sz w:val="22"/>
                <w:szCs w:val="22"/>
                <w:lang w:eastAsia="en-GB"/>
              </w:rPr>
              <w:t>0</w:t>
            </w:r>
          </w:p>
        </w:tc>
        <w:tc>
          <w:tcPr>
            <w:tcW w:w="1012" w:type="dxa"/>
            <w:tcBorders>
              <w:top w:val="single" w:sz="8" w:space="0" w:color="auto"/>
              <w:left w:val="nil"/>
              <w:bottom w:val="nil"/>
              <w:right w:val="nil"/>
            </w:tcBorders>
            <w:shd w:val="clear" w:color="000000" w:fill="FFFFFF"/>
            <w:noWrap/>
            <w:vAlign w:val="center"/>
            <w:hideMark/>
          </w:tcPr>
          <w:p w14:paraId="322C288B" w14:textId="77777777" w:rsidR="000119E5" w:rsidRPr="000119E5" w:rsidRDefault="000119E5" w:rsidP="0070459C">
            <w:pPr>
              <w:jc w:val="right"/>
              <w:rPr>
                <w:rFonts w:cs="Arial"/>
                <w:color w:val="000000"/>
                <w:sz w:val="22"/>
                <w:szCs w:val="22"/>
                <w:lang w:eastAsia="en-GB"/>
              </w:rPr>
            </w:pPr>
            <w:r w:rsidRPr="000119E5">
              <w:rPr>
                <w:rFonts w:cs="Arial"/>
                <w:color w:val="000000"/>
                <w:sz w:val="22"/>
                <w:szCs w:val="22"/>
                <w:lang w:eastAsia="en-GB"/>
              </w:rPr>
              <w:t>0</w:t>
            </w:r>
          </w:p>
        </w:tc>
        <w:tc>
          <w:tcPr>
            <w:tcW w:w="968" w:type="dxa"/>
            <w:tcBorders>
              <w:top w:val="nil"/>
              <w:left w:val="nil"/>
              <w:bottom w:val="nil"/>
              <w:right w:val="single" w:sz="8" w:space="0" w:color="auto"/>
            </w:tcBorders>
            <w:shd w:val="clear" w:color="000000" w:fill="FFFFFF"/>
            <w:noWrap/>
            <w:vAlign w:val="center"/>
            <w:hideMark/>
          </w:tcPr>
          <w:p w14:paraId="631C2A1F"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59566233"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7C6D4837"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4972" w:type="dxa"/>
            <w:gridSpan w:val="2"/>
            <w:tcBorders>
              <w:top w:val="nil"/>
              <w:left w:val="nil"/>
              <w:bottom w:val="nil"/>
              <w:right w:val="nil"/>
            </w:tcBorders>
            <w:shd w:val="clear" w:color="000000" w:fill="FFFFFF"/>
            <w:noWrap/>
            <w:vAlign w:val="center"/>
            <w:hideMark/>
          </w:tcPr>
          <w:p w14:paraId="07786A3C"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Infrastructure &amp; Community</w:t>
            </w:r>
          </w:p>
        </w:tc>
        <w:tc>
          <w:tcPr>
            <w:tcW w:w="1012" w:type="dxa"/>
            <w:tcBorders>
              <w:top w:val="nil"/>
              <w:left w:val="nil"/>
              <w:bottom w:val="nil"/>
              <w:right w:val="nil"/>
            </w:tcBorders>
            <w:shd w:val="clear" w:color="000000" w:fill="FFFFFF"/>
            <w:noWrap/>
            <w:vAlign w:val="center"/>
            <w:hideMark/>
          </w:tcPr>
          <w:p w14:paraId="319023D7"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nil"/>
              <w:right w:val="nil"/>
            </w:tcBorders>
            <w:shd w:val="clear" w:color="000000" w:fill="FFFFFF"/>
            <w:noWrap/>
            <w:vAlign w:val="center"/>
            <w:hideMark/>
          </w:tcPr>
          <w:p w14:paraId="01BBB0BF"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968" w:type="dxa"/>
            <w:tcBorders>
              <w:top w:val="nil"/>
              <w:left w:val="nil"/>
              <w:bottom w:val="nil"/>
              <w:right w:val="single" w:sz="8" w:space="0" w:color="auto"/>
            </w:tcBorders>
            <w:shd w:val="clear" w:color="000000" w:fill="FFFFFF"/>
            <w:noWrap/>
            <w:vAlign w:val="center"/>
            <w:hideMark/>
          </w:tcPr>
          <w:p w14:paraId="1878475C"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1B9494B4"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62021DD6"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063F7662"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4BAD46B2" w14:textId="440D8DD3"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Multi-User Trails</w:t>
            </w:r>
            <w:r w:rsidR="00D66236">
              <w:rPr>
                <w:rFonts w:cs="Arial"/>
                <w:color w:val="000000"/>
                <w:sz w:val="22"/>
                <w:szCs w:val="22"/>
                <w:lang w:eastAsia="en-GB"/>
              </w:rPr>
              <w:t xml:space="preserve"> *</w:t>
            </w:r>
          </w:p>
        </w:tc>
        <w:tc>
          <w:tcPr>
            <w:tcW w:w="1012" w:type="dxa"/>
            <w:tcBorders>
              <w:top w:val="nil"/>
              <w:left w:val="nil"/>
              <w:bottom w:val="nil"/>
              <w:right w:val="nil"/>
            </w:tcBorders>
            <w:shd w:val="clear" w:color="000000" w:fill="FFFFFF"/>
            <w:noWrap/>
            <w:vAlign w:val="center"/>
            <w:hideMark/>
          </w:tcPr>
          <w:p w14:paraId="517E043D" w14:textId="5036DC46" w:rsidR="000119E5" w:rsidRPr="000119E5" w:rsidRDefault="00CA46EF" w:rsidP="0070459C">
            <w:pPr>
              <w:jc w:val="right"/>
              <w:rPr>
                <w:rFonts w:cs="Arial"/>
                <w:color w:val="000000"/>
                <w:sz w:val="22"/>
                <w:szCs w:val="22"/>
                <w:lang w:eastAsia="en-GB"/>
              </w:rPr>
            </w:pPr>
            <w:r>
              <w:rPr>
                <w:rFonts w:cs="Arial"/>
                <w:color w:val="000000"/>
                <w:sz w:val="22"/>
                <w:szCs w:val="22"/>
                <w:lang w:eastAsia="en-GB"/>
              </w:rPr>
              <w:t>1,270</w:t>
            </w:r>
          </w:p>
        </w:tc>
        <w:tc>
          <w:tcPr>
            <w:tcW w:w="1012" w:type="dxa"/>
            <w:tcBorders>
              <w:top w:val="nil"/>
              <w:left w:val="nil"/>
              <w:bottom w:val="nil"/>
              <w:right w:val="nil"/>
            </w:tcBorders>
            <w:shd w:val="clear" w:color="000000" w:fill="FFFFFF"/>
            <w:noWrap/>
            <w:vAlign w:val="center"/>
            <w:hideMark/>
          </w:tcPr>
          <w:p w14:paraId="6A756F60" w14:textId="422B71B1" w:rsidR="000119E5" w:rsidRPr="000119E5" w:rsidRDefault="00CA46EF" w:rsidP="0070459C">
            <w:pPr>
              <w:jc w:val="right"/>
              <w:rPr>
                <w:rFonts w:cs="Arial"/>
                <w:color w:val="000000"/>
                <w:sz w:val="22"/>
                <w:szCs w:val="22"/>
                <w:lang w:eastAsia="en-GB"/>
              </w:rPr>
            </w:pPr>
            <w:r>
              <w:rPr>
                <w:rFonts w:cs="Arial"/>
                <w:color w:val="000000"/>
                <w:sz w:val="22"/>
                <w:szCs w:val="22"/>
                <w:lang w:eastAsia="en-GB"/>
              </w:rPr>
              <w:t>3</w:t>
            </w:r>
            <w:r w:rsidR="006C7E96">
              <w:rPr>
                <w:rFonts w:cs="Arial"/>
                <w:color w:val="000000"/>
                <w:sz w:val="22"/>
                <w:szCs w:val="22"/>
                <w:lang w:eastAsia="en-GB"/>
              </w:rPr>
              <w:t>15</w:t>
            </w:r>
          </w:p>
        </w:tc>
        <w:tc>
          <w:tcPr>
            <w:tcW w:w="968" w:type="dxa"/>
            <w:tcBorders>
              <w:top w:val="nil"/>
              <w:left w:val="nil"/>
              <w:bottom w:val="nil"/>
              <w:right w:val="single" w:sz="8" w:space="0" w:color="auto"/>
            </w:tcBorders>
            <w:shd w:val="clear" w:color="000000" w:fill="FFFFFF"/>
            <w:noWrap/>
            <w:vAlign w:val="center"/>
            <w:hideMark/>
          </w:tcPr>
          <w:p w14:paraId="363EA033"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641A0A09"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2E197E81"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2316EEC9"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41D35948" w14:textId="12163B2D"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DEFRA Access works</w:t>
            </w:r>
            <w:r w:rsidR="00D66236">
              <w:rPr>
                <w:rFonts w:cs="Arial"/>
                <w:color w:val="000000"/>
                <w:sz w:val="22"/>
                <w:szCs w:val="22"/>
                <w:lang w:eastAsia="en-GB"/>
              </w:rPr>
              <w:t xml:space="preserve"> </w:t>
            </w:r>
          </w:p>
        </w:tc>
        <w:tc>
          <w:tcPr>
            <w:tcW w:w="1012" w:type="dxa"/>
            <w:tcBorders>
              <w:top w:val="nil"/>
              <w:left w:val="nil"/>
              <w:bottom w:val="nil"/>
              <w:right w:val="nil"/>
            </w:tcBorders>
            <w:shd w:val="clear" w:color="000000" w:fill="FFFFFF"/>
            <w:noWrap/>
            <w:vAlign w:val="center"/>
            <w:hideMark/>
          </w:tcPr>
          <w:p w14:paraId="6414E4D6" w14:textId="0ECB1603" w:rsidR="000119E5" w:rsidRPr="000119E5" w:rsidRDefault="00CA46EF" w:rsidP="0070459C">
            <w:pPr>
              <w:jc w:val="right"/>
              <w:rPr>
                <w:rFonts w:cs="Arial"/>
                <w:color w:val="000000"/>
                <w:sz w:val="22"/>
                <w:szCs w:val="22"/>
                <w:lang w:eastAsia="en-GB"/>
              </w:rPr>
            </w:pPr>
            <w:r>
              <w:rPr>
                <w:rFonts w:cs="Arial"/>
                <w:color w:val="000000"/>
                <w:sz w:val="22"/>
                <w:szCs w:val="22"/>
                <w:lang w:eastAsia="en-GB"/>
              </w:rPr>
              <w:t>86</w:t>
            </w:r>
          </w:p>
        </w:tc>
        <w:tc>
          <w:tcPr>
            <w:tcW w:w="1012" w:type="dxa"/>
            <w:tcBorders>
              <w:top w:val="nil"/>
              <w:left w:val="nil"/>
              <w:bottom w:val="nil"/>
              <w:right w:val="nil"/>
            </w:tcBorders>
            <w:shd w:val="clear" w:color="000000" w:fill="FFFFFF"/>
            <w:noWrap/>
            <w:vAlign w:val="center"/>
            <w:hideMark/>
          </w:tcPr>
          <w:p w14:paraId="109BE31A" w14:textId="2800BA0D" w:rsidR="000119E5" w:rsidRPr="000119E5" w:rsidRDefault="00CA46EF" w:rsidP="0070459C">
            <w:pPr>
              <w:jc w:val="right"/>
              <w:rPr>
                <w:rFonts w:cs="Arial"/>
                <w:color w:val="000000"/>
                <w:sz w:val="22"/>
                <w:szCs w:val="22"/>
                <w:lang w:eastAsia="en-GB"/>
              </w:rPr>
            </w:pPr>
            <w:r>
              <w:rPr>
                <w:rFonts w:cs="Arial"/>
                <w:color w:val="000000"/>
                <w:sz w:val="22"/>
                <w:szCs w:val="22"/>
                <w:lang w:eastAsia="en-GB"/>
              </w:rPr>
              <w:t>0</w:t>
            </w:r>
          </w:p>
        </w:tc>
        <w:tc>
          <w:tcPr>
            <w:tcW w:w="968" w:type="dxa"/>
            <w:tcBorders>
              <w:top w:val="nil"/>
              <w:left w:val="nil"/>
              <w:bottom w:val="nil"/>
              <w:right w:val="single" w:sz="8" w:space="0" w:color="auto"/>
            </w:tcBorders>
            <w:shd w:val="clear" w:color="000000" w:fill="FFFFFF"/>
            <w:noWrap/>
            <w:vAlign w:val="center"/>
            <w:hideMark/>
          </w:tcPr>
          <w:p w14:paraId="47640B80"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4110B184"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55FFE19F"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547F6F3F"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37DB9F9A"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Electric Charge Points</w:t>
            </w:r>
          </w:p>
        </w:tc>
        <w:tc>
          <w:tcPr>
            <w:tcW w:w="1012" w:type="dxa"/>
            <w:tcBorders>
              <w:top w:val="nil"/>
              <w:left w:val="nil"/>
              <w:bottom w:val="nil"/>
              <w:right w:val="nil"/>
            </w:tcBorders>
            <w:shd w:val="clear" w:color="000000" w:fill="FFFFFF"/>
            <w:noWrap/>
            <w:vAlign w:val="center"/>
            <w:hideMark/>
          </w:tcPr>
          <w:p w14:paraId="7F869701" w14:textId="30684D6F" w:rsidR="000119E5" w:rsidRPr="000119E5" w:rsidRDefault="00CA46EF" w:rsidP="0070459C">
            <w:pPr>
              <w:jc w:val="right"/>
              <w:rPr>
                <w:rFonts w:cs="Arial"/>
                <w:color w:val="000000"/>
                <w:sz w:val="22"/>
                <w:szCs w:val="22"/>
                <w:lang w:eastAsia="en-GB"/>
              </w:rPr>
            </w:pPr>
            <w:r>
              <w:rPr>
                <w:rFonts w:cs="Arial"/>
                <w:color w:val="000000"/>
                <w:sz w:val="22"/>
                <w:szCs w:val="22"/>
                <w:lang w:eastAsia="en-GB"/>
              </w:rPr>
              <w:t>11</w:t>
            </w:r>
          </w:p>
        </w:tc>
        <w:tc>
          <w:tcPr>
            <w:tcW w:w="1012" w:type="dxa"/>
            <w:tcBorders>
              <w:top w:val="nil"/>
              <w:left w:val="nil"/>
              <w:bottom w:val="nil"/>
              <w:right w:val="nil"/>
            </w:tcBorders>
            <w:shd w:val="clear" w:color="000000" w:fill="FFFFFF"/>
            <w:noWrap/>
            <w:vAlign w:val="center"/>
            <w:hideMark/>
          </w:tcPr>
          <w:p w14:paraId="695C0D2D" w14:textId="75A3BB77" w:rsidR="000119E5" w:rsidRPr="000119E5" w:rsidRDefault="00CA46EF" w:rsidP="0070459C">
            <w:pPr>
              <w:jc w:val="right"/>
              <w:rPr>
                <w:rFonts w:cs="Arial"/>
                <w:color w:val="000000"/>
                <w:sz w:val="22"/>
                <w:szCs w:val="22"/>
                <w:lang w:eastAsia="en-GB"/>
              </w:rPr>
            </w:pPr>
            <w:r>
              <w:rPr>
                <w:rFonts w:cs="Arial"/>
                <w:color w:val="000000"/>
                <w:sz w:val="22"/>
                <w:szCs w:val="22"/>
                <w:lang w:eastAsia="en-GB"/>
              </w:rPr>
              <w:t>0</w:t>
            </w:r>
          </w:p>
        </w:tc>
        <w:tc>
          <w:tcPr>
            <w:tcW w:w="968" w:type="dxa"/>
            <w:tcBorders>
              <w:top w:val="nil"/>
              <w:left w:val="nil"/>
              <w:bottom w:val="nil"/>
              <w:right w:val="single" w:sz="8" w:space="0" w:color="auto"/>
            </w:tcBorders>
            <w:shd w:val="clear" w:color="000000" w:fill="FFFFFF"/>
            <w:noWrap/>
            <w:vAlign w:val="center"/>
            <w:hideMark/>
          </w:tcPr>
          <w:p w14:paraId="0B727575"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2EC2C9C3" w14:textId="77777777" w:rsidTr="00CA46EF">
        <w:trPr>
          <w:trHeight w:val="300"/>
        </w:trPr>
        <w:tc>
          <w:tcPr>
            <w:tcW w:w="734" w:type="dxa"/>
            <w:tcBorders>
              <w:top w:val="nil"/>
              <w:left w:val="single" w:sz="8" w:space="0" w:color="auto"/>
              <w:bottom w:val="nil"/>
              <w:right w:val="nil"/>
            </w:tcBorders>
            <w:shd w:val="clear" w:color="000000" w:fill="FFFFFF"/>
            <w:noWrap/>
            <w:vAlign w:val="center"/>
            <w:hideMark/>
          </w:tcPr>
          <w:p w14:paraId="3876EEA5"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45ADF3AD"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3D6A157B"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Stanley Ghyll Enhancements</w:t>
            </w:r>
          </w:p>
        </w:tc>
        <w:tc>
          <w:tcPr>
            <w:tcW w:w="1012" w:type="dxa"/>
            <w:tcBorders>
              <w:top w:val="nil"/>
              <w:left w:val="nil"/>
              <w:bottom w:val="nil"/>
              <w:right w:val="nil"/>
            </w:tcBorders>
            <w:shd w:val="clear" w:color="000000" w:fill="FFFFFF"/>
            <w:noWrap/>
            <w:vAlign w:val="center"/>
            <w:hideMark/>
          </w:tcPr>
          <w:p w14:paraId="29C6DD29" w14:textId="1417D163" w:rsidR="000119E5" w:rsidRPr="000119E5" w:rsidRDefault="00CA46EF" w:rsidP="0070459C">
            <w:pPr>
              <w:jc w:val="right"/>
              <w:rPr>
                <w:rFonts w:cs="Arial"/>
                <w:color w:val="000000"/>
                <w:sz w:val="22"/>
                <w:szCs w:val="22"/>
                <w:lang w:eastAsia="en-GB"/>
              </w:rPr>
            </w:pPr>
            <w:r>
              <w:rPr>
                <w:rFonts w:cs="Arial"/>
                <w:color w:val="000000"/>
                <w:sz w:val="22"/>
                <w:szCs w:val="22"/>
                <w:lang w:eastAsia="en-GB"/>
              </w:rPr>
              <w:t>0</w:t>
            </w:r>
          </w:p>
        </w:tc>
        <w:tc>
          <w:tcPr>
            <w:tcW w:w="1012" w:type="dxa"/>
            <w:tcBorders>
              <w:top w:val="nil"/>
              <w:left w:val="nil"/>
              <w:bottom w:val="nil"/>
              <w:right w:val="nil"/>
            </w:tcBorders>
            <w:shd w:val="clear" w:color="000000" w:fill="FFFFFF"/>
            <w:noWrap/>
            <w:vAlign w:val="center"/>
            <w:hideMark/>
          </w:tcPr>
          <w:p w14:paraId="4D1F40B1" w14:textId="77777777" w:rsidR="000119E5" w:rsidRPr="000119E5" w:rsidRDefault="000119E5" w:rsidP="0070459C">
            <w:pPr>
              <w:jc w:val="right"/>
              <w:rPr>
                <w:rFonts w:cs="Arial"/>
                <w:color w:val="000000"/>
                <w:sz w:val="22"/>
                <w:szCs w:val="22"/>
                <w:lang w:eastAsia="en-GB"/>
              </w:rPr>
            </w:pPr>
            <w:r w:rsidRPr="000119E5">
              <w:rPr>
                <w:rFonts w:cs="Arial"/>
                <w:color w:val="000000"/>
                <w:sz w:val="22"/>
                <w:szCs w:val="22"/>
                <w:lang w:eastAsia="en-GB"/>
              </w:rPr>
              <w:t>0</w:t>
            </w:r>
          </w:p>
        </w:tc>
        <w:tc>
          <w:tcPr>
            <w:tcW w:w="968" w:type="dxa"/>
            <w:tcBorders>
              <w:top w:val="nil"/>
              <w:left w:val="nil"/>
              <w:bottom w:val="nil"/>
              <w:right w:val="single" w:sz="8" w:space="0" w:color="auto"/>
            </w:tcBorders>
            <w:shd w:val="clear" w:color="000000" w:fill="FFFFFF"/>
            <w:noWrap/>
            <w:vAlign w:val="center"/>
            <w:hideMark/>
          </w:tcPr>
          <w:p w14:paraId="43019520"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70DF207F"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01C30F37"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332B6E7F"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243ADCDA"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single" w:sz="8" w:space="0" w:color="auto"/>
              <w:left w:val="nil"/>
              <w:bottom w:val="nil"/>
              <w:right w:val="nil"/>
            </w:tcBorders>
            <w:shd w:val="clear" w:color="000000" w:fill="FFFFFF"/>
            <w:noWrap/>
            <w:vAlign w:val="center"/>
            <w:hideMark/>
          </w:tcPr>
          <w:p w14:paraId="01375218" w14:textId="0AE76AF1" w:rsidR="000119E5" w:rsidRPr="000119E5" w:rsidRDefault="00CA46EF" w:rsidP="0070459C">
            <w:pPr>
              <w:jc w:val="right"/>
              <w:rPr>
                <w:rFonts w:cs="Arial"/>
                <w:color w:val="000000"/>
                <w:sz w:val="22"/>
                <w:szCs w:val="22"/>
                <w:lang w:eastAsia="en-GB"/>
              </w:rPr>
            </w:pPr>
            <w:r>
              <w:rPr>
                <w:rFonts w:cs="Arial"/>
                <w:color w:val="000000"/>
                <w:sz w:val="22"/>
                <w:szCs w:val="22"/>
                <w:lang w:eastAsia="en-GB"/>
              </w:rPr>
              <w:t>1,367</w:t>
            </w:r>
          </w:p>
        </w:tc>
        <w:tc>
          <w:tcPr>
            <w:tcW w:w="1012" w:type="dxa"/>
            <w:tcBorders>
              <w:top w:val="single" w:sz="8" w:space="0" w:color="auto"/>
              <w:left w:val="nil"/>
              <w:bottom w:val="nil"/>
              <w:right w:val="nil"/>
            </w:tcBorders>
            <w:shd w:val="clear" w:color="000000" w:fill="FFFFFF"/>
            <w:noWrap/>
            <w:vAlign w:val="center"/>
            <w:hideMark/>
          </w:tcPr>
          <w:p w14:paraId="42550D5A" w14:textId="1CEA7C7A" w:rsidR="000119E5" w:rsidRPr="000119E5" w:rsidRDefault="00CA46EF" w:rsidP="0070459C">
            <w:pPr>
              <w:jc w:val="right"/>
              <w:rPr>
                <w:rFonts w:cs="Arial"/>
                <w:color w:val="000000"/>
                <w:sz w:val="22"/>
                <w:szCs w:val="22"/>
                <w:lang w:eastAsia="en-GB"/>
              </w:rPr>
            </w:pPr>
            <w:r>
              <w:rPr>
                <w:rFonts w:cs="Arial"/>
                <w:color w:val="000000"/>
                <w:sz w:val="22"/>
                <w:szCs w:val="22"/>
                <w:lang w:eastAsia="en-GB"/>
              </w:rPr>
              <w:t>3</w:t>
            </w:r>
            <w:r w:rsidR="006C7E96">
              <w:rPr>
                <w:rFonts w:cs="Arial"/>
                <w:color w:val="000000"/>
                <w:sz w:val="22"/>
                <w:szCs w:val="22"/>
                <w:lang w:eastAsia="en-GB"/>
              </w:rPr>
              <w:t>15</w:t>
            </w:r>
          </w:p>
        </w:tc>
        <w:tc>
          <w:tcPr>
            <w:tcW w:w="968" w:type="dxa"/>
            <w:tcBorders>
              <w:top w:val="nil"/>
              <w:left w:val="nil"/>
              <w:bottom w:val="nil"/>
              <w:right w:val="single" w:sz="8" w:space="0" w:color="auto"/>
            </w:tcBorders>
            <w:shd w:val="clear" w:color="000000" w:fill="FFFFFF"/>
            <w:noWrap/>
            <w:vAlign w:val="center"/>
            <w:hideMark/>
          </w:tcPr>
          <w:p w14:paraId="53EE1D19"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6D6C8081"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3AEE8EDD"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4972" w:type="dxa"/>
            <w:gridSpan w:val="2"/>
            <w:tcBorders>
              <w:top w:val="nil"/>
              <w:left w:val="nil"/>
              <w:bottom w:val="nil"/>
              <w:right w:val="nil"/>
            </w:tcBorders>
            <w:shd w:val="clear" w:color="000000" w:fill="FFFFFF"/>
            <w:noWrap/>
            <w:vAlign w:val="center"/>
            <w:hideMark/>
          </w:tcPr>
          <w:p w14:paraId="6CEB8F52"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Vehicles and Plant</w:t>
            </w:r>
          </w:p>
        </w:tc>
        <w:tc>
          <w:tcPr>
            <w:tcW w:w="1012" w:type="dxa"/>
            <w:tcBorders>
              <w:top w:val="nil"/>
              <w:left w:val="nil"/>
              <w:bottom w:val="nil"/>
              <w:right w:val="nil"/>
            </w:tcBorders>
            <w:shd w:val="clear" w:color="000000" w:fill="FFFFFF"/>
            <w:noWrap/>
            <w:vAlign w:val="center"/>
            <w:hideMark/>
          </w:tcPr>
          <w:p w14:paraId="23E6313B"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nil"/>
              <w:right w:val="nil"/>
            </w:tcBorders>
            <w:shd w:val="clear" w:color="000000" w:fill="FFFFFF"/>
            <w:noWrap/>
            <w:vAlign w:val="center"/>
            <w:hideMark/>
          </w:tcPr>
          <w:p w14:paraId="50FB6266"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968" w:type="dxa"/>
            <w:tcBorders>
              <w:top w:val="nil"/>
              <w:left w:val="nil"/>
              <w:bottom w:val="nil"/>
              <w:right w:val="single" w:sz="8" w:space="0" w:color="auto"/>
            </w:tcBorders>
            <w:shd w:val="clear" w:color="000000" w:fill="FFFFFF"/>
            <w:noWrap/>
            <w:vAlign w:val="center"/>
            <w:hideMark/>
          </w:tcPr>
          <w:p w14:paraId="56FAC536"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0B31F707"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768AD789"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477B9A94"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6BE60AB0"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Vehicles</w:t>
            </w:r>
          </w:p>
        </w:tc>
        <w:tc>
          <w:tcPr>
            <w:tcW w:w="1012" w:type="dxa"/>
            <w:tcBorders>
              <w:top w:val="nil"/>
              <w:left w:val="nil"/>
              <w:bottom w:val="nil"/>
              <w:right w:val="nil"/>
            </w:tcBorders>
            <w:shd w:val="clear" w:color="000000" w:fill="FFFFFF"/>
            <w:noWrap/>
            <w:vAlign w:val="center"/>
            <w:hideMark/>
          </w:tcPr>
          <w:p w14:paraId="7334E37E" w14:textId="56E539A1" w:rsidR="000119E5" w:rsidRPr="000119E5" w:rsidRDefault="00CA46EF" w:rsidP="0070459C">
            <w:pPr>
              <w:jc w:val="right"/>
              <w:rPr>
                <w:rFonts w:cs="Arial"/>
                <w:color w:val="000000"/>
                <w:sz w:val="22"/>
                <w:szCs w:val="22"/>
                <w:lang w:eastAsia="en-GB"/>
              </w:rPr>
            </w:pPr>
            <w:r>
              <w:rPr>
                <w:rFonts w:cs="Arial"/>
                <w:color w:val="000000"/>
                <w:sz w:val="22"/>
                <w:szCs w:val="22"/>
                <w:lang w:eastAsia="en-GB"/>
              </w:rPr>
              <w:t>117</w:t>
            </w:r>
          </w:p>
        </w:tc>
        <w:tc>
          <w:tcPr>
            <w:tcW w:w="1012" w:type="dxa"/>
            <w:tcBorders>
              <w:top w:val="nil"/>
              <w:left w:val="nil"/>
              <w:bottom w:val="nil"/>
              <w:right w:val="nil"/>
            </w:tcBorders>
            <w:shd w:val="clear" w:color="000000" w:fill="FFFFFF"/>
            <w:noWrap/>
            <w:vAlign w:val="center"/>
            <w:hideMark/>
          </w:tcPr>
          <w:p w14:paraId="4F0845CB" w14:textId="1B3BB142" w:rsidR="000119E5" w:rsidRPr="000119E5" w:rsidRDefault="00CA46EF" w:rsidP="0070459C">
            <w:pPr>
              <w:jc w:val="right"/>
              <w:rPr>
                <w:rFonts w:cs="Arial"/>
                <w:color w:val="000000"/>
                <w:sz w:val="22"/>
                <w:szCs w:val="22"/>
                <w:lang w:eastAsia="en-GB"/>
              </w:rPr>
            </w:pPr>
            <w:r>
              <w:rPr>
                <w:rFonts w:cs="Arial"/>
                <w:color w:val="000000"/>
                <w:sz w:val="22"/>
                <w:szCs w:val="22"/>
                <w:lang w:eastAsia="en-GB"/>
              </w:rPr>
              <w:t>39</w:t>
            </w:r>
          </w:p>
        </w:tc>
        <w:tc>
          <w:tcPr>
            <w:tcW w:w="968" w:type="dxa"/>
            <w:tcBorders>
              <w:top w:val="nil"/>
              <w:left w:val="nil"/>
              <w:bottom w:val="nil"/>
              <w:right w:val="single" w:sz="8" w:space="0" w:color="auto"/>
            </w:tcBorders>
            <w:shd w:val="clear" w:color="000000" w:fill="FFFFFF"/>
            <w:noWrap/>
            <w:vAlign w:val="center"/>
            <w:hideMark/>
          </w:tcPr>
          <w:p w14:paraId="0B6A61AE"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3220F30B"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16DE7E78"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70A67A89"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3DB7DBC5"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Boats</w:t>
            </w:r>
          </w:p>
        </w:tc>
        <w:tc>
          <w:tcPr>
            <w:tcW w:w="1012" w:type="dxa"/>
            <w:tcBorders>
              <w:top w:val="nil"/>
              <w:left w:val="nil"/>
              <w:bottom w:val="nil"/>
              <w:right w:val="nil"/>
            </w:tcBorders>
            <w:shd w:val="clear" w:color="000000" w:fill="FFFFFF"/>
            <w:noWrap/>
            <w:vAlign w:val="center"/>
            <w:hideMark/>
          </w:tcPr>
          <w:p w14:paraId="5176F419" w14:textId="5C57514B" w:rsidR="000119E5" w:rsidRPr="000119E5" w:rsidRDefault="00CA46EF" w:rsidP="0070459C">
            <w:pPr>
              <w:jc w:val="right"/>
              <w:rPr>
                <w:rFonts w:cs="Arial"/>
                <w:color w:val="000000"/>
                <w:sz w:val="22"/>
                <w:szCs w:val="22"/>
                <w:lang w:eastAsia="en-GB"/>
              </w:rPr>
            </w:pPr>
            <w:r>
              <w:rPr>
                <w:rFonts w:cs="Arial"/>
                <w:color w:val="000000"/>
                <w:sz w:val="22"/>
                <w:szCs w:val="22"/>
                <w:lang w:eastAsia="en-GB"/>
              </w:rPr>
              <w:t>42</w:t>
            </w:r>
          </w:p>
        </w:tc>
        <w:tc>
          <w:tcPr>
            <w:tcW w:w="1012" w:type="dxa"/>
            <w:tcBorders>
              <w:top w:val="nil"/>
              <w:left w:val="nil"/>
              <w:bottom w:val="nil"/>
              <w:right w:val="nil"/>
            </w:tcBorders>
            <w:shd w:val="clear" w:color="000000" w:fill="FFFFFF"/>
            <w:noWrap/>
            <w:vAlign w:val="center"/>
            <w:hideMark/>
          </w:tcPr>
          <w:p w14:paraId="5B7F539F" w14:textId="249C4062" w:rsidR="000119E5" w:rsidRPr="000119E5" w:rsidRDefault="00CA46EF" w:rsidP="0070459C">
            <w:pPr>
              <w:jc w:val="right"/>
              <w:rPr>
                <w:rFonts w:cs="Arial"/>
                <w:color w:val="000000"/>
                <w:sz w:val="22"/>
                <w:szCs w:val="22"/>
                <w:lang w:eastAsia="en-GB"/>
              </w:rPr>
            </w:pPr>
            <w:r>
              <w:rPr>
                <w:rFonts w:cs="Arial"/>
                <w:color w:val="000000"/>
                <w:sz w:val="22"/>
                <w:szCs w:val="22"/>
                <w:lang w:eastAsia="en-GB"/>
              </w:rPr>
              <w:t>0</w:t>
            </w:r>
          </w:p>
        </w:tc>
        <w:tc>
          <w:tcPr>
            <w:tcW w:w="968" w:type="dxa"/>
            <w:tcBorders>
              <w:top w:val="nil"/>
              <w:left w:val="nil"/>
              <w:bottom w:val="nil"/>
              <w:right w:val="single" w:sz="8" w:space="0" w:color="auto"/>
            </w:tcBorders>
            <w:shd w:val="clear" w:color="000000" w:fill="FFFFFF"/>
            <w:noWrap/>
            <w:vAlign w:val="center"/>
            <w:hideMark/>
          </w:tcPr>
          <w:p w14:paraId="3EB7F439"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33B637F6" w14:textId="77777777" w:rsidTr="00CA46EF">
        <w:trPr>
          <w:trHeight w:val="300"/>
        </w:trPr>
        <w:tc>
          <w:tcPr>
            <w:tcW w:w="734" w:type="dxa"/>
            <w:tcBorders>
              <w:top w:val="nil"/>
              <w:left w:val="single" w:sz="8" w:space="0" w:color="auto"/>
              <w:bottom w:val="nil"/>
              <w:right w:val="nil"/>
            </w:tcBorders>
            <w:shd w:val="clear" w:color="000000" w:fill="FFFFFF"/>
            <w:noWrap/>
            <w:vAlign w:val="center"/>
            <w:hideMark/>
          </w:tcPr>
          <w:p w14:paraId="3518B9A6"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1096E82E"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0855DC25"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Plant &amp; Equipment</w:t>
            </w:r>
          </w:p>
        </w:tc>
        <w:tc>
          <w:tcPr>
            <w:tcW w:w="1012" w:type="dxa"/>
            <w:tcBorders>
              <w:top w:val="nil"/>
              <w:left w:val="nil"/>
              <w:bottom w:val="single" w:sz="8" w:space="0" w:color="auto"/>
              <w:right w:val="nil"/>
            </w:tcBorders>
            <w:shd w:val="clear" w:color="000000" w:fill="FFFFFF"/>
            <w:noWrap/>
            <w:vAlign w:val="center"/>
            <w:hideMark/>
          </w:tcPr>
          <w:p w14:paraId="60EB2A17" w14:textId="449685BA" w:rsidR="000119E5" w:rsidRPr="000119E5" w:rsidRDefault="00CA46EF" w:rsidP="0070459C">
            <w:pPr>
              <w:jc w:val="right"/>
              <w:rPr>
                <w:rFonts w:cs="Arial"/>
                <w:color w:val="000000"/>
                <w:sz w:val="22"/>
                <w:szCs w:val="22"/>
                <w:lang w:eastAsia="en-GB"/>
              </w:rPr>
            </w:pPr>
            <w:r>
              <w:rPr>
                <w:rFonts w:cs="Arial"/>
                <w:color w:val="000000"/>
                <w:sz w:val="22"/>
                <w:szCs w:val="22"/>
                <w:lang w:eastAsia="en-GB"/>
              </w:rPr>
              <w:t>41</w:t>
            </w:r>
          </w:p>
        </w:tc>
        <w:tc>
          <w:tcPr>
            <w:tcW w:w="1012" w:type="dxa"/>
            <w:tcBorders>
              <w:top w:val="nil"/>
              <w:left w:val="nil"/>
              <w:bottom w:val="single" w:sz="8" w:space="0" w:color="auto"/>
              <w:right w:val="nil"/>
            </w:tcBorders>
            <w:shd w:val="clear" w:color="000000" w:fill="FFFFFF"/>
            <w:noWrap/>
            <w:vAlign w:val="center"/>
            <w:hideMark/>
          </w:tcPr>
          <w:p w14:paraId="38BAAC77" w14:textId="637665D4" w:rsidR="000119E5" w:rsidRPr="000119E5" w:rsidRDefault="00CA46EF" w:rsidP="0070459C">
            <w:pPr>
              <w:jc w:val="right"/>
              <w:rPr>
                <w:rFonts w:cs="Arial"/>
                <w:color w:val="000000"/>
                <w:sz w:val="22"/>
                <w:szCs w:val="22"/>
                <w:lang w:eastAsia="en-GB"/>
              </w:rPr>
            </w:pPr>
            <w:r>
              <w:rPr>
                <w:rFonts w:cs="Arial"/>
                <w:color w:val="000000"/>
                <w:sz w:val="22"/>
                <w:szCs w:val="22"/>
                <w:lang w:eastAsia="en-GB"/>
              </w:rPr>
              <w:t>27</w:t>
            </w:r>
          </w:p>
        </w:tc>
        <w:tc>
          <w:tcPr>
            <w:tcW w:w="968" w:type="dxa"/>
            <w:tcBorders>
              <w:top w:val="nil"/>
              <w:left w:val="nil"/>
              <w:bottom w:val="nil"/>
              <w:right w:val="single" w:sz="8" w:space="0" w:color="auto"/>
            </w:tcBorders>
            <w:shd w:val="clear" w:color="000000" w:fill="FFFFFF"/>
            <w:noWrap/>
            <w:vAlign w:val="center"/>
            <w:hideMark/>
          </w:tcPr>
          <w:p w14:paraId="6C773196"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1B3CE350"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708DA491"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04EF4478"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6A225162"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nil"/>
              <w:right w:val="nil"/>
            </w:tcBorders>
            <w:shd w:val="clear" w:color="000000" w:fill="FFFFFF"/>
            <w:noWrap/>
            <w:vAlign w:val="center"/>
            <w:hideMark/>
          </w:tcPr>
          <w:p w14:paraId="419919BB" w14:textId="5B8149FF" w:rsidR="000119E5" w:rsidRPr="000119E5" w:rsidRDefault="00CA46EF" w:rsidP="0070459C">
            <w:pPr>
              <w:jc w:val="right"/>
              <w:rPr>
                <w:rFonts w:cs="Arial"/>
                <w:color w:val="000000"/>
                <w:sz w:val="22"/>
                <w:szCs w:val="22"/>
                <w:lang w:eastAsia="en-GB"/>
              </w:rPr>
            </w:pPr>
            <w:r>
              <w:rPr>
                <w:rFonts w:cs="Arial"/>
                <w:color w:val="000000"/>
                <w:sz w:val="22"/>
                <w:szCs w:val="22"/>
                <w:lang w:eastAsia="en-GB"/>
              </w:rPr>
              <w:t>200</w:t>
            </w:r>
          </w:p>
        </w:tc>
        <w:tc>
          <w:tcPr>
            <w:tcW w:w="1012" w:type="dxa"/>
            <w:tcBorders>
              <w:top w:val="nil"/>
              <w:left w:val="nil"/>
              <w:bottom w:val="nil"/>
              <w:right w:val="nil"/>
            </w:tcBorders>
            <w:shd w:val="clear" w:color="000000" w:fill="FFFFFF"/>
            <w:noWrap/>
            <w:vAlign w:val="center"/>
            <w:hideMark/>
          </w:tcPr>
          <w:p w14:paraId="297D01D0" w14:textId="79B29F3C" w:rsidR="000119E5" w:rsidRPr="000119E5" w:rsidRDefault="00CA46EF" w:rsidP="0070459C">
            <w:pPr>
              <w:jc w:val="right"/>
              <w:rPr>
                <w:rFonts w:cs="Arial"/>
                <w:color w:val="000000"/>
                <w:sz w:val="22"/>
                <w:szCs w:val="22"/>
                <w:lang w:eastAsia="en-GB"/>
              </w:rPr>
            </w:pPr>
            <w:r>
              <w:rPr>
                <w:rFonts w:cs="Arial"/>
                <w:color w:val="000000"/>
                <w:sz w:val="22"/>
                <w:szCs w:val="22"/>
                <w:lang w:eastAsia="en-GB"/>
              </w:rPr>
              <w:t>66</w:t>
            </w:r>
          </w:p>
        </w:tc>
        <w:tc>
          <w:tcPr>
            <w:tcW w:w="968" w:type="dxa"/>
            <w:tcBorders>
              <w:top w:val="nil"/>
              <w:left w:val="nil"/>
              <w:bottom w:val="nil"/>
              <w:right w:val="single" w:sz="8" w:space="0" w:color="auto"/>
            </w:tcBorders>
            <w:shd w:val="clear" w:color="000000" w:fill="FFFFFF"/>
            <w:noWrap/>
            <w:vAlign w:val="center"/>
            <w:hideMark/>
          </w:tcPr>
          <w:p w14:paraId="3BBB4B19"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1621F5C6"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09E936C1"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4972" w:type="dxa"/>
            <w:gridSpan w:val="2"/>
            <w:tcBorders>
              <w:top w:val="nil"/>
              <w:left w:val="nil"/>
              <w:bottom w:val="nil"/>
              <w:right w:val="nil"/>
            </w:tcBorders>
            <w:shd w:val="clear" w:color="000000" w:fill="FFFFFF"/>
            <w:noWrap/>
            <w:vAlign w:val="center"/>
            <w:hideMark/>
          </w:tcPr>
          <w:p w14:paraId="52E6308D"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Equipment</w:t>
            </w:r>
          </w:p>
        </w:tc>
        <w:tc>
          <w:tcPr>
            <w:tcW w:w="1012" w:type="dxa"/>
            <w:tcBorders>
              <w:top w:val="nil"/>
              <w:left w:val="nil"/>
              <w:bottom w:val="nil"/>
              <w:right w:val="nil"/>
            </w:tcBorders>
            <w:shd w:val="clear" w:color="000000" w:fill="FFFFFF"/>
            <w:noWrap/>
            <w:vAlign w:val="center"/>
            <w:hideMark/>
          </w:tcPr>
          <w:p w14:paraId="63E17207"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nil"/>
              <w:right w:val="nil"/>
            </w:tcBorders>
            <w:shd w:val="clear" w:color="000000" w:fill="FFFFFF"/>
            <w:noWrap/>
            <w:vAlign w:val="center"/>
            <w:hideMark/>
          </w:tcPr>
          <w:p w14:paraId="5AE06A75"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968" w:type="dxa"/>
            <w:tcBorders>
              <w:top w:val="nil"/>
              <w:left w:val="nil"/>
              <w:bottom w:val="nil"/>
              <w:right w:val="single" w:sz="8" w:space="0" w:color="auto"/>
            </w:tcBorders>
            <w:shd w:val="clear" w:color="000000" w:fill="FFFFFF"/>
            <w:noWrap/>
            <w:vAlign w:val="center"/>
            <w:hideMark/>
          </w:tcPr>
          <w:p w14:paraId="6E60E444"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456576A2"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2FDE6427"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01B500FE"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17F3B511"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Computer Equipment</w:t>
            </w:r>
          </w:p>
        </w:tc>
        <w:tc>
          <w:tcPr>
            <w:tcW w:w="1012" w:type="dxa"/>
            <w:tcBorders>
              <w:top w:val="nil"/>
              <w:left w:val="nil"/>
              <w:bottom w:val="nil"/>
              <w:right w:val="nil"/>
            </w:tcBorders>
            <w:shd w:val="clear" w:color="000000" w:fill="FFFFFF"/>
            <w:noWrap/>
            <w:vAlign w:val="center"/>
            <w:hideMark/>
          </w:tcPr>
          <w:p w14:paraId="7B7607C5" w14:textId="3C39BBDE" w:rsidR="000119E5" w:rsidRPr="000119E5" w:rsidRDefault="00CA46EF" w:rsidP="0070459C">
            <w:pPr>
              <w:jc w:val="right"/>
              <w:rPr>
                <w:rFonts w:cs="Arial"/>
                <w:color w:val="000000"/>
                <w:sz w:val="22"/>
                <w:szCs w:val="22"/>
                <w:lang w:eastAsia="en-GB"/>
              </w:rPr>
            </w:pPr>
            <w:r>
              <w:rPr>
                <w:rFonts w:cs="Arial"/>
                <w:color w:val="000000"/>
                <w:sz w:val="22"/>
                <w:szCs w:val="22"/>
                <w:lang w:eastAsia="en-GB"/>
              </w:rPr>
              <w:t>26</w:t>
            </w:r>
          </w:p>
        </w:tc>
        <w:tc>
          <w:tcPr>
            <w:tcW w:w="1012" w:type="dxa"/>
            <w:tcBorders>
              <w:top w:val="nil"/>
              <w:left w:val="nil"/>
              <w:bottom w:val="nil"/>
              <w:right w:val="nil"/>
            </w:tcBorders>
            <w:shd w:val="clear" w:color="000000" w:fill="FFFFFF"/>
            <w:noWrap/>
            <w:vAlign w:val="center"/>
            <w:hideMark/>
          </w:tcPr>
          <w:p w14:paraId="7A15030E" w14:textId="1F5E2363" w:rsidR="000119E5" w:rsidRPr="000119E5" w:rsidRDefault="00CA46EF" w:rsidP="0070459C">
            <w:pPr>
              <w:jc w:val="right"/>
              <w:rPr>
                <w:rFonts w:cs="Arial"/>
                <w:color w:val="000000"/>
                <w:sz w:val="22"/>
                <w:szCs w:val="22"/>
                <w:lang w:eastAsia="en-GB"/>
              </w:rPr>
            </w:pPr>
            <w:r>
              <w:rPr>
                <w:rFonts w:cs="Arial"/>
                <w:color w:val="000000"/>
                <w:sz w:val="22"/>
                <w:szCs w:val="22"/>
                <w:lang w:eastAsia="en-GB"/>
              </w:rPr>
              <w:t>67</w:t>
            </w:r>
          </w:p>
        </w:tc>
        <w:tc>
          <w:tcPr>
            <w:tcW w:w="968" w:type="dxa"/>
            <w:tcBorders>
              <w:top w:val="nil"/>
              <w:left w:val="nil"/>
              <w:bottom w:val="nil"/>
              <w:right w:val="single" w:sz="8" w:space="0" w:color="auto"/>
            </w:tcBorders>
            <w:shd w:val="clear" w:color="000000" w:fill="FFFFFF"/>
            <w:noWrap/>
            <w:vAlign w:val="center"/>
            <w:hideMark/>
          </w:tcPr>
          <w:p w14:paraId="13231EE8"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1E89BE9C" w14:textId="77777777" w:rsidTr="00CA46EF">
        <w:trPr>
          <w:trHeight w:val="300"/>
        </w:trPr>
        <w:tc>
          <w:tcPr>
            <w:tcW w:w="734" w:type="dxa"/>
            <w:tcBorders>
              <w:top w:val="nil"/>
              <w:left w:val="single" w:sz="8" w:space="0" w:color="auto"/>
              <w:bottom w:val="nil"/>
              <w:right w:val="nil"/>
            </w:tcBorders>
            <w:shd w:val="clear" w:color="000000" w:fill="FFFFFF"/>
            <w:noWrap/>
            <w:vAlign w:val="center"/>
            <w:hideMark/>
          </w:tcPr>
          <w:p w14:paraId="60850236"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69B2B7E4"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0845A3B6"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Brockhole Equipment</w:t>
            </w:r>
          </w:p>
        </w:tc>
        <w:tc>
          <w:tcPr>
            <w:tcW w:w="1012" w:type="dxa"/>
            <w:tcBorders>
              <w:top w:val="nil"/>
              <w:left w:val="nil"/>
              <w:bottom w:val="nil"/>
              <w:right w:val="nil"/>
            </w:tcBorders>
            <w:shd w:val="clear" w:color="000000" w:fill="FFFFFF"/>
            <w:noWrap/>
            <w:vAlign w:val="center"/>
            <w:hideMark/>
          </w:tcPr>
          <w:p w14:paraId="72A63696" w14:textId="05101113" w:rsidR="000119E5" w:rsidRPr="000119E5" w:rsidRDefault="00CA46EF" w:rsidP="0070459C">
            <w:pPr>
              <w:jc w:val="right"/>
              <w:rPr>
                <w:rFonts w:cs="Arial"/>
                <w:color w:val="000000"/>
                <w:sz w:val="22"/>
                <w:szCs w:val="22"/>
                <w:lang w:eastAsia="en-GB"/>
              </w:rPr>
            </w:pPr>
            <w:r>
              <w:rPr>
                <w:rFonts w:cs="Arial"/>
                <w:color w:val="000000"/>
                <w:sz w:val="22"/>
                <w:szCs w:val="22"/>
                <w:lang w:eastAsia="en-GB"/>
              </w:rPr>
              <w:t>0</w:t>
            </w:r>
          </w:p>
        </w:tc>
        <w:tc>
          <w:tcPr>
            <w:tcW w:w="1012" w:type="dxa"/>
            <w:tcBorders>
              <w:top w:val="nil"/>
              <w:left w:val="nil"/>
              <w:bottom w:val="nil"/>
              <w:right w:val="nil"/>
            </w:tcBorders>
            <w:shd w:val="clear" w:color="000000" w:fill="FFFFFF"/>
            <w:noWrap/>
            <w:vAlign w:val="center"/>
            <w:hideMark/>
          </w:tcPr>
          <w:p w14:paraId="6D88FE8B" w14:textId="77777777" w:rsidR="000119E5" w:rsidRPr="000119E5" w:rsidRDefault="000119E5" w:rsidP="0070459C">
            <w:pPr>
              <w:jc w:val="right"/>
              <w:rPr>
                <w:rFonts w:cs="Arial"/>
                <w:color w:val="000000"/>
                <w:sz w:val="22"/>
                <w:szCs w:val="22"/>
                <w:lang w:eastAsia="en-GB"/>
              </w:rPr>
            </w:pPr>
            <w:r w:rsidRPr="000119E5">
              <w:rPr>
                <w:rFonts w:cs="Arial"/>
                <w:color w:val="000000"/>
                <w:sz w:val="22"/>
                <w:szCs w:val="22"/>
                <w:lang w:eastAsia="en-GB"/>
              </w:rPr>
              <w:t>0</w:t>
            </w:r>
          </w:p>
        </w:tc>
        <w:tc>
          <w:tcPr>
            <w:tcW w:w="968" w:type="dxa"/>
            <w:tcBorders>
              <w:top w:val="nil"/>
              <w:left w:val="nil"/>
              <w:bottom w:val="nil"/>
              <w:right w:val="single" w:sz="8" w:space="0" w:color="auto"/>
            </w:tcBorders>
            <w:shd w:val="clear" w:color="000000" w:fill="FFFFFF"/>
            <w:noWrap/>
            <w:vAlign w:val="center"/>
            <w:hideMark/>
          </w:tcPr>
          <w:p w14:paraId="3B9A039F"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6102CA30"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256223F7"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410A8489"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4B8B5263"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single" w:sz="8" w:space="0" w:color="auto"/>
              <w:left w:val="nil"/>
              <w:bottom w:val="nil"/>
              <w:right w:val="nil"/>
            </w:tcBorders>
            <w:shd w:val="clear" w:color="000000" w:fill="FFFFFF"/>
            <w:noWrap/>
            <w:vAlign w:val="center"/>
            <w:hideMark/>
          </w:tcPr>
          <w:p w14:paraId="3AE478E8" w14:textId="40DC3782" w:rsidR="000119E5" w:rsidRPr="000119E5" w:rsidRDefault="00CA46EF" w:rsidP="0070459C">
            <w:pPr>
              <w:jc w:val="right"/>
              <w:rPr>
                <w:rFonts w:cs="Arial"/>
                <w:color w:val="000000"/>
                <w:sz w:val="22"/>
                <w:szCs w:val="22"/>
                <w:lang w:eastAsia="en-GB"/>
              </w:rPr>
            </w:pPr>
            <w:r>
              <w:rPr>
                <w:rFonts w:cs="Arial"/>
                <w:color w:val="000000"/>
                <w:sz w:val="22"/>
                <w:szCs w:val="22"/>
                <w:lang w:eastAsia="en-GB"/>
              </w:rPr>
              <w:t>26</w:t>
            </w:r>
          </w:p>
        </w:tc>
        <w:tc>
          <w:tcPr>
            <w:tcW w:w="1012" w:type="dxa"/>
            <w:tcBorders>
              <w:top w:val="single" w:sz="8" w:space="0" w:color="auto"/>
              <w:left w:val="nil"/>
              <w:bottom w:val="nil"/>
              <w:right w:val="nil"/>
            </w:tcBorders>
            <w:shd w:val="clear" w:color="000000" w:fill="FFFFFF"/>
            <w:noWrap/>
            <w:vAlign w:val="center"/>
            <w:hideMark/>
          </w:tcPr>
          <w:p w14:paraId="69FF270F" w14:textId="7FF9406C" w:rsidR="000119E5" w:rsidRPr="000119E5" w:rsidRDefault="00CA46EF" w:rsidP="0070459C">
            <w:pPr>
              <w:jc w:val="right"/>
              <w:rPr>
                <w:rFonts w:cs="Arial"/>
                <w:color w:val="000000"/>
                <w:sz w:val="22"/>
                <w:szCs w:val="22"/>
                <w:lang w:eastAsia="en-GB"/>
              </w:rPr>
            </w:pPr>
            <w:r>
              <w:rPr>
                <w:rFonts w:cs="Arial"/>
                <w:color w:val="000000"/>
                <w:sz w:val="22"/>
                <w:szCs w:val="22"/>
                <w:lang w:eastAsia="en-GB"/>
              </w:rPr>
              <w:t>67</w:t>
            </w:r>
          </w:p>
        </w:tc>
        <w:tc>
          <w:tcPr>
            <w:tcW w:w="968" w:type="dxa"/>
            <w:tcBorders>
              <w:top w:val="nil"/>
              <w:left w:val="nil"/>
              <w:bottom w:val="nil"/>
              <w:right w:val="single" w:sz="8" w:space="0" w:color="auto"/>
            </w:tcBorders>
            <w:shd w:val="clear" w:color="000000" w:fill="FFFFFF"/>
            <w:noWrap/>
            <w:vAlign w:val="center"/>
            <w:hideMark/>
          </w:tcPr>
          <w:p w14:paraId="7C8A4EED"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5E0C888E"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43138973"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4972" w:type="dxa"/>
            <w:gridSpan w:val="2"/>
            <w:tcBorders>
              <w:top w:val="nil"/>
              <w:left w:val="nil"/>
              <w:bottom w:val="nil"/>
              <w:right w:val="nil"/>
            </w:tcBorders>
            <w:shd w:val="clear" w:color="000000" w:fill="FFFFFF"/>
            <w:noWrap/>
            <w:vAlign w:val="center"/>
            <w:hideMark/>
          </w:tcPr>
          <w:p w14:paraId="5F8CDDD6"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Intangible Assets</w:t>
            </w:r>
          </w:p>
        </w:tc>
        <w:tc>
          <w:tcPr>
            <w:tcW w:w="1012" w:type="dxa"/>
            <w:tcBorders>
              <w:top w:val="nil"/>
              <w:left w:val="nil"/>
              <w:bottom w:val="nil"/>
              <w:right w:val="nil"/>
            </w:tcBorders>
            <w:shd w:val="clear" w:color="000000" w:fill="FFFFFF"/>
            <w:noWrap/>
            <w:vAlign w:val="center"/>
            <w:hideMark/>
          </w:tcPr>
          <w:p w14:paraId="3A274B83"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nil"/>
              <w:right w:val="nil"/>
            </w:tcBorders>
            <w:shd w:val="clear" w:color="000000" w:fill="FFFFFF"/>
            <w:noWrap/>
            <w:vAlign w:val="center"/>
            <w:hideMark/>
          </w:tcPr>
          <w:p w14:paraId="1088A23B"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968" w:type="dxa"/>
            <w:tcBorders>
              <w:top w:val="nil"/>
              <w:left w:val="nil"/>
              <w:bottom w:val="nil"/>
              <w:right w:val="single" w:sz="8" w:space="0" w:color="auto"/>
            </w:tcBorders>
            <w:shd w:val="clear" w:color="000000" w:fill="FFFFFF"/>
            <w:noWrap/>
            <w:vAlign w:val="center"/>
            <w:hideMark/>
          </w:tcPr>
          <w:p w14:paraId="64C46967"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0479AED5" w14:textId="77777777" w:rsidTr="00CA46EF">
        <w:trPr>
          <w:trHeight w:val="300"/>
        </w:trPr>
        <w:tc>
          <w:tcPr>
            <w:tcW w:w="734" w:type="dxa"/>
            <w:tcBorders>
              <w:top w:val="nil"/>
              <w:left w:val="single" w:sz="8" w:space="0" w:color="auto"/>
              <w:bottom w:val="nil"/>
              <w:right w:val="nil"/>
            </w:tcBorders>
            <w:shd w:val="clear" w:color="000000" w:fill="FFFFFF"/>
            <w:noWrap/>
            <w:vAlign w:val="center"/>
            <w:hideMark/>
          </w:tcPr>
          <w:p w14:paraId="21DF9E42"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1AC70852"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6096EA0F"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Software &amp; Electronic Images</w:t>
            </w:r>
          </w:p>
        </w:tc>
        <w:tc>
          <w:tcPr>
            <w:tcW w:w="1012" w:type="dxa"/>
            <w:tcBorders>
              <w:top w:val="nil"/>
              <w:left w:val="nil"/>
              <w:bottom w:val="nil"/>
              <w:right w:val="nil"/>
            </w:tcBorders>
            <w:shd w:val="clear" w:color="000000" w:fill="FFFFFF"/>
            <w:noWrap/>
            <w:vAlign w:val="center"/>
            <w:hideMark/>
          </w:tcPr>
          <w:p w14:paraId="189E2B1A" w14:textId="1F2CD1FA" w:rsidR="000119E5" w:rsidRPr="000119E5" w:rsidRDefault="00CA46EF" w:rsidP="0070459C">
            <w:pPr>
              <w:jc w:val="right"/>
              <w:rPr>
                <w:rFonts w:cs="Arial"/>
                <w:color w:val="000000"/>
                <w:sz w:val="22"/>
                <w:szCs w:val="22"/>
                <w:lang w:eastAsia="en-GB"/>
              </w:rPr>
            </w:pPr>
            <w:r>
              <w:rPr>
                <w:rFonts w:cs="Arial"/>
                <w:color w:val="000000"/>
                <w:sz w:val="22"/>
                <w:szCs w:val="22"/>
                <w:lang w:eastAsia="en-GB"/>
              </w:rPr>
              <w:t>18</w:t>
            </w:r>
          </w:p>
        </w:tc>
        <w:tc>
          <w:tcPr>
            <w:tcW w:w="1012" w:type="dxa"/>
            <w:tcBorders>
              <w:top w:val="nil"/>
              <w:left w:val="nil"/>
              <w:bottom w:val="nil"/>
              <w:right w:val="nil"/>
            </w:tcBorders>
            <w:shd w:val="clear" w:color="000000" w:fill="FFFFFF"/>
            <w:noWrap/>
            <w:vAlign w:val="center"/>
            <w:hideMark/>
          </w:tcPr>
          <w:p w14:paraId="06E83C45" w14:textId="79E72CBA" w:rsidR="000119E5" w:rsidRPr="000119E5" w:rsidRDefault="00292E59" w:rsidP="0070459C">
            <w:pPr>
              <w:jc w:val="right"/>
              <w:rPr>
                <w:rFonts w:cs="Arial"/>
                <w:color w:val="000000"/>
                <w:sz w:val="22"/>
                <w:szCs w:val="22"/>
                <w:lang w:eastAsia="en-GB"/>
              </w:rPr>
            </w:pPr>
            <w:r>
              <w:rPr>
                <w:rFonts w:cs="Arial"/>
                <w:color w:val="000000"/>
                <w:sz w:val="22"/>
                <w:szCs w:val="22"/>
                <w:lang w:eastAsia="en-GB"/>
              </w:rPr>
              <w:t>0</w:t>
            </w:r>
          </w:p>
        </w:tc>
        <w:tc>
          <w:tcPr>
            <w:tcW w:w="968" w:type="dxa"/>
            <w:tcBorders>
              <w:top w:val="nil"/>
              <w:left w:val="nil"/>
              <w:bottom w:val="nil"/>
              <w:right w:val="single" w:sz="8" w:space="0" w:color="auto"/>
            </w:tcBorders>
            <w:shd w:val="clear" w:color="000000" w:fill="FFFFFF"/>
            <w:noWrap/>
            <w:vAlign w:val="center"/>
            <w:hideMark/>
          </w:tcPr>
          <w:p w14:paraId="165CE2E8"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72A6167B"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4B34DEF8"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465AB5C5"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20FC3311"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single" w:sz="8" w:space="0" w:color="auto"/>
              <w:left w:val="nil"/>
              <w:bottom w:val="nil"/>
              <w:right w:val="nil"/>
            </w:tcBorders>
            <w:shd w:val="clear" w:color="000000" w:fill="FFFFFF"/>
            <w:noWrap/>
            <w:vAlign w:val="center"/>
            <w:hideMark/>
          </w:tcPr>
          <w:p w14:paraId="063FC741" w14:textId="43AF1C41" w:rsidR="000119E5" w:rsidRPr="000119E5" w:rsidRDefault="00CA46EF" w:rsidP="0070459C">
            <w:pPr>
              <w:jc w:val="right"/>
              <w:rPr>
                <w:rFonts w:cs="Arial"/>
                <w:color w:val="000000"/>
                <w:sz w:val="22"/>
                <w:szCs w:val="22"/>
                <w:lang w:eastAsia="en-GB"/>
              </w:rPr>
            </w:pPr>
            <w:r>
              <w:rPr>
                <w:rFonts w:cs="Arial"/>
                <w:color w:val="000000"/>
                <w:sz w:val="22"/>
                <w:szCs w:val="22"/>
                <w:lang w:eastAsia="en-GB"/>
              </w:rPr>
              <w:t>18</w:t>
            </w:r>
          </w:p>
        </w:tc>
        <w:tc>
          <w:tcPr>
            <w:tcW w:w="1012" w:type="dxa"/>
            <w:tcBorders>
              <w:top w:val="single" w:sz="8" w:space="0" w:color="auto"/>
              <w:left w:val="nil"/>
              <w:bottom w:val="nil"/>
              <w:right w:val="nil"/>
            </w:tcBorders>
            <w:shd w:val="clear" w:color="000000" w:fill="FFFFFF"/>
            <w:noWrap/>
            <w:vAlign w:val="center"/>
            <w:hideMark/>
          </w:tcPr>
          <w:p w14:paraId="57CBC54E" w14:textId="7630AA60" w:rsidR="000119E5" w:rsidRPr="000119E5" w:rsidRDefault="00292E59" w:rsidP="0070459C">
            <w:pPr>
              <w:jc w:val="right"/>
              <w:rPr>
                <w:rFonts w:cs="Arial"/>
                <w:color w:val="000000"/>
                <w:sz w:val="22"/>
                <w:szCs w:val="22"/>
                <w:lang w:eastAsia="en-GB"/>
              </w:rPr>
            </w:pPr>
            <w:r>
              <w:rPr>
                <w:rFonts w:cs="Arial"/>
                <w:color w:val="000000"/>
                <w:sz w:val="22"/>
                <w:szCs w:val="22"/>
                <w:lang w:eastAsia="en-GB"/>
              </w:rPr>
              <w:t>0</w:t>
            </w:r>
          </w:p>
        </w:tc>
        <w:tc>
          <w:tcPr>
            <w:tcW w:w="968" w:type="dxa"/>
            <w:tcBorders>
              <w:top w:val="nil"/>
              <w:left w:val="nil"/>
              <w:bottom w:val="nil"/>
              <w:right w:val="single" w:sz="8" w:space="0" w:color="auto"/>
            </w:tcBorders>
            <w:shd w:val="clear" w:color="000000" w:fill="FFFFFF"/>
            <w:noWrap/>
            <w:vAlign w:val="center"/>
            <w:hideMark/>
          </w:tcPr>
          <w:p w14:paraId="3F5D201F"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4C85554A" w14:textId="77777777" w:rsidTr="00CA46EF">
        <w:trPr>
          <w:trHeight w:val="300"/>
        </w:trPr>
        <w:tc>
          <w:tcPr>
            <w:tcW w:w="734" w:type="dxa"/>
            <w:tcBorders>
              <w:top w:val="nil"/>
              <w:left w:val="single" w:sz="8" w:space="0" w:color="auto"/>
              <w:bottom w:val="nil"/>
              <w:right w:val="nil"/>
            </w:tcBorders>
            <w:shd w:val="clear" w:color="000000" w:fill="FFFFFF"/>
            <w:noWrap/>
            <w:vAlign w:val="center"/>
            <w:hideMark/>
          </w:tcPr>
          <w:p w14:paraId="68B968FD"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2BFD98F0"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3AE0FFA9"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nil"/>
              <w:right w:val="nil"/>
            </w:tcBorders>
            <w:shd w:val="clear" w:color="000000" w:fill="FFFFFF"/>
            <w:noWrap/>
            <w:vAlign w:val="center"/>
            <w:hideMark/>
          </w:tcPr>
          <w:p w14:paraId="64BCD361"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nil"/>
              <w:right w:val="nil"/>
            </w:tcBorders>
            <w:shd w:val="clear" w:color="000000" w:fill="FFFFFF"/>
            <w:noWrap/>
            <w:vAlign w:val="center"/>
            <w:hideMark/>
          </w:tcPr>
          <w:p w14:paraId="3B061A0A"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968" w:type="dxa"/>
            <w:tcBorders>
              <w:top w:val="nil"/>
              <w:left w:val="nil"/>
              <w:bottom w:val="nil"/>
              <w:right w:val="single" w:sz="8" w:space="0" w:color="auto"/>
            </w:tcBorders>
            <w:shd w:val="clear" w:color="000000" w:fill="FFFFFF"/>
            <w:noWrap/>
            <w:vAlign w:val="center"/>
            <w:hideMark/>
          </w:tcPr>
          <w:p w14:paraId="7421B763"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56ACFD97" w14:textId="77777777" w:rsidTr="00CA46EF">
        <w:trPr>
          <w:trHeight w:val="300"/>
        </w:trPr>
        <w:tc>
          <w:tcPr>
            <w:tcW w:w="734" w:type="dxa"/>
            <w:tcBorders>
              <w:top w:val="nil"/>
              <w:left w:val="single" w:sz="8" w:space="0" w:color="auto"/>
              <w:bottom w:val="nil"/>
              <w:right w:val="nil"/>
            </w:tcBorders>
            <w:shd w:val="clear" w:color="000000" w:fill="FFFFFF"/>
            <w:noWrap/>
            <w:vAlign w:val="center"/>
            <w:hideMark/>
          </w:tcPr>
          <w:p w14:paraId="3225C955"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4972" w:type="dxa"/>
            <w:gridSpan w:val="2"/>
            <w:tcBorders>
              <w:top w:val="nil"/>
              <w:left w:val="nil"/>
              <w:bottom w:val="nil"/>
              <w:right w:val="nil"/>
            </w:tcBorders>
            <w:shd w:val="clear" w:color="000000" w:fill="FFFFFF"/>
            <w:noWrap/>
            <w:vAlign w:val="center"/>
            <w:hideMark/>
          </w:tcPr>
          <w:p w14:paraId="6EA9865C"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Total Capital Expenditure to be Financed</w:t>
            </w:r>
          </w:p>
        </w:tc>
        <w:tc>
          <w:tcPr>
            <w:tcW w:w="1012" w:type="dxa"/>
            <w:tcBorders>
              <w:top w:val="single" w:sz="8" w:space="0" w:color="auto"/>
              <w:left w:val="nil"/>
              <w:bottom w:val="double" w:sz="6" w:space="0" w:color="auto"/>
              <w:right w:val="nil"/>
            </w:tcBorders>
            <w:shd w:val="clear" w:color="000000" w:fill="FFFFFF"/>
            <w:noWrap/>
            <w:vAlign w:val="center"/>
            <w:hideMark/>
          </w:tcPr>
          <w:p w14:paraId="7894785F" w14:textId="3047DC63" w:rsidR="000119E5" w:rsidRPr="000119E5" w:rsidRDefault="00CA46EF" w:rsidP="0070459C">
            <w:pPr>
              <w:jc w:val="right"/>
              <w:rPr>
                <w:rFonts w:cs="Arial"/>
                <w:b/>
                <w:bCs/>
                <w:color w:val="000000"/>
                <w:sz w:val="20"/>
                <w:szCs w:val="20"/>
                <w:lang w:eastAsia="en-GB"/>
              </w:rPr>
            </w:pPr>
            <w:r>
              <w:rPr>
                <w:rFonts w:cs="Arial"/>
                <w:b/>
                <w:bCs/>
                <w:color w:val="000000"/>
                <w:sz w:val="20"/>
                <w:szCs w:val="20"/>
                <w:lang w:eastAsia="en-GB"/>
              </w:rPr>
              <w:t>1,899</w:t>
            </w:r>
          </w:p>
        </w:tc>
        <w:tc>
          <w:tcPr>
            <w:tcW w:w="1012" w:type="dxa"/>
            <w:tcBorders>
              <w:top w:val="single" w:sz="8" w:space="0" w:color="auto"/>
              <w:left w:val="nil"/>
              <w:bottom w:val="double" w:sz="6" w:space="0" w:color="auto"/>
              <w:right w:val="nil"/>
            </w:tcBorders>
            <w:shd w:val="clear" w:color="000000" w:fill="FFFFFF"/>
            <w:noWrap/>
            <w:vAlign w:val="center"/>
            <w:hideMark/>
          </w:tcPr>
          <w:p w14:paraId="72DAC593" w14:textId="486B2CBE" w:rsidR="000119E5" w:rsidRPr="000119E5" w:rsidRDefault="00292E59" w:rsidP="0070459C">
            <w:pPr>
              <w:jc w:val="right"/>
              <w:rPr>
                <w:rFonts w:cs="Arial"/>
                <w:b/>
                <w:bCs/>
                <w:color w:val="000000"/>
                <w:sz w:val="20"/>
                <w:szCs w:val="20"/>
                <w:lang w:eastAsia="en-GB"/>
              </w:rPr>
            </w:pPr>
            <w:r>
              <w:rPr>
                <w:rFonts w:cs="Arial"/>
                <w:b/>
                <w:bCs/>
                <w:color w:val="000000"/>
                <w:sz w:val="20"/>
                <w:szCs w:val="20"/>
                <w:lang w:eastAsia="en-GB"/>
              </w:rPr>
              <w:t>8</w:t>
            </w:r>
            <w:r w:rsidR="006C7E96">
              <w:rPr>
                <w:rFonts w:cs="Arial"/>
                <w:b/>
                <w:bCs/>
                <w:color w:val="000000"/>
                <w:sz w:val="20"/>
                <w:szCs w:val="20"/>
                <w:lang w:eastAsia="en-GB"/>
              </w:rPr>
              <w:t>45</w:t>
            </w:r>
          </w:p>
        </w:tc>
        <w:tc>
          <w:tcPr>
            <w:tcW w:w="968" w:type="dxa"/>
            <w:tcBorders>
              <w:top w:val="nil"/>
              <w:left w:val="nil"/>
              <w:bottom w:val="nil"/>
              <w:right w:val="single" w:sz="8" w:space="0" w:color="auto"/>
            </w:tcBorders>
            <w:shd w:val="clear" w:color="000000" w:fill="FFFFFF"/>
            <w:noWrap/>
            <w:vAlign w:val="center"/>
            <w:hideMark/>
          </w:tcPr>
          <w:p w14:paraId="4DDA9C5A"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355F14B9" w14:textId="77777777" w:rsidTr="00CA46EF">
        <w:trPr>
          <w:trHeight w:val="300"/>
        </w:trPr>
        <w:tc>
          <w:tcPr>
            <w:tcW w:w="734" w:type="dxa"/>
            <w:tcBorders>
              <w:top w:val="nil"/>
              <w:left w:val="single" w:sz="8" w:space="0" w:color="auto"/>
              <w:bottom w:val="nil"/>
              <w:right w:val="nil"/>
            </w:tcBorders>
            <w:shd w:val="clear" w:color="000000" w:fill="FFFFFF"/>
            <w:noWrap/>
            <w:vAlign w:val="center"/>
            <w:hideMark/>
          </w:tcPr>
          <w:p w14:paraId="45895BFA"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419A62A8"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5AC7A2E4"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nil"/>
              <w:right w:val="nil"/>
            </w:tcBorders>
            <w:shd w:val="clear" w:color="000000" w:fill="FFFFFF"/>
            <w:noWrap/>
            <w:vAlign w:val="center"/>
            <w:hideMark/>
          </w:tcPr>
          <w:p w14:paraId="37C0F931" w14:textId="77777777" w:rsidR="000119E5" w:rsidRPr="000119E5" w:rsidRDefault="000119E5" w:rsidP="0070459C">
            <w:pPr>
              <w:rPr>
                <w:rFonts w:cs="Arial"/>
                <w:b/>
                <w:bCs/>
                <w:color w:val="000000"/>
                <w:sz w:val="20"/>
                <w:szCs w:val="20"/>
                <w:lang w:eastAsia="en-GB"/>
              </w:rPr>
            </w:pPr>
            <w:r w:rsidRPr="000119E5">
              <w:rPr>
                <w:rFonts w:cs="Arial"/>
                <w:b/>
                <w:bCs/>
                <w:color w:val="000000"/>
                <w:sz w:val="20"/>
                <w:szCs w:val="20"/>
                <w:lang w:eastAsia="en-GB"/>
              </w:rPr>
              <w:t> </w:t>
            </w:r>
          </w:p>
        </w:tc>
        <w:tc>
          <w:tcPr>
            <w:tcW w:w="1012" w:type="dxa"/>
            <w:tcBorders>
              <w:top w:val="nil"/>
              <w:left w:val="nil"/>
              <w:bottom w:val="nil"/>
              <w:right w:val="nil"/>
            </w:tcBorders>
            <w:shd w:val="clear" w:color="000000" w:fill="FFFFFF"/>
            <w:noWrap/>
            <w:vAlign w:val="center"/>
            <w:hideMark/>
          </w:tcPr>
          <w:p w14:paraId="0124AA04" w14:textId="77777777" w:rsidR="000119E5" w:rsidRPr="000119E5" w:rsidRDefault="000119E5" w:rsidP="0070459C">
            <w:pPr>
              <w:rPr>
                <w:rFonts w:cs="Arial"/>
                <w:b/>
                <w:bCs/>
                <w:color w:val="000000"/>
                <w:sz w:val="20"/>
                <w:szCs w:val="20"/>
                <w:lang w:eastAsia="en-GB"/>
              </w:rPr>
            </w:pPr>
            <w:r w:rsidRPr="000119E5">
              <w:rPr>
                <w:rFonts w:cs="Arial"/>
                <w:b/>
                <w:bCs/>
                <w:color w:val="000000"/>
                <w:sz w:val="20"/>
                <w:szCs w:val="20"/>
                <w:lang w:eastAsia="en-GB"/>
              </w:rPr>
              <w:t> </w:t>
            </w:r>
          </w:p>
        </w:tc>
        <w:tc>
          <w:tcPr>
            <w:tcW w:w="968" w:type="dxa"/>
            <w:tcBorders>
              <w:top w:val="nil"/>
              <w:left w:val="nil"/>
              <w:bottom w:val="nil"/>
              <w:right w:val="single" w:sz="8" w:space="0" w:color="auto"/>
            </w:tcBorders>
            <w:shd w:val="clear" w:color="000000" w:fill="FFFFFF"/>
            <w:noWrap/>
            <w:vAlign w:val="center"/>
            <w:hideMark/>
          </w:tcPr>
          <w:p w14:paraId="769B0D6D"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35466246"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1BAAC178"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4972" w:type="dxa"/>
            <w:gridSpan w:val="2"/>
            <w:tcBorders>
              <w:top w:val="nil"/>
              <w:left w:val="nil"/>
              <w:bottom w:val="nil"/>
              <w:right w:val="nil"/>
            </w:tcBorders>
            <w:shd w:val="clear" w:color="000000" w:fill="FFFFFF"/>
            <w:noWrap/>
            <w:vAlign w:val="center"/>
            <w:hideMark/>
          </w:tcPr>
          <w:p w14:paraId="00CCDE48"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Financing used</w:t>
            </w:r>
          </w:p>
        </w:tc>
        <w:tc>
          <w:tcPr>
            <w:tcW w:w="1012" w:type="dxa"/>
            <w:tcBorders>
              <w:top w:val="nil"/>
              <w:left w:val="nil"/>
              <w:bottom w:val="nil"/>
              <w:right w:val="nil"/>
            </w:tcBorders>
            <w:shd w:val="clear" w:color="000000" w:fill="FFFFFF"/>
            <w:noWrap/>
            <w:vAlign w:val="center"/>
            <w:hideMark/>
          </w:tcPr>
          <w:p w14:paraId="4E7820C9"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nil"/>
              <w:right w:val="nil"/>
            </w:tcBorders>
            <w:shd w:val="clear" w:color="000000" w:fill="FFFFFF"/>
            <w:noWrap/>
            <w:vAlign w:val="center"/>
            <w:hideMark/>
          </w:tcPr>
          <w:p w14:paraId="718E9470"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968" w:type="dxa"/>
            <w:tcBorders>
              <w:top w:val="nil"/>
              <w:left w:val="nil"/>
              <w:bottom w:val="nil"/>
              <w:right w:val="single" w:sz="8" w:space="0" w:color="auto"/>
            </w:tcBorders>
            <w:shd w:val="clear" w:color="000000" w:fill="FFFFFF"/>
            <w:noWrap/>
            <w:vAlign w:val="center"/>
            <w:hideMark/>
          </w:tcPr>
          <w:p w14:paraId="05E174B1"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49D2CF1E"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6834E534"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5049EA8F"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3EB854A7"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Useable Capital Receipts</w:t>
            </w:r>
          </w:p>
        </w:tc>
        <w:tc>
          <w:tcPr>
            <w:tcW w:w="1012" w:type="dxa"/>
            <w:tcBorders>
              <w:top w:val="nil"/>
              <w:left w:val="nil"/>
              <w:bottom w:val="nil"/>
              <w:right w:val="nil"/>
            </w:tcBorders>
            <w:shd w:val="clear" w:color="000000" w:fill="FFFFFF"/>
            <w:noWrap/>
            <w:vAlign w:val="center"/>
            <w:hideMark/>
          </w:tcPr>
          <w:p w14:paraId="4094694D" w14:textId="38379E4B" w:rsidR="000119E5" w:rsidRPr="000119E5" w:rsidRDefault="00CA46EF" w:rsidP="0070459C">
            <w:pPr>
              <w:jc w:val="right"/>
              <w:rPr>
                <w:rFonts w:cs="Arial"/>
                <w:color w:val="000000"/>
                <w:sz w:val="22"/>
                <w:szCs w:val="22"/>
                <w:lang w:eastAsia="en-GB"/>
              </w:rPr>
            </w:pPr>
            <w:r>
              <w:rPr>
                <w:rFonts w:cs="Arial"/>
                <w:color w:val="000000"/>
                <w:sz w:val="22"/>
                <w:szCs w:val="22"/>
                <w:lang w:eastAsia="en-GB"/>
              </w:rPr>
              <w:t>201</w:t>
            </w:r>
          </w:p>
        </w:tc>
        <w:tc>
          <w:tcPr>
            <w:tcW w:w="1012" w:type="dxa"/>
            <w:tcBorders>
              <w:top w:val="nil"/>
              <w:left w:val="nil"/>
              <w:bottom w:val="nil"/>
              <w:right w:val="nil"/>
            </w:tcBorders>
            <w:shd w:val="clear" w:color="000000" w:fill="FFFFFF"/>
            <w:noWrap/>
            <w:vAlign w:val="center"/>
            <w:hideMark/>
          </w:tcPr>
          <w:p w14:paraId="189898A0" w14:textId="758277D4" w:rsidR="000119E5" w:rsidRPr="000119E5" w:rsidRDefault="00292E59" w:rsidP="0070459C">
            <w:pPr>
              <w:jc w:val="right"/>
              <w:rPr>
                <w:rFonts w:cs="Arial"/>
                <w:color w:val="000000"/>
                <w:sz w:val="22"/>
                <w:szCs w:val="22"/>
                <w:lang w:eastAsia="en-GB"/>
              </w:rPr>
            </w:pPr>
            <w:r>
              <w:rPr>
                <w:rFonts w:cs="Arial"/>
                <w:color w:val="000000"/>
                <w:sz w:val="22"/>
                <w:szCs w:val="22"/>
                <w:lang w:eastAsia="en-GB"/>
              </w:rPr>
              <w:t>514</w:t>
            </w:r>
          </w:p>
        </w:tc>
        <w:tc>
          <w:tcPr>
            <w:tcW w:w="968" w:type="dxa"/>
            <w:tcBorders>
              <w:top w:val="nil"/>
              <w:left w:val="nil"/>
              <w:bottom w:val="nil"/>
              <w:right w:val="single" w:sz="8" w:space="0" w:color="auto"/>
            </w:tcBorders>
            <w:shd w:val="clear" w:color="000000" w:fill="FFFFFF"/>
            <w:noWrap/>
            <w:vAlign w:val="center"/>
            <w:hideMark/>
          </w:tcPr>
          <w:p w14:paraId="3123E9F3"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1CEE2A8D"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37608272"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0C79335F"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20B482D4"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Capital Grants &amp; Contributions</w:t>
            </w:r>
          </w:p>
        </w:tc>
        <w:tc>
          <w:tcPr>
            <w:tcW w:w="1012" w:type="dxa"/>
            <w:tcBorders>
              <w:top w:val="nil"/>
              <w:left w:val="nil"/>
              <w:bottom w:val="nil"/>
              <w:right w:val="nil"/>
            </w:tcBorders>
            <w:shd w:val="clear" w:color="000000" w:fill="FFFFFF"/>
            <w:noWrap/>
            <w:vAlign w:val="center"/>
            <w:hideMark/>
          </w:tcPr>
          <w:p w14:paraId="480BC526" w14:textId="3077760B" w:rsidR="000119E5" w:rsidRPr="000119E5" w:rsidRDefault="00CA46EF" w:rsidP="00CA46EF">
            <w:pPr>
              <w:rPr>
                <w:rFonts w:cs="Arial"/>
                <w:color w:val="000000"/>
                <w:sz w:val="22"/>
                <w:szCs w:val="22"/>
                <w:lang w:eastAsia="en-GB"/>
              </w:rPr>
            </w:pPr>
            <w:r>
              <w:rPr>
                <w:rFonts w:cs="Arial"/>
                <w:color w:val="000000"/>
                <w:sz w:val="22"/>
                <w:szCs w:val="22"/>
                <w:lang w:eastAsia="en-GB"/>
              </w:rPr>
              <w:t xml:space="preserve">    1,363</w:t>
            </w:r>
          </w:p>
        </w:tc>
        <w:tc>
          <w:tcPr>
            <w:tcW w:w="1012" w:type="dxa"/>
            <w:tcBorders>
              <w:top w:val="nil"/>
              <w:left w:val="nil"/>
              <w:bottom w:val="nil"/>
              <w:right w:val="nil"/>
            </w:tcBorders>
            <w:shd w:val="clear" w:color="000000" w:fill="FFFFFF"/>
            <w:noWrap/>
            <w:vAlign w:val="center"/>
            <w:hideMark/>
          </w:tcPr>
          <w:p w14:paraId="06971D3F" w14:textId="769897B7" w:rsidR="000119E5" w:rsidRPr="000119E5" w:rsidRDefault="006C7E96" w:rsidP="0070459C">
            <w:pPr>
              <w:jc w:val="right"/>
              <w:rPr>
                <w:rFonts w:cs="Arial"/>
                <w:color w:val="000000"/>
                <w:sz w:val="22"/>
                <w:szCs w:val="22"/>
                <w:lang w:eastAsia="en-GB"/>
              </w:rPr>
            </w:pPr>
            <w:r>
              <w:rPr>
                <w:rFonts w:cs="Arial"/>
                <w:color w:val="000000"/>
                <w:sz w:val="22"/>
                <w:szCs w:val="22"/>
                <w:lang w:eastAsia="en-GB"/>
              </w:rPr>
              <w:t>281</w:t>
            </w:r>
          </w:p>
        </w:tc>
        <w:tc>
          <w:tcPr>
            <w:tcW w:w="968" w:type="dxa"/>
            <w:tcBorders>
              <w:top w:val="nil"/>
              <w:left w:val="nil"/>
              <w:bottom w:val="nil"/>
              <w:right w:val="single" w:sz="8" w:space="0" w:color="auto"/>
            </w:tcBorders>
            <w:shd w:val="clear" w:color="000000" w:fill="FFFFFF"/>
            <w:noWrap/>
            <w:vAlign w:val="center"/>
            <w:hideMark/>
          </w:tcPr>
          <w:p w14:paraId="6E49B693"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094040FC" w14:textId="77777777" w:rsidTr="00CA46EF">
        <w:trPr>
          <w:trHeight w:val="290"/>
        </w:trPr>
        <w:tc>
          <w:tcPr>
            <w:tcW w:w="734" w:type="dxa"/>
            <w:tcBorders>
              <w:top w:val="nil"/>
              <w:left w:val="single" w:sz="8" w:space="0" w:color="auto"/>
              <w:bottom w:val="nil"/>
              <w:right w:val="nil"/>
            </w:tcBorders>
            <w:shd w:val="clear" w:color="000000" w:fill="FFFFFF"/>
            <w:noWrap/>
            <w:vAlign w:val="center"/>
            <w:hideMark/>
          </w:tcPr>
          <w:p w14:paraId="77E33484"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6262AF3A"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7EE926E6"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Direct Revenue Financing</w:t>
            </w:r>
          </w:p>
        </w:tc>
        <w:tc>
          <w:tcPr>
            <w:tcW w:w="1012" w:type="dxa"/>
            <w:tcBorders>
              <w:top w:val="nil"/>
              <w:left w:val="nil"/>
              <w:bottom w:val="nil"/>
              <w:right w:val="nil"/>
            </w:tcBorders>
            <w:shd w:val="clear" w:color="000000" w:fill="FFFFFF"/>
            <w:noWrap/>
            <w:vAlign w:val="center"/>
            <w:hideMark/>
          </w:tcPr>
          <w:p w14:paraId="518635CC" w14:textId="40F79618" w:rsidR="000119E5" w:rsidRPr="000119E5" w:rsidRDefault="00CA46EF" w:rsidP="0070459C">
            <w:pPr>
              <w:jc w:val="right"/>
              <w:rPr>
                <w:rFonts w:cs="Arial"/>
                <w:color w:val="000000"/>
                <w:sz w:val="22"/>
                <w:szCs w:val="22"/>
                <w:lang w:eastAsia="en-GB"/>
              </w:rPr>
            </w:pPr>
            <w:r>
              <w:rPr>
                <w:rFonts w:cs="Arial"/>
                <w:color w:val="000000"/>
                <w:sz w:val="22"/>
                <w:szCs w:val="22"/>
                <w:lang w:eastAsia="en-GB"/>
              </w:rPr>
              <w:t>335</w:t>
            </w:r>
          </w:p>
        </w:tc>
        <w:tc>
          <w:tcPr>
            <w:tcW w:w="1012" w:type="dxa"/>
            <w:tcBorders>
              <w:top w:val="nil"/>
              <w:left w:val="nil"/>
              <w:bottom w:val="nil"/>
              <w:right w:val="nil"/>
            </w:tcBorders>
            <w:shd w:val="clear" w:color="000000" w:fill="FFFFFF"/>
            <w:noWrap/>
            <w:vAlign w:val="center"/>
            <w:hideMark/>
          </w:tcPr>
          <w:p w14:paraId="24CAB0D9" w14:textId="25B56EAD" w:rsidR="000119E5" w:rsidRPr="000119E5" w:rsidRDefault="00292E59" w:rsidP="0070459C">
            <w:pPr>
              <w:jc w:val="right"/>
              <w:rPr>
                <w:rFonts w:cs="Arial"/>
                <w:color w:val="000000"/>
                <w:sz w:val="22"/>
                <w:szCs w:val="22"/>
                <w:lang w:eastAsia="en-GB"/>
              </w:rPr>
            </w:pPr>
            <w:r>
              <w:rPr>
                <w:rFonts w:cs="Arial"/>
                <w:color w:val="000000"/>
                <w:sz w:val="22"/>
                <w:szCs w:val="22"/>
                <w:lang w:eastAsia="en-GB"/>
              </w:rPr>
              <w:t>50</w:t>
            </w:r>
          </w:p>
        </w:tc>
        <w:tc>
          <w:tcPr>
            <w:tcW w:w="968" w:type="dxa"/>
            <w:tcBorders>
              <w:top w:val="nil"/>
              <w:left w:val="nil"/>
              <w:bottom w:val="nil"/>
              <w:right w:val="single" w:sz="8" w:space="0" w:color="auto"/>
            </w:tcBorders>
            <w:shd w:val="clear" w:color="000000" w:fill="FFFFFF"/>
            <w:noWrap/>
            <w:vAlign w:val="center"/>
            <w:hideMark/>
          </w:tcPr>
          <w:p w14:paraId="0EEF313A"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00099705" w14:textId="77777777" w:rsidTr="00CA46EF">
        <w:trPr>
          <w:trHeight w:val="300"/>
        </w:trPr>
        <w:tc>
          <w:tcPr>
            <w:tcW w:w="734" w:type="dxa"/>
            <w:tcBorders>
              <w:top w:val="nil"/>
              <w:left w:val="single" w:sz="8" w:space="0" w:color="auto"/>
              <w:bottom w:val="nil"/>
              <w:right w:val="nil"/>
            </w:tcBorders>
            <w:shd w:val="clear" w:color="000000" w:fill="FFFFFF"/>
            <w:noWrap/>
            <w:vAlign w:val="center"/>
            <w:hideMark/>
          </w:tcPr>
          <w:p w14:paraId="0109BEE5"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6DED0545"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38F01D1B"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nil"/>
              <w:right w:val="nil"/>
            </w:tcBorders>
            <w:shd w:val="clear" w:color="000000" w:fill="FFFFFF"/>
            <w:noWrap/>
            <w:vAlign w:val="center"/>
            <w:hideMark/>
          </w:tcPr>
          <w:p w14:paraId="6E996F8B"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nil"/>
              <w:right w:val="nil"/>
            </w:tcBorders>
            <w:shd w:val="clear" w:color="000000" w:fill="FFFFFF"/>
            <w:noWrap/>
            <w:vAlign w:val="center"/>
            <w:hideMark/>
          </w:tcPr>
          <w:p w14:paraId="0F59266E"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968" w:type="dxa"/>
            <w:tcBorders>
              <w:top w:val="nil"/>
              <w:left w:val="nil"/>
              <w:bottom w:val="nil"/>
              <w:right w:val="single" w:sz="8" w:space="0" w:color="auto"/>
            </w:tcBorders>
            <w:shd w:val="clear" w:color="000000" w:fill="FFFFFF"/>
            <w:noWrap/>
            <w:vAlign w:val="center"/>
            <w:hideMark/>
          </w:tcPr>
          <w:p w14:paraId="6A23F20C"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1E4D59C4" w14:textId="77777777" w:rsidTr="00CA46EF">
        <w:trPr>
          <w:trHeight w:val="300"/>
        </w:trPr>
        <w:tc>
          <w:tcPr>
            <w:tcW w:w="734" w:type="dxa"/>
            <w:tcBorders>
              <w:top w:val="nil"/>
              <w:left w:val="single" w:sz="8" w:space="0" w:color="auto"/>
              <w:bottom w:val="nil"/>
              <w:right w:val="nil"/>
            </w:tcBorders>
            <w:shd w:val="clear" w:color="000000" w:fill="FFFFFF"/>
            <w:noWrap/>
            <w:vAlign w:val="center"/>
            <w:hideMark/>
          </w:tcPr>
          <w:p w14:paraId="0AF35A6F"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4972" w:type="dxa"/>
            <w:gridSpan w:val="2"/>
            <w:tcBorders>
              <w:top w:val="nil"/>
              <w:left w:val="nil"/>
              <w:bottom w:val="nil"/>
              <w:right w:val="nil"/>
            </w:tcBorders>
            <w:shd w:val="clear" w:color="000000" w:fill="FFFFFF"/>
            <w:noWrap/>
            <w:vAlign w:val="center"/>
            <w:hideMark/>
          </w:tcPr>
          <w:p w14:paraId="34E10FF8"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Total Financing</w:t>
            </w:r>
          </w:p>
        </w:tc>
        <w:tc>
          <w:tcPr>
            <w:tcW w:w="1012" w:type="dxa"/>
            <w:tcBorders>
              <w:top w:val="single" w:sz="8" w:space="0" w:color="auto"/>
              <w:left w:val="nil"/>
              <w:bottom w:val="double" w:sz="6" w:space="0" w:color="auto"/>
              <w:right w:val="nil"/>
            </w:tcBorders>
            <w:shd w:val="clear" w:color="000000" w:fill="FFFFFF"/>
            <w:noWrap/>
            <w:vAlign w:val="center"/>
            <w:hideMark/>
          </w:tcPr>
          <w:p w14:paraId="392E74B4" w14:textId="77FD9C11" w:rsidR="000119E5" w:rsidRPr="000119E5" w:rsidRDefault="000119E5" w:rsidP="0070459C">
            <w:pPr>
              <w:jc w:val="right"/>
              <w:rPr>
                <w:rFonts w:cs="Arial"/>
                <w:b/>
                <w:bCs/>
                <w:color w:val="000000"/>
                <w:sz w:val="20"/>
                <w:szCs w:val="20"/>
                <w:lang w:eastAsia="en-GB"/>
              </w:rPr>
            </w:pPr>
            <w:r w:rsidRPr="000119E5">
              <w:rPr>
                <w:rFonts w:cs="Arial"/>
                <w:b/>
                <w:bCs/>
                <w:color w:val="000000"/>
                <w:sz w:val="20"/>
                <w:szCs w:val="20"/>
                <w:lang w:eastAsia="en-GB"/>
              </w:rPr>
              <w:t>1,</w:t>
            </w:r>
            <w:r w:rsidR="00CA46EF">
              <w:rPr>
                <w:rFonts w:cs="Arial"/>
                <w:b/>
                <w:bCs/>
                <w:color w:val="000000"/>
                <w:sz w:val="20"/>
                <w:szCs w:val="20"/>
                <w:lang w:eastAsia="en-GB"/>
              </w:rPr>
              <w:t>899</w:t>
            </w:r>
          </w:p>
        </w:tc>
        <w:tc>
          <w:tcPr>
            <w:tcW w:w="1012" w:type="dxa"/>
            <w:tcBorders>
              <w:top w:val="single" w:sz="8" w:space="0" w:color="auto"/>
              <w:left w:val="nil"/>
              <w:bottom w:val="double" w:sz="6" w:space="0" w:color="auto"/>
              <w:right w:val="nil"/>
            </w:tcBorders>
            <w:shd w:val="clear" w:color="000000" w:fill="FFFFFF"/>
            <w:noWrap/>
            <w:vAlign w:val="center"/>
            <w:hideMark/>
          </w:tcPr>
          <w:p w14:paraId="463FFC53" w14:textId="2C2CE839" w:rsidR="000119E5" w:rsidRPr="000119E5" w:rsidRDefault="00292E59" w:rsidP="0070459C">
            <w:pPr>
              <w:jc w:val="right"/>
              <w:rPr>
                <w:rFonts w:cs="Arial"/>
                <w:b/>
                <w:bCs/>
                <w:color w:val="000000"/>
                <w:sz w:val="20"/>
                <w:szCs w:val="20"/>
                <w:lang w:eastAsia="en-GB"/>
              </w:rPr>
            </w:pPr>
            <w:r>
              <w:rPr>
                <w:rFonts w:cs="Arial"/>
                <w:b/>
                <w:bCs/>
                <w:color w:val="000000"/>
                <w:sz w:val="20"/>
                <w:szCs w:val="20"/>
                <w:lang w:eastAsia="en-GB"/>
              </w:rPr>
              <w:t>8</w:t>
            </w:r>
            <w:r w:rsidR="006C7E96">
              <w:rPr>
                <w:rFonts w:cs="Arial"/>
                <w:b/>
                <w:bCs/>
                <w:color w:val="000000"/>
                <w:sz w:val="20"/>
                <w:szCs w:val="20"/>
                <w:lang w:eastAsia="en-GB"/>
              </w:rPr>
              <w:t>45</w:t>
            </w:r>
          </w:p>
        </w:tc>
        <w:tc>
          <w:tcPr>
            <w:tcW w:w="968" w:type="dxa"/>
            <w:tcBorders>
              <w:top w:val="nil"/>
              <w:left w:val="nil"/>
              <w:bottom w:val="nil"/>
              <w:right w:val="single" w:sz="8" w:space="0" w:color="auto"/>
            </w:tcBorders>
            <w:shd w:val="clear" w:color="000000" w:fill="FFFFFF"/>
            <w:noWrap/>
            <w:vAlign w:val="center"/>
            <w:hideMark/>
          </w:tcPr>
          <w:p w14:paraId="1FBFDB50"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2B5064D0" w14:textId="77777777" w:rsidTr="00CA46EF">
        <w:trPr>
          <w:trHeight w:val="310"/>
        </w:trPr>
        <w:tc>
          <w:tcPr>
            <w:tcW w:w="734" w:type="dxa"/>
            <w:tcBorders>
              <w:top w:val="nil"/>
              <w:left w:val="single" w:sz="8" w:space="0" w:color="auto"/>
              <w:bottom w:val="nil"/>
              <w:right w:val="nil"/>
            </w:tcBorders>
            <w:shd w:val="clear" w:color="000000" w:fill="FFFFFF"/>
            <w:noWrap/>
            <w:vAlign w:val="center"/>
            <w:hideMark/>
          </w:tcPr>
          <w:p w14:paraId="1879758B"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nil"/>
              <w:right w:val="nil"/>
            </w:tcBorders>
            <w:shd w:val="clear" w:color="000000" w:fill="FFFFFF"/>
            <w:noWrap/>
            <w:vAlign w:val="center"/>
            <w:hideMark/>
          </w:tcPr>
          <w:p w14:paraId="069F17F6" w14:textId="77777777" w:rsidR="000119E5" w:rsidRPr="000119E5" w:rsidRDefault="000119E5" w:rsidP="0070459C">
            <w:pPr>
              <w:rPr>
                <w:rFonts w:cs="Arial"/>
                <w:b/>
                <w:bCs/>
                <w:color w:val="000000"/>
                <w:sz w:val="22"/>
                <w:szCs w:val="22"/>
                <w:lang w:eastAsia="en-GB"/>
              </w:rPr>
            </w:pPr>
            <w:r w:rsidRPr="000119E5">
              <w:rPr>
                <w:rFonts w:cs="Arial"/>
                <w:b/>
                <w:bCs/>
                <w:color w:val="000000"/>
                <w:sz w:val="22"/>
                <w:szCs w:val="22"/>
                <w:lang w:eastAsia="en-GB"/>
              </w:rPr>
              <w:t> </w:t>
            </w:r>
          </w:p>
        </w:tc>
        <w:tc>
          <w:tcPr>
            <w:tcW w:w="3776" w:type="dxa"/>
            <w:tcBorders>
              <w:top w:val="nil"/>
              <w:left w:val="nil"/>
              <w:bottom w:val="nil"/>
              <w:right w:val="nil"/>
            </w:tcBorders>
            <w:shd w:val="clear" w:color="000000" w:fill="FFFFFF"/>
            <w:noWrap/>
            <w:vAlign w:val="center"/>
            <w:hideMark/>
          </w:tcPr>
          <w:p w14:paraId="2066F044"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nil"/>
              <w:right w:val="nil"/>
            </w:tcBorders>
            <w:shd w:val="clear" w:color="000000" w:fill="FFFFFF"/>
            <w:noWrap/>
            <w:vAlign w:val="center"/>
            <w:hideMark/>
          </w:tcPr>
          <w:p w14:paraId="281C2783" w14:textId="77777777" w:rsidR="000119E5" w:rsidRPr="000119E5" w:rsidRDefault="000119E5" w:rsidP="0070459C">
            <w:pPr>
              <w:rPr>
                <w:rFonts w:cs="Arial"/>
                <w:b/>
                <w:bCs/>
                <w:color w:val="000000"/>
                <w:sz w:val="20"/>
                <w:szCs w:val="20"/>
                <w:lang w:eastAsia="en-GB"/>
              </w:rPr>
            </w:pPr>
            <w:r w:rsidRPr="000119E5">
              <w:rPr>
                <w:rFonts w:cs="Arial"/>
                <w:b/>
                <w:bCs/>
                <w:color w:val="000000"/>
                <w:sz w:val="20"/>
                <w:szCs w:val="20"/>
                <w:lang w:eastAsia="en-GB"/>
              </w:rPr>
              <w:t> </w:t>
            </w:r>
          </w:p>
        </w:tc>
        <w:tc>
          <w:tcPr>
            <w:tcW w:w="1012" w:type="dxa"/>
            <w:tcBorders>
              <w:top w:val="nil"/>
              <w:left w:val="nil"/>
              <w:bottom w:val="nil"/>
              <w:right w:val="nil"/>
            </w:tcBorders>
            <w:shd w:val="clear" w:color="000000" w:fill="FFFFFF"/>
            <w:noWrap/>
            <w:vAlign w:val="center"/>
            <w:hideMark/>
          </w:tcPr>
          <w:p w14:paraId="5B249904" w14:textId="77777777" w:rsidR="000119E5" w:rsidRPr="000119E5" w:rsidRDefault="000119E5" w:rsidP="0070459C">
            <w:pPr>
              <w:rPr>
                <w:rFonts w:cs="Arial"/>
                <w:b/>
                <w:bCs/>
                <w:color w:val="000000"/>
                <w:sz w:val="20"/>
                <w:szCs w:val="20"/>
                <w:lang w:eastAsia="en-GB"/>
              </w:rPr>
            </w:pPr>
            <w:r w:rsidRPr="000119E5">
              <w:rPr>
                <w:rFonts w:cs="Arial"/>
                <w:b/>
                <w:bCs/>
                <w:color w:val="000000"/>
                <w:sz w:val="20"/>
                <w:szCs w:val="20"/>
                <w:lang w:eastAsia="en-GB"/>
              </w:rPr>
              <w:t> </w:t>
            </w:r>
          </w:p>
        </w:tc>
        <w:tc>
          <w:tcPr>
            <w:tcW w:w="968" w:type="dxa"/>
            <w:tcBorders>
              <w:top w:val="nil"/>
              <w:left w:val="nil"/>
              <w:bottom w:val="nil"/>
              <w:right w:val="single" w:sz="8" w:space="0" w:color="auto"/>
            </w:tcBorders>
            <w:shd w:val="clear" w:color="000000" w:fill="FFFFFF"/>
            <w:noWrap/>
            <w:vAlign w:val="center"/>
            <w:hideMark/>
          </w:tcPr>
          <w:p w14:paraId="260F12C9"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4013FBAF" w14:textId="77777777" w:rsidTr="00CA46EF">
        <w:trPr>
          <w:trHeight w:val="300"/>
        </w:trPr>
        <w:tc>
          <w:tcPr>
            <w:tcW w:w="734" w:type="dxa"/>
            <w:tcBorders>
              <w:top w:val="nil"/>
              <w:left w:val="single" w:sz="8" w:space="0" w:color="auto"/>
              <w:bottom w:val="nil"/>
              <w:right w:val="nil"/>
            </w:tcBorders>
            <w:shd w:val="clear" w:color="000000" w:fill="FFFFFF"/>
            <w:noWrap/>
            <w:vAlign w:val="center"/>
            <w:hideMark/>
          </w:tcPr>
          <w:p w14:paraId="46385774"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4972" w:type="dxa"/>
            <w:gridSpan w:val="2"/>
            <w:tcBorders>
              <w:top w:val="nil"/>
              <w:left w:val="nil"/>
              <w:bottom w:val="nil"/>
              <w:right w:val="nil"/>
            </w:tcBorders>
            <w:shd w:val="clear" w:color="000000" w:fill="FFFFFF"/>
            <w:noWrap/>
            <w:vAlign w:val="center"/>
            <w:hideMark/>
          </w:tcPr>
          <w:p w14:paraId="7A7FD973" w14:textId="7118EFEA" w:rsidR="000119E5" w:rsidRPr="000119E5" w:rsidRDefault="002116F2" w:rsidP="0070459C">
            <w:pPr>
              <w:rPr>
                <w:rFonts w:cs="Arial"/>
                <w:b/>
                <w:bCs/>
                <w:color w:val="000000"/>
                <w:sz w:val="22"/>
                <w:szCs w:val="22"/>
                <w:lang w:eastAsia="en-GB"/>
              </w:rPr>
            </w:pPr>
            <w:r>
              <w:rPr>
                <w:rFonts w:cs="Arial"/>
                <w:b/>
                <w:bCs/>
                <w:color w:val="000000"/>
                <w:sz w:val="22"/>
                <w:szCs w:val="22"/>
                <w:lang w:eastAsia="en-GB"/>
              </w:rPr>
              <w:t>Impact on</w:t>
            </w:r>
            <w:r w:rsidR="000119E5" w:rsidRPr="000119E5">
              <w:rPr>
                <w:rFonts w:cs="Arial"/>
                <w:b/>
                <w:bCs/>
                <w:color w:val="000000"/>
                <w:sz w:val="22"/>
                <w:szCs w:val="22"/>
                <w:lang w:eastAsia="en-GB"/>
              </w:rPr>
              <w:t xml:space="preserve"> Capital Financing Requirement</w:t>
            </w:r>
          </w:p>
        </w:tc>
        <w:tc>
          <w:tcPr>
            <w:tcW w:w="1012" w:type="dxa"/>
            <w:tcBorders>
              <w:top w:val="single" w:sz="8" w:space="0" w:color="auto"/>
              <w:left w:val="nil"/>
              <w:bottom w:val="double" w:sz="6" w:space="0" w:color="auto"/>
              <w:right w:val="nil"/>
            </w:tcBorders>
            <w:shd w:val="clear" w:color="000000" w:fill="FFFFFF"/>
            <w:noWrap/>
            <w:vAlign w:val="center"/>
            <w:hideMark/>
          </w:tcPr>
          <w:p w14:paraId="15C60897" w14:textId="77777777" w:rsidR="000119E5" w:rsidRPr="000119E5" w:rsidRDefault="000119E5" w:rsidP="0070459C">
            <w:pPr>
              <w:jc w:val="right"/>
              <w:rPr>
                <w:rFonts w:cs="Arial"/>
                <w:b/>
                <w:bCs/>
                <w:color w:val="000000"/>
                <w:sz w:val="20"/>
                <w:szCs w:val="20"/>
                <w:lang w:eastAsia="en-GB"/>
              </w:rPr>
            </w:pPr>
            <w:r w:rsidRPr="000119E5">
              <w:rPr>
                <w:rFonts w:cs="Arial"/>
                <w:b/>
                <w:bCs/>
                <w:color w:val="000000"/>
                <w:sz w:val="20"/>
                <w:szCs w:val="20"/>
                <w:lang w:eastAsia="en-GB"/>
              </w:rPr>
              <w:t>0</w:t>
            </w:r>
          </w:p>
        </w:tc>
        <w:tc>
          <w:tcPr>
            <w:tcW w:w="1012" w:type="dxa"/>
            <w:tcBorders>
              <w:top w:val="single" w:sz="8" w:space="0" w:color="auto"/>
              <w:left w:val="nil"/>
              <w:bottom w:val="double" w:sz="6" w:space="0" w:color="auto"/>
              <w:right w:val="nil"/>
            </w:tcBorders>
            <w:shd w:val="clear" w:color="000000" w:fill="FFFFFF"/>
            <w:noWrap/>
            <w:vAlign w:val="center"/>
            <w:hideMark/>
          </w:tcPr>
          <w:p w14:paraId="69444D6A" w14:textId="77777777" w:rsidR="000119E5" w:rsidRPr="000119E5" w:rsidRDefault="000119E5" w:rsidP="0070459C">
            <w:pPr>
              <w:jc w:val="right"/>
              <w:rPr>
                <w:rFonts w:cs="Arial"/>
                <w:b/>
                <w:bCs/>
                <w:color w:val="000000"/>
                <w:sz w:val="20"/>
                <w:szCs w:val="20"/>
                <w:lang w:eastAsia="en-GB"/>
              </w:rPr>
            </w:pPr>
            <w:r w:rsidRPr="000119E5">
              <w:rPr>
                <w:rFonts w:cs="Arial"/>
                <w:b/>
                <w:bCs/>
                <w:color w:val="000000"/>
                <w:sz w:val="20"/>
                <w:szCs w:val="20"/>
                <w:lang w:eastAsia="en-GB"/>
              </w:rPr>
              <w:t>0</w:t>
            </w:r>
          </w:p>
        </w:tc>
        <w:tc>
          <w:tcPr>
            <w:tcW w:w="968" w:type="dxa"/>
            <w:tcBorders>
              <w:top w:val="nil"/>
              <w:left w:val="nil"/>
              <w:bottom w:val="nil"/>
              <w:right w:val="single" w:sz="8" w:space="0" w:color="auto"/>
            </w:tcBorders>
            <w:shd w:val="clear" w:color="000000" w:fill="FFFFFF"/>
            <w:noWrap/>
            <w:vAlign w:val="center"/>
            <w:hideMark/>
          </w:tcPr>
          <w:p w14:paraId="7C5ABD10"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r w:rsidR="000119E5" w:rsidRPr="000119E5" w14:paraId="240CF283" w14:textId="77777777" w:rsidTr="00CA46EF">
        <w:trPr>
          <w:trHeight w:val="310"/>
        </w:trPr>
        <w:tc>
          <w:tcPr>
            <w:tcW w:w="734" w:type="dxa"/>
            <w:tcBorders>
              <w:top w:val="nil"/>
              <w:left w:val="single" w:sz="8" w:space="0" w:color="auto"/>
              <w:bottom w:val="single" w:sz="8" w:space="0" w:color="auto"/>
              <w:right w:val="nil"/>
            </w:tcBorders>
            <w:shd w:val="clear" w:color="000000" w:fill="FFFFFF"/>
            <w:noWrap/>
            <w:vAlign w:val="center"/>
            <w:hideMark/>
          </w:tcPr>
          <w:p w14:paraId="59AB3F91"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196" w:type="dxa"/>
            <w:tcBorders>
              <w:top w:val="nil"/>
              <w:left w:val="nil"/>
              <w:bottom w:val="single" w:sz="8" w:space="0" w:color="auto"/>
              <w:right w:val="nil"/>
            </w:tcBorders>
            <w:shd w:val="clear" w:color="000000" w:fill="FFFFFF"/>
            <w:noWrap/>
            <w:vAlign w:val="center"/>
            <w:hideMark/>
          </w:tcPr>
          <w:p w14:paraId="19B27319"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3776" w:type="dxa"/>
            <w:tcBorders>
              <w:top w:val="nil"/>
              <w:left w:val="nil"/>
              <w:bottom w:val="single" w:sz="8" w:space="0" w:color="auto"/>
              <w:right w:val="nil"/>
            </w:tcBorders>
            <w:shd w:val="clear" w:color="000000" w:fill="FFFFFF"/>
            <w:noWrap/>
            <w:vAlign w:val="center"/>
            <w:hideMark/>
          </w:tcPr>
          <w:p w14:paraId="6DF63C41"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single" w:sz="8" w:space="0" w:color="auto"/>
              <w:right w:val="nil"/>
            </w:tcBorders>
            <w:shd w:val="clear" w:color="000000" w:fill="FFFFFF"/>
            <w:noWrap/>
            <w:vAlign w:val="center"/>
            <w:hideMark/>
          </w:tcPr>
          <w:p w14:paraId="1A726FF8"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1012" w:type="dxa"/>
            <w:tcBorders>
              <w:top w:val="nil"/>
              <w:left w:val="nil"/>
              <w:bottom w:val="single" w:sz="8" w:space="0" w:color="auto"/>
              <w:right w:val="nil"/>
            </w:tcBorders>
            <w:shd w:val="clear" w:color="000000" w:fill="FFFFFF"/>
            <w:noWrap/>
            <w:vAlign w:val="center"/>
            <w:hideMark/>
          </w:tcPr>
          <w:p w14:paraId="333E355E"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c>
          <w:tcPr>
            <w:tcW w:w="968" w:type="dxa"/>
            <w:tcBorders>
              <w:top w:val="nil"/>
              <w:left w:val="nil"/>
              <w:bottom w:val="single" w:sz="8" w:space="0" w:color="auto"/>
              <w:right w:val="single" w:sz="8" w:space="0" w:color="auto"/>
            </w:tcBorders>
            <w:shd w:val="clear" w:color="000000" w:fill="FFFFFF"/>
            <w:noWrap/>
            <w:vAlign w:val="center"/>
            <w:hideMark/>
          </w:tcPr>
          <w:p w14:paraId="74921A6E" w14:textId="77777777" w:rsidR="000119E5" w:rsidRPr="000119E5" w:rsidRDefault="000119E5" w:rsidP="0070459C">
            <w:pPr>
              <w:rPr>
                <w:rFonts w:cs="Arial"/>
                <w:color w:val="000000"/>
                <w:sz w:val="22"/>
                <w:szCs w:val="22"/>
                <w:lang w:eastAsia="en-GB"/>
              </w:rPr>
            </w:pPr>
            <w:r w:rsidRPr="000119E5">
              <w:rPr>
                <w:rFonts w:cs="Arial"/>
                <w:color w:val="000000"/>
                <w:sz w:val="22"/>
                <w:szCs w:val="22"/>
                <w:lang w:eastAsia="en-GB"/>
              </w:rPr>
              <w:t> </w:t>
            </w:r>
          </w:p>
        </w:tc>
      </w:tr>
    </w:tbl>
    <w:p w14:paraId="0928387D" w14:textId="77777777" w:rsidR="000119E5" w:rsidRDefault="000119E5" w:rsidP="0070459C">
      <w:pPr>
        <w:rPr>
          <w:highlight w:val="yellow"/>
          <w:lang w:eastAsia="en-GB"/>
        </w:rPr>
      </w:pPr>
    </w:p>
    <w:p w14:paraId="4897D29F" w14:textId="1275B69F" w:rsidR="000119E5" w:rsidRDefault="00164621" w:rsidP="0070459C">
      <w:r>
        <w:t>*</w:t>
      </w:r>
      <w:r w:rsidR="00D66236" w:rsidRPr="00D66236">
        <w:t>£</w:t>
      </w:r>
      <w:r w:rsidR="00292E59">
        <w:t>3</w:t>
      </w:r>
      <w:r w:rsidR="006C7E96">
        <w:t>15</w:t>
      </w:r>
      <w:r w:rsidR="00292E59">
        <w:t>k</w:t>
      </w:r>
      <w:r w:rsidR="00D66236" w:rsidRPr="00D66236">
        <w:t xml:space="preserve"> of capital expenditure </w:t>
      </w:r>
      <w:r w:rsidR="00D66236">
        <w:t>classified as R</w:t>
      </w:r>
      <w:r w:rsidR="00D66236" w:rsidRPr="00D66236">
        <w:t>evenue Funding Capital Under Statue so not added to Asset Register/Balance Sheet</w:t>
      </w:r>
    </w:p>
    <w:p w14:paraId="2C7F5F53" w14:textId="77777777" w:rsidR="000119E5" w:rsidRDefault="000119E5" w:rsidP="0070459C">
      <w:pPr>
        <w:rPr>
          <w:highlight w:val="yellow"/>
          <w:lang w:eastAsia="en-GB"/>
        </w:rPr>
      </w:pPr>
    </w:p>
    <w:p w14:paraId="485A481E" w14:textId="48EBB02D" w:rsidR="005A4342" w:rsidRPr="006C7E96" w:rsidRDefault="00CF67A1" w:rsidP="0070459C">
      <w:pPr>
        <w:pStyle w:val="Subtitle"/>
        <w:numPr>
          <w:ilvl w:val="0"/>
          <w:numId w:val="47"/>
        </w:numPr>
        <w:tabs>
          <w:tab w:val="left" w:pos="-709"/>
          <w:tab w:val="left" w:pos="-284"/>
          <w:tab w:val="left" w:pos="-142"/>
          <w:tab w:val="left" w:pos="567"/>
        </w:tabs>
        <w:spacing w:line="240" w:lineRule="atLeast"/>
        <w:ind w:left="0" w:right="680" w:firstLine="0"/>
        <w:rPr>
          <w:rFonts w:ascii="Arial" w:hAnsi="Arial" w:cs="Arial"/>
          <w:b/>
          <w:i w:val="0"/>
          <w:sz w:val="23"/>
          <w:szCs w:val="23"/>
          <w:u w:val="none"/>
        </w:rPr>
      </w:pPr>
      <w:bookmarkStart w:id="304" w:name="_Toc167965814"/>
      <w:r w:rsidRPr="006C7E96">
        <w:rPr>
          <w:rStyle w:val="Heading2Char"/>
          <w:i w:val="0"/>
          <w:iCs w:val="0"/>
          <w:u w:val="none"/>
        </w:rPr>
        <w:t>Investment Property</w:t>
      </w:r>
      <w:bookmarkEnd w:id="304"/>
      <w:r w:rsidRPr="006C7E96">
        <w:rPr>
          <w:rFonts w:ascii="Arial" w:hAnsi="Arial" w:cs="Arial"/>
          <w:b/>
          <w:i w:val="0"/>
          <w:sz w:val="23"/>
          <w:szCs w:val="23"/>
          <w:u w:val="none"/>
        </w:rPr>
        <w:t xml:space="preserve"> </w:t>
      </w:r>
    </w:p>
    <w:p w14:paraId="45A0D10F" w14:textId="77777777" w:rsidR="00115D9E" w:rsidRPr="00925AD5" w:rsidRDefault="00115D9E" w:rsidP="0070459C">
      <w:pPr>
        <w:rPr>
          <w:lang w:eastAsia="en-GB"/>
        </w:rPr>
      </w:pPr>
    </w:p>
    <w:p w14:paraId="485A481F" w14:textId="32A0D517" w:rsidR="005A4342" w:rsidRPr="00925AD5" w:rsidRDefault="00B970A1" w:rsidP="0070459C">
      <w:pPr>
        <w:jc w:val="center"/>
      </w:pPr>
      <w:r w:rsidRPr="00B970A1">
        <w:rPr>
          <w:noProof/>
        </w:rPr>
        <w:drawing>
          <wp:inline distT="0" distB="0" distL="0" distR="0" wp14:anchorId="010145AE" wp14:editId="36109AC7">
            <wp:extent cx="6120765" cy="1887220"/>
            <wp:effectExtent l="0" t="0" r="0" b="0"/>
            <wp:docPr id="262476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1887220"/>
                    </a:xfrm>
                    <a:prstGeom prst="rect">
                      <a:avLst/>
                    </a:prstGeom>
                    <a:noFill/>
                    <a:ln>
                      <a:noFill/>
                    </a:ln>
                  </pic:spPr>
                </pic:pic>
              </a:graphicData>
            </a:graphic>
          </wp:inline>
        </w:drawing>
      </w:r>
    </w:p>
    <w:p w14:paraId="485A4820" w14:textId="4D7F4DA6" w:rsidR="00E00863" w:rsidRPr="00925AD5" w:rsidRDefault="00E00863" w:rsidP="0070459C">
      <w:pPr>
        <w:jc w:val="center"/>
      </w:pPr>
    </w:p>
    <w:p w14:paraId="485A4821" w14:textId="77777777" w:rsidR="00E00863" w:rsidRPr="00925AD5" w:rsidRDefault="00E00863" w:rsidP="0070459C">
      <w:pPr>
        <w:rPr>
          <w:rFonts w:cs="Arial"/>
          <w:iCs/>
          <w:spacing w:val="15"/>
          <w:sz w:val="22"/>
          <w:szCs w:val="24"/>
        </w:rPr>
      </w:pPr>
    </w:p>
    <w:p w14:paraId="485A4822" w14:textId="587E1AE4" w:rsidR="003B2779" w:rsidRPr="00925AD5" w:rsidRDefault="00307A1B" w:rsidP="0070459C">
      <w:r w:rsidRPr="00925AD5">
        <w:t xml:space="preserve">The Authority’s </w:t>
      </w:r>
      <w:r w:rsidR="004D66D8" w:rsidRPr="00925AD5">
        <w:t>investment property</w:t>
      </w:r>
      <w:r w:rsidRPr="00925AD5">
        <w:t xml:space="preserve"> assets w</w:t>
      </w:r>
      <w:r w:rsidR="00472262" w:rsidRPr="00925AD5">
        <w:t>ere revalued as at 31 March 20</w:t>
      </w:r>
      <w:r w:rsidR="00994056" w:rsidRPr="00925AD5">
        <w:t>2</w:t>
      </w:r>
      <w:r w:rsidR="00B970A1">
        <w:t>4</w:t>
      </w:r>
      <w:r w:rsidRPr="00925AD5">
        <w:t xml:space="preserve"> as detailed</w:t>
      </w:r>
      <w:r w:rsidR="006E0D07" w:rsidRPr="00925AD5">
        <w:t xml:space="preserve"> in note </w:t>
      </w:r>
      <w:r w:rsidR="00944896" w:rsidRPr="00925AD5">
        <w:t>19</w:t>
      </w:r>
      <w:r w:rsidR="00632772" w:rsidRPr="00925AD5">
        <w:t xml:space="preserve">. </w:t>
      </w:r>
    </w:p>
    <w:p w14:paraId="485A4823" w14:textId="77777777" w:rsidR="003B2779" w:rsidRPr="00925AD5" w:rsidRDefault="003B2779" w:rsidP="0070459C"/>
    <w:p w14:paraId="485A4824" w14:textId="77777777" w:rsidR="003B2779" w:rsidRPr="00925AD5" w:rsidRDefault="003B2779" w:rsidP="0070459C">
      <w:r w:rsidRPr="00925AD5">
        <w:t>Information relating to the fair value hierarchy for the Authority’s investment properties is shown in the table below. Under IFRS 13, fair value is determined using a specific hierarchy as follows:</w:t>
      </w:r>
    </w:p>
    <w:p w14:paraId="485A4825" w14:textId="77777777" w:rsidR="003B2779" w:rsidRPr="00925AD5" w:rsidRDefault="003B2779" w:rsidP="0070459C"/>
    <w:p w14:paraId="485A4826" w14:textId="77777777" w:rsidR="003B2779" w:rsidRPr="00925AD5" w:rsidRDefault="003B2779" w:rsidP="0070459C">
      <w:r w:rsidRPr="00925AD5">
        <w:tab/>
        <w:t>Level 1 – Quoted prices in an active market for identical assets</w:t>
      </w:r>
    </w:p>
    <w:p w14:paraId="485A4827" w14:textId="77777777" w:rsidR="003B2779" w:rsidRPr="00242676" w:rsidRDefault="003B2779" w:rsidP="0070459C">
      <w:r w:rsidRPr="00925AD5">
        <w:tab/>
      </w:r>
      <w:r w:rsidRPr="00242676">
        <w:t>Level 2 – Other significant observable inputs</w:t>
      </w:r>
    </w:p>
    <w:p w14:paraId="485A4828" w14:textId="77777777" w:rsidR="003B2779" w:rsidRPr="00242676" w:rsidRDefault="003B2779" w:rsidP="0070459C">
      <w:r w:rsidRPr="00242676">
        <w:tab/>
        <w:t>Level 3 – Significant unobservable inputs</w:t>
      </w:r>
    </w:p>
    <w:p w14:paraId="485A4829" w14:textId="77777777" w:rsidR="00CB0E9D" w:rsidRPr="00242676" w:rsidRDefault="00CB0E9D" w:rsidP="0070459C"/>
    <w:p w14:paraId="485A482A" w14:textId="43394BE8" w:rsidR="00CB0E9D" w:rsidRPr="00242676" w:rsidRDefault="00CB0E9D" w:rsidP="0070459C">
      <w:r w:rsidRPr="00242676">
        <w:t>Th</w:t>
      </w:r>
      <w:r w:rsidR="00115D9E" w:rsidRPr="00242676">
        <w:t>e</w:t>
      </w:r>
      <w:r w:rsidRPr="00242676">
        <w:t xml:space="preserve"> Authority has no investment properties that fall into Level 1 of the hierarchy.</w:t>
      </w:r>
    </w:p>
    <w:p w14:paraId="485A482B" w14:textId="77777777" w:rsidR="003B2779" w:rsidRPr="00242676" w:rsidRDefault="003B2779" w:rsidP="0070459C">
      <w:pPr>
        <w:rPr>
          <w:sz w:val="22"/>
          <w:szCs w:val="22"/>
        </w:rPr>
      </w:pPr>
    </w:p>
    <w:p w14:paraId="485A482C" w14:textId="31327B60" w:rsidR="00E00863" w:rsidRPr="00242676" w:rsidRDefault="00B970A1" w:rsidP="0070459C">
      <w:pPr>
        <w:jc w:val="center"/>
        <w:rPr>
          <w:sz w:val="22"/>
          <w:szCs w:val="22"/>
        </w:rPr>
      </w:pPr>
      <w:r w:rsidRPr="00B970A1">
        <w:rPr>
          <w:noProof/>
        </w:rPr>
        <w:drawing>
          <wp:inline distT="0" distB="0" distL="0" distR="0" wp14:anchorId="4510B1E4" wp14:editId="60C6D7BD">
            <wp:extent cx="6120765" cy="1849755"/>
            <wp:effectExtent l="0" t="0" r="0" b="0"/>
            <wp:docPr id="7444489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1849755"/>
                    </a:xfrm>
                    <a:prstGeom prst="rect">
                      <a:avLst/>
                    </a:prstGeom>
                    <a:noFill/>
                    <a:ln>
                      <a:noFill/>
                    </a:ln>
                  </pic:spPr>
                </pic:pic>
              </a:graphicData>
            </a:graphic>
          </wp:inline>
        </w:drawing>
      </w:r>
    </w:p>
    <w:p w14:paraId="485A482D" w14:textId="77777777" w:rsidR="00307A1B" w:rsidRPr="00242676" w:rsidRDefault="00307A1B" w:rsidP="0070459C">
      <w:pPr>
        <w:pStyle w:val="Subtitle"/>
        <w:tabs>
          <w:tab w:val="left" w:pos="709"/>
        </w:tabs>
        <w:rPr>
          <w:rFonts w:ascii="Arial" w:hAnsi="Arial"/>
          <w:i w:val="0"/>
          <w:iCs w:val="0"/>
          <w:spacing w:val="0"/>
          <w:sz w:val="22"/>
          <w:szCs w:val="20"/>
          <w:u w:val="none"/>
        </w:rPr>
      </w:pPr>
    </w:p>
    <w:p w14:paraId="485A482E" w14:textId="77777777" w:rsidR="00C67BA7" w:rsidRPr="00242676" w:rsidRDefault="00910CBD" w:rsidP="0070459C">
      <w:pPr>
        <w:rPr>
          <w:lang w:eastAsia="en-GB"/>
        </w:rPr>
      </w:pPr>
      <w:r w:rsidRPr="00242676">
        <w:rPr>
          <w:lang w:eastAsia="en-GB"/>
        </w:rPr>
        <w:t>The following valuation techniques have been used to determine the level 2 and level 3 fair values:</w:t>
      </w:r>
    </w:p>
    <w:p w14:paraId="485A482F" w14:textId="77777777" w:rsidR="00910CBD" w:rsidRPr="00242676" w:rsidRDefault="00910CBD" w:rsidP="0070459C">
      <w:pPr>
        <w:rPr>
          <w:lang w:eastAsia="en-GB"/>
        </w:rPr>
      </w:pPr>
    </w:p>
    <w:p w14:paraId="485A4830" w14:textId="77777777" w:rsidR="00910CBD" w:rsidRPr="00242676" w:rsidRDefault="00910CBD" w:rsidP="0070459C">
      <w:pPr>
        <w:rPr>
          <w:b/>
          <w:lang w:eastAsia="en-GB"/>
        </w:rPr>
      </w:pPr>
      <w:r w:rsidRPr="00242676">
        <w:rPr>
          <w:b/>
          <w:lang w:eastAsia="en-GB"/>
        </w:rPr>
        <w:t>Significant observable inputs – Level 2</w:t>
      </w:r>
    </w:p>
    <w:p w14:paraId="485A4831" w14:textId="77777777" w:rsidR="00910CBD" w:rsidRPr="00242676" w:rsidRDefault="00910CBD" w:rsidP="0070459C">
      <w:pPr>
        <w:rPr>
          <w:b/>
          <w:lang w:eastAsia="en-GB"/>
        </w:rPr>
      </w:pPr>
    </w:p>
    <w:p w14:paraId="485A4832" w14:textId="77777777" w:rsidR="00910CBD" w:rsidRPr="00242676" w:rsidRDefault="00910CBD" w:rsidP="0070459C">
      <w:pPr>
        <w:rPr>
          <w:lang w:eastAsia="en-GB"/>
        </w:rPr>
      </w:pPr>
      <w:r w:rsidRPr="00242676">
        <w:rPr>
          <w:lang w:eastAsia="en-GB"/>
        </w:rPr>
        <w:t>The fair value has been based on the market approach using current market conditions and recent sales prices and other relevant information for similar assets in the local area. Market conditions are such that similar properties are actively purchased and sold</w:t>
      </w:r>
      <w:r w:rsidR="008720CA" w:rsidRPr="00242676">
        <w:rPr>
          <w:lang w:eastAsia="en-GB"/>
        </w:rPr>
        <w:t>. The fair value has been assessed using adjustments consistent with established practices.</w:t>
      </w:r>
    </w:p>
    <w:p w14:paraId="485A4833" w14:textId="77777777" w:rsidR="008720CA" w:rsidRDefault="008720CA" w:rsidP="0070459C">
      <w:pPr>
        <w:rPr>
          <w:lang w:eastAsia="en-GB"/>
        </w:rPr>
      </w:pPr>
    </w:p>
    <w:p w14:paraId="6E7D01D0" w14:textId="77777777" w:rsidR="002A6617" w:rsidRPr="00242676" w:rsidRDefault="002A6617" w:rsidP="0070459C">
      <w:pPr>
        <w:rPr>
          <w:lang w:eastAsia="en-GB"/>
        </w:rPr>
      </w:pPr>
    </w:p>
    <w:p w14:paraId="485A4834" w14:textId="77777777" w:rsidR="008720CA" w:rsidRPr="00242676" w:rsidRDefault="008720CA" w:rsidP="0070459C">
      <w:pPr>
        <w:rPr>
          <w:b/>
          <w:lang w:eastAsia="en-GB"/>
        </w:rPr>
      </w:pPr>
      <w:r w:rsidRPr="00242676">
        <w:rPr>
          <w:b/>
          <w:lang w:eastAsia="en-GB"/>
        </w:rPr>
        <w:lastRenderedPageBreak/>
        <w:t>Significant unobservable input – Level 3</w:t>
      </w:r>
    </w:p>
    <w:p w14:paraId="485A4835" w14:textId="77777777" w:rsidR="008720CA" w:rsidRPr="00242676" w:rsidRDefault="008720CA" w:rsidP="0070459C">
      <w:pPr>
        <w:rPr>
          <w:b/>
          <w:lang w:eastAsia="en-GB"/>
        </w:rPr>
      </w:pPr>
    </w:p>
    <w:p w14:paraId="485A4836" w14:textId="77777777" w:rsidR="00A176F3" w:rsidRPr="00242676" w:rsidRDefault="008720CA" w:rsidP="0070459C">
      <w:pPr>
        <w:rPr>
          <w:lang w:eastAsia="en-GB"/>
        </w:rPr>
      </w:pPr>
      <w:r w:rsidRPr="00242676">
        <w:rPr>
          <w:lang w:eastAsia="en-GB"/>
        </w:rPr>
        <w:t xml:space="preserve">The fair value for our </w:t>
      </w:r>
      <w:r w:rsidR="000B198C" w:rsidRPr="00242676">
        <w:rPr>
          <w:lang w:eastAsia="en-GB"/>
        </w:rPr>
        <w:t>remaining hostel type asset</w:t>
      </w:r>
      <w:r w:rsidRPr="00242676">
        <w:rPr>
          <w:lang w:eastAsia="en-GB"/>
        </w:rPr>
        <w:t xml:space="preserve"> has also been based on the market approach using current market conditions. </w:t>
      </w:r>
      <w:r w:rsidR="000B198C" w:rsidRPr="00242676">
        <w:rPr>
          <w:lang w:eastAsia="en-GB"/>
        </w:rPr>
        <w:t>However, as detailed below,</w:t>
      </w:r>
      <w:r w:rsidRPr="00242676">
        <w:rPr>
          <w:lang w:eastAsia="en-GB"/>
        </w:rPr>
        <w:t xml:space="preserve"> </w:t>
      </w:r>
      <w:r w:rsidR="00A176F3" w:rsidRPr="00242676">
        <w:rPr>
          <w:lang w:eastAsia="en-GB"/>
        </w:rPr>
        <w:t>the fair value has been assessed using adjustments based on the valuer’s judgement alone and which are outside established practices.</w:t>
      </w:r>
    </w:p>
    <w:p w14:paraId="485A4837" w14:textId="77777777" w:rsidR="00A176F3" w:rsidRPr="00242676" w:rsidRDefault="00A176F3" w:rsidP="0070459C">
      <w:pPr>
        <w:rPr>
          <w:lang w:eastAsia="en-GB"/>
        </w:rPr>
      </w:pPr>
    </w:p>
    <w:p w14:paraId="485A4838" w14:textId="77777777" w:rsidR="00A176F3" w:rsidRPr="00242676" w:rsidRDefault="00A176F3" w:rsidP="0070459C">
      <w:pPr>
        <w:rPr>
          <w:lang w:eastAsia="en-GB"/>
        </w:rPr>
      </w:pPr>
      <w:r w:rsidRPr="00242676">
        <w:rPr>
          <w:lang w:eastAsia="en-GB"/>
        </w:rPr>
        <w:t>In estimating the fair value of the Authority’s investment properties, the highest and best use of the properties is their current use.</w:t>
      </w:r>
    </w:p>
    <w:p w14:paraId="485A4839" w14:textId="77777777" w:rsidR="00A176F3" w:rsidRPr="00242676" w:rsidRDefault="00A176F3" w:rsidP="0070459C">
      <w:pPr>
        <w:rPr>
          <w:lang w:eastAsia="en-GB"/>
        </w:rPr>
      </w:pPr>
    </w:p>
    <w:p w14:paraId="485A483A" w14:textId="6C1C76D6" w:rsidR="00C60D2B" w:rsidRPr="00242676" w:rsidRDefault="004D6435" w:rsidP="0070459C">
      <w:pPr>
        <w:rPr>
          <w:lang w:eastAsia="en-GB"/>
        </w:rPr>
      </w:pPr>
      <w:r w:rsidRPr="00242676">
        <w:rPr>
          <w:lang w:eastAsia="en-GB"/>
        </w:rPr>
        <w:t xml:space="preserve">There </w:t>
      </w:r>
      <w:r w:rsidR="00B970A1">
        <w:rPr>
          <w:lang w:eastAsia="en-GB"/>
        </w:rPr>
        <w:t>was one minor loss resulting</w:t>
      </w:r>
      <w:r w:rsidR="001126A7">
        <w:rPr>
          <w:lang w:eastAsia="en-GB"/>
        </w:rPr>
        <w:t xml:space="preserve"> from changes </w:t>
      </w:r>
      <w:r w:rsidRPr="00242676">
        <w:rPr>
          <w:lang w:eastAsia="en-GB"/>
        </w:rPr>
        <w:t xml:space="preserve">in </w:t>
      </w:r>
      <w:r w:rsidR="00A176F3" w:rsidRPr="00242676">
        <w:rPr>
          <w:lang w:eastAsia="en-GB"/>
        </w:rPr>
        <w:t>the fair value of assets categorised as level 3</w:t>
      </w:r>
      <w:r w:rsidR="00341565" w:rsidRPr="00242676">
        <w:rPr>
          <w:lang w:eastAsia="en-GB"/>
        </w:rPr>
        <w:t xml:space="preserve"> in the </w:t>
      </w:r>
      <w:r w:rsidR="008728A1" w:rsidRPr="00242676">
        <w:rPr>
          <w:lang w:eastAsia="en-GB"/>
        </w:rPr>
        <w:t xml:space="preserve">above </w:t>
      </w:r>
      <w:r w:rsidR="00341565" w:rsidRPr="00242676">
        <w:rPr>
          <w:lang w:eastAsia="en-GB"/>
        </w:rPr>
        <w:t>table</w:t>
      </w:r>
      <w:r w:rsidR="00BD20C9" w:rsidRPr="00242676">
        <w:rPr>
          <w:lang w:eastAsia="en-GB"/>
        </w:rPr>
        <w:t xml:space="preserve"> in 20</w:t>
      </w:r>
      <w:r w:rsidR="00A66674" w:rsidRPr="00242676">
        <w:rPr>
          <w:lang w:eastAsia="en-GB"/>
        </w:rPr>
        <w:t>2</w:t>
      </w:r>
      <w:r w:rsidR="00CA46EF">
        <w:rPr>
          <w:lang w:eastAsia="en-GB"/>
        </w:rPr>
        <w:t>3</w:t>
      </w:r>
      <w:r w:rsidR="005F6390" w:rsidRPr="00242676">
        <w:rPr>
          <w:lang w:eastAsia="en-GB"/>
        </w:rPr>
        <w:t>/</w:t>
      </w:r>
      <w:r w:rsidR="002C6D08" w:rsidRPr="00242676">
        <w:rPr>
          <w:lang w:eastAsia="en-GB"/>
        </w:rPr>
        <w:t>2</w:t>
      </w:r>
      <w:r w:rsidR="00CA46EF">
        <w:rPr>
          <w:lang w:eastAsia="en-GB"/>
        </w:rPr>
        <w:t>4</w:t>
      </w:r>
      <w:r w:rsidR="002116F2">
        <w:rPr>
          <w:lang w:eastAsia="en-GB"/>
        </w:rPr>
        <w:t xml:space="preserve">. </w:t>
      </w:r>
      <w:r w:rsidR="00C60D2B" w:rsidRPr="00242676">
        <w:rPr>
          <w:lang w:eastAsia="en-GB"/>
        </w:rPr>
        <w:t>A reconciliation of fair value measurements using significant unobservable inputs categorised within level 3 of the fair value hierarchy is shown in the table below:</w:t>
      </w:r>
    </w:p>
    <w:p w14:paraId="485A483B" w14:textId="77777777" w:rsidR="00C60D2B" w:rsidRPr="00242676" w:rsidRDefault="00C60D2B" w:rsidP="0070459C">
      <w:pPr>
        <w:rPr>
          <w:lang w:eastAsia="en-GB"/>
        </w:rPr>
      </w:pPr>
    </w:p>
    <w:p w14:paraId="485A483C" w14:textId="35847BF3" w:rsidR="008720CA" w:rsidRPr="00242676" w:rsidRDefault="00CA46EF" w:rsidP="0070459C">
      <w:pPr>
        <w:jc w:val="center"/>
        <w:rPr>
          <w:lang w:eastAsia="en-GB"/>
        </w:rPr>
      </w:pPr>
      <w:r w:rsidRPr="00CA46EF">
        <w:rPr>
          <w:noProof/>
        </w:rPr>
        <w:drawing>
          <wp:inline distT="0" distB="0" distL="0" distR="0" wp14:anchorId="6061655C" wp14:editId="7925ADAB">
            <wp:extent cx="4867275" cy="1847850"/>
            <wp:effectExtent l="0" t="0" r="9525" b="0"/>
            <wp:docPr id="14649811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67275" cy="1847850"/>
                    </a:xfrm>
                    <a:prstGeom prst="rect">
                      <a:avLst/>
                    </a:prstGeom>
                    <a:noFill/>
                    <a:ln>
                      <a:noFill/>
                    </a:ln>
                  </pic:spPr>
                </pic:pic>
              </a:graphicData>
            </a:graphic>
          </wp:inline>
        </w:drawing>
      </w:r>
    </w:p>
    <w:p w14:paraId="485A483D" w14:textId="77777777" w:rsidR="00C67BA7" w:rsidRPr="00242676" w:rsidRDefault="00C67BA7" w:rsidP="0070459C">
      <w:pPr>
        <w:rPr>
          <w:lang w:eastAsia="en-GB"/>
        </w:rPr>
      </w:pPr>
    </w:p>
    <w:p w14:paraId="485A483E" w14:textId="77777777" w:rsidR="00C67BA7" w:rsidRPr="00447725" w:rsidRDefault="003558ED" w:rsidP="0070459C">
      <w:pPr>
        <w:rPr>
          <w:lang w:eastAsia="en-GB"/>
        </w:rPr>
      </w:pPr>
      <w:r w:rsidRPr="00242676">
        <w:rPr>
          <w:lang w:eastAsia="en-GB"/>
        </w:rPr>
        <w:t xml:space="preserve">As </w:t>
      </w:r>
      <w:r w:rsidR="00621A29" w:rsidRPr="00242676">
        <w:rPr>
          <w:lang w:eastAsia="en-GB"/>
        </w:rPr>
        <w:t>the valuation technique used</w:t>
      </w:r>
      <w:r w:rsidRPr="00242676">
        <w:rPr>
          <w:lang w:eastAsia="en-GB"/>
        </w:rPr>
        <w:t xml:space="preserve"> to measure the fair value of </w:t>
      </w:r>
      <w:r w:rsidR="005F6390" w:rsidRPr="00242676">
        <w:rPr>
          <w:lang w:eastAsia="en-GB"/>
        </w:rPr>
        <w:t>the assets categorised as level </w:t>
      </w:r>
      <w:r w:rsidRPr="00242676">
        <w:rPr>
          <w:lang w:eastAsia="en-GB"/>
        </w:rPr>
        <w:t xml:space="preserve">3 is based on current market conditions, significant </w:t>
      </w:r>
      <w:r w:rsidR="001748B0" w:rsidRPr="00242676">
        <w:rPr>
          <w:lang w:eastAsia="en-GB"/>
        </w:rPr>
        <w:t xml:space="preserve">changes to the market would </w:t>
      </w:r>
      <w:r w:rsidR="001748B0" w:rsidRPr="00447725">
        <w:rPr>
          <w:lang w:eastAsia="en-GB"/>
        </w:rPr>
        <w:t>result in significantly lower or higher values.</w:t>
      </w:r>
      <w:r w:rsidR="00341565" w:rsidRPr="00447725">
        <w:rPr>
          <w:lang w:eastAsia="en-GB"/>
        </w:rPr>
        <w:t xml:space="preserve"> </w:t>
      </w:r>
    </w:p>
    <w:p w14:paraId="485A483F" w14:textId="77777777" w:rsidR="00C67BA7" w:rsidRPr="00447725" w:rsidRDefault="00C67BA7" w:rsidP="0070459C">
      <w:pPr>
        <w:rPr>
          <w:lang w:eastAsia="en-GB"/>
        </w:rPr>
      </w:pPr>
    </w:p>
    <w:p w14:paraId="485A4840" w14:textId="77777777" w:rsidR="00E00863" w:rsidRPr="00447725" w:rsidRDefault="003558ED" w:rsidP="0070459C">
      <w:pPr>
        <w:pStyle w:val="Subtitle"/>
        <w:tabs>
          <w:tab w:val="left" w:pos="709"/>
        </w:tabs>
        <w:rPr>
          <w:rFonts w:ascii="Arial" w:hAnsi="Arial"/>
          <w:i w:val="0"/>
          <w:iCs w:val="0"/>
          <w:spacing w:val="0"/>
          <w:sz w:val="23"/>
          <w:szCs w:val="23"/>
          <w:u w:val="none"/>
        </w:rPr>
      </w:pPr>
      <w:r w:rsidRPr="00447725">
        <w:rPr>
          <w:rFonts w:ascii="Arial" w:hAnsi="Arial"/>
          <w:i w:val="0"/>
          <w:iCs w:val="0"/>
          <w:spacing w:val="0"/>
          <w:sz w:val="23"/>
          <w:szCs w:val="23"/>
          <w:u w:val="none"/>
        </w:rPr>
        <w:t>Other a</w:t>
      </w:r>
      <w:r w:rsidR="00E00863" w:rsidRPr="00447725">
        <w:rPr>
          <w:rFonts w:ascii="Arial" w:hAnsi="Arial"/>
          <w:i w:val="0"/>
          <w:iCs w:val="0"/>
          <w:spacing w:val="0"/>
          <w:sz w:val="23"/>
          <w:szCs w:val="23"/>
          <w:u w:val="none"/>
        </w:rPr>
        <w:t>mounts that have been recognised in the Comprehensive Income and Expenditure Statement relating to investment property are:</w:t>
      </w:r>
    </w:p>
    <w:p w14:paraId="485A4841" w14:textId="77777777" w:rsidR="00E00863" w:rsidRPr="00447725" w:rsidRDefault="00E00863" w:rsidP="0070459C"/>
    <w:p w14:paraId="485A4842" w14:textId="71D1E5A8" w:rsidR="00E00863" w:rsidRPr="00447725" w:rsidRDefault="00CA46EF" w:rsidP="0070459C">
      <w:pPr>
        <w:jc w:val="center"/>
      </w:pPr>
      <w:bookmarkStart w:id="305" w:name="_MON_1363760949"/>
      <w:bookmarkStart w:id="306" w:name="_MON_1368422711"/>
      <w:bookmarkStart w:id="307" w:name="_MON_1368422895"/>
      <w:bookmarkStart w:id="308" w:name="_MON_1369741949"/>
      <w:bookmarkStart w:id="309" w:name="_MON_1370175839"/>
      <w:bookmarkStart w:id="310" w:name="_MON_1370695032"/>
      <w:bookmarkStart w:id="311" w:name="_MON_1372667147"/>
      <w:bookmarkStart w:id="312" w:name="_MON_1395563706"/>
      <w:bookmarkStart w:id="313" w:name="_MON_1401093036"/>
      <w:bookmarkStart w:id="314" w:name="_MON_1401539212"/>
      <w:bookmarkStart w:id="315" w:name="_MON_1401543241"/>
      <w:bookmarkStart w:id="316" w:name="_MON_1402138245"/>
      <w:bookmarkStart w:id="317" w:name="_MON_1402295691"/>
      <w:bookmarkStart w:id="318" w:name="_MON_1361882538"/>
      <w:bookmarkStart w:id="319" w:name="_MON_1361882557"/>
      <w:bookmarkStart w:id="320" w:name="_MON_1361882571"/>
      <w:bookmarkStart w:id="321" w:name="_MON_1362488689"/>
      <w:bookmarkStart w:id="322" w:name="_MON_1362488706"/>
      <w:bookmarkStart w:id="323" w:name="_MON_1362488747"/>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CA46EF">
        <w:rPr>
          <w:noProof/>
        </w:rPr>
        <w:drawing>
          <wp:inline distT="0" distB="0" distL="0" distR="0" wp14:anchorId="7DF0BE65" wp14:editId="7FEE10A1">
            <wp:extent cx="6120765" cy="1885315"/>
            <wp:effectExtent l="0" t="0" r="0" b="635"/>
            <wp:docPr id="7943801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765" cy="1885315"/>
                    </a:xfrm>
                    <a:prstGeom prst="rect">
                      <a:avLst/>
                    </a:prstGeom>
                    <a:noFill/>
                    <a:ln>
                      <a:noFill/>
                    </a:ln>
                  </pic:spPr>
                </pic:pic>
              </a:graphicData>
            </a:graphic>
          </wp:inline>
        </w:drawing>
      </w:r>
    </w:p>
    <w:p w14:paraId="485A4843" w14:textId="77777777" w:rsidR="00E00863" w:rsidRPr="004D5CA8" w:rsidRDefault="00E00863" w:rsidP="0070459C">
      <w:pPr>
        <w:pStyle w:val="Subtitle"/>
        <w:numPr>
          <w:ilvl w:val="0"/>
          <w:numId w:val="0"/>
        </w:numPr>
        <w:tabs>
          <w:tab w:val="left" w:pos="-709"/>
          <w:tab w:val="left" w:pos="-284"/>
          <w:tab w:val="left" w:pos="-142"/>
          <w:tab w:val="left" w:pos="0"/>
          <w:tab w:val="left" w:pos="1276"/>
        </w:tabs>
        <w:spacing w:line="240" w:lineRule="atLeast"/>
        <w:ind w:right="680"/>
        <w:rPr>
          <w:rFonts w:ascii="Arial" w:eastAsia="Times New Roman" w:hAnsi="Arial"/>
          <w:i w:val="0"/>
          <w:iCs w:val="0"/>
          <w:spacing w:val="0"/>
          <w:sz w:val="23"/>
          <w:szCs w:val="23"/>
          <w:highlight w:val="yellow"/>
          <w:u w:val="none"/>
          <w:lang w:eastAsia="en-US"/>
        </w:rPr>
      </w:pPr>
    </w:p>
    <w:p w14:paraId="485A4844" w14:textId="77777777" w:rsidR="00E00863" w:rsidRPr="005A5C2C" w:rsidRDefault="00E00863" w:rsidP="0070459C">
      <w:bookmarkStart w:id="324" w:name="_Hlk135407193"/>
      <w:r w:rsidRPr="00C9637C">
        <w:t>The Authority has contractual responsibility for landlord</w:t>
      </w:r>
      <w:r w:rsidR="00681A42" w:rsidRPr="00C9637C">
        <w:t>’</w:t>
      </w:r>
      <w:r w:rsidRPr="00C9637C">
        <w:t xml:space="preserve">s repairs and maintenance expenditure on </w:t>
      </w:r>
      <w:r w:rsidR="005709CC" w:rsidRPr="00C9637C">
        <w:t>five</w:t>
      </w:r>
      <w:r w:rsidRPr="00C9637C">
        <w:t xml:space="preserve"> of its investment properties. It also has responsibility for tree safety works within its woodlands. </w:t>
      </w:r>
      <w:r w:rsidR="002E17CB" w:rsidRPr="00C9637C">
        <w:t>The Authority may not be able to realise the full valu</w:t>
      </w:r>
      <w:r w:rsidR="00672D08" w:rsidRPr="00C9637C">
        <w:t xml:space="preserve">e of one property, </w:t>
      </w:r>
      <w:r w:rsidR="002E17CB" w:rsidRPr="00C9637C">
        <w:t>because external monies were received toward its purchase</w:t>
      </w:r>
      <w:r w:rsidR="00C004F2" w:rsidRPr="00C9637C">
        <w:t xml:space="preserve">. There are no restrictions on the Authority’s ability to realise the value inherent in its other investment properties or on the Authority’s right to the remittance of income and the proceeds of disposal. </w:t>
      </w:r>
      <w:r w:rsidR="004C3960" w:rsidRPr="00C9637C">
        <w:t>Non</w:t>
      </w:r>
      <w:r w:rsidR="006574CB" w:rsidRPr="00C9637C">
        <w:t>e of these properties are held under finance or operating leases</w:t>
      </w:r>
      <w:r w:rsidR="004C3960" w:rsidRPr="00C9637C">
        <w:t>.</w:t>
      </w:r>
    </w:p>
    <w:bookmarkEnd w:id="324"/>
    <w:p w14:paraId="485A4845" w14:textId="77777777" w:rsidR="00FE5E19" w:rsidRPr="004D5CA8" w:rsidRDefault="00FE5E19" w:rsidP="0070459C">
      <w:pPr>
        <w:rPr>
          <w:rFonts w:cs="Arial"/>
          <w:b/>
          <w:i/>
          <w:highlight w:val="yellow"/>
        </w:rPr>
      </w:pPr>
    </w:p>
    <w:p w14:paraId="485A4846" w14:textId="77777777" w:rsidR="001F153B" w:rsidRDefault="001F153B" w:rsidP="0070459C">
      <w:pPr>
        <w:rPr>
          <w:highlight w:val="yellow"/>
        </w:rPr>
      </w:pPr>
    </w:p>
    <w:p w14:paraId="37031394" w14:textId="77777777" w:rsidR="00FC5A1D" w:rsidRDefault="00FC5A1D" w:rsidP="0070459C">
      <w:pPr>
        <w:rPr>
          <w:highlight w:val="yellow"/>
        </w:rPr>
      </w:pPr>
    </w:p>
    <w:p w14:paraId="485A4847" w14:textId="12096995" w:rsidR="00E00863" w:rsidRPr="00834570" w:rsidRDefault="00E00863" w:rsidP="0070459C">
      <w:pPr>
        <w:pStyle w:val="Subtitle"/>
        <w:numPr>
          <w:ilvl w:val="0"/>
          <w:numId w:val="47"/>
        </w:numPr>
        <w:tabs>
          <w:tab w:val="left" w:pos="-709"/>
          <w:tab w:val="left" w:pos="-284"/>
          <w:tab w:val="left" w:pos="-142"/>
          <w:tab w:val="left" w:pos="0"/>
          <w:tab w:val="left" w:pos="720"/>
        </w:tabs>
        <w:spacing w:line="240" w:lineRule="atLeast"/>
        <w:ind w:left="0" w:right="680" w:firstLine="0"/>
        <w:rPr>
          <w:rFonts w:ascii="Arial" w:hAnsi="Arial" w:cs="Arial"/>
          <w:b/>
          <w:i w:val="0"/>
          <w:sz w:val="23"/>
          <w:szCs w:val="23"/>
          <w:u w:val="none"/>
        </w:rPr>
      </w:pPr>
      <w:bookmarkStart w:id="325" w:name="_Toc167965815"/>
      <w:r w:rsidRPr="00834570">
        <w:rPr>
          <w:rStyle w:val="Heading2Char"/>
          <w:i w:val="0"/>
          <w:iCs w:val="0"/>
          <w:u w:val="none"/>
        </w:rPr>
        <w:t>Leases</w:t>
      </w:r>
      <w:bookmarkEnd w:id="325"/>
      <w:r w:rsidR="005A5C2C" w:rsidRPr="00834570">
        <w:rPr>
          <w:rStyle w:val="Heading2Char"/>
          <w:i w:val="0"/>
          <w:iCs w:val="0"/>
          <w:u w:val="none"/>
        </w:rPr>
        <w:t xml:space="preserve"> </w:t>
      </w:r>
    </w:p>
    <w:p w14:paraId="485A4848" w14:textId="77777777" w:rsidR="002872C5" w:rsidRPr="005A5C2C" w:rsidRDefault="002872C5" w:rsidP="0070459C">
      <w:pPr>
        <w:rPr>
          <w:lang w:eastAsia="en-GB"/>
        </w:rPr>
      </w:pPr>
    </w:p>
    <w:p w14:paraId="485A4849" w14:textId="77777777" w:rsidR="002872C5" w:rsidRPr="004D5CA8" w:rsidRDefault="008849B5" w:rsidP="0070459C">
      <w:pPr>
        <w:pStyle w:val="Heading6"/>
        <w:rPr>
          <w:highlight w:val="yellow"/>
          <w:lang w:eastAsia="en-GB"/>
        </w:rPr>
      </w:pPr>
      <w:r w:rsidRPr="005A5C2C">
        <w:rPr>
          <w:b w:val="0"/>
          <w:u w:val="none"/>
          <w:lang w:eastAsia="en-GB"/>
        </w:rPr>
        <w:t>Under t</w:t>
      </w:r>
      <w:r w:rsidR="0056264A" w:rsidRPr="005A5C2C">
        <w:rPr>
          <w:b w:val="0"/>
          <w:u w:val="none"/>
          <w:lang w:eastAsia="en-GB"/>
        </w:rPr>
        <w:t xml:space="preserve">he Code </w:t>
      </w:r>
      <w:r w:rsidRPr="005A5C2C">
        <w:rPr>
          <w:b w:val="0"/>
          <w:u w:val="none"/>
          <w:lang w:eastAsia="en-GB"/>
        </w:rPr>
        <w:t xml:space="preserve">leases are classified as either finance or operating leases based on the extent to which risks and rewards incidental to ownership of a leased asset lie with the lessor or the lessee. The Code also </w:t>
      </w:r>
      <w:r w:rsidR="0056264A" w:rsidRPr="005A5C2C">
        <w:rPr>
          <w:b w:val="0"/>
          <w:u w:val="none"/>
          <w:lang w:eastAsia="en-GB"/>
        </w:rPr>
        <w:t>requires the land and buildings elements of a lease of land and buildings to be classified and accounted for separately.</w:t>
      </w:r>
    </w:p>
    <w:p w14:paraId="485A484A" w14:textId="77777777" w:rsidR="007F01E5" w:rsidRPr="004D5CA8" w:rsidRDefault="007F01E5" w:rsidP="0070459C">
      <w:pPr>
        <w:rPr>
          <w:highlight w:val="yellow"/>
          <w:lang w:eastAsia="en-GB"/>
        </w:rPr>
      </w:pPr>
    </w:p>
    <w:p w14:paraId="485A484D" w14:textId="77777777" w:rsidR="00E00863" w:rsidRPr="005A5C2C" w:rsidRDefault="00C17465" w:rsidP="0070459C">
      <w:pPr>
        <w:pStyle w:val="Subtitle"/>
        <w:numPr>
          <w:ilvl w:val="0"/>
          <w:numId w:val="0"/>
        </w:numPr>
        <w:tabs>
          <w:tab w:val="left" w:pos="-709"/>
          <w:tab w:val="left" w:pos="-284"/>
          <w:tab w:val="left" w:pos="-142"/>
          <w:tab w:val="left" w:pos="0"/>
          <w:tab w:val="left" w:pos="709"/>
        </w:tabs>
        <w:spacing w:line="240" w:lineRule="atLeast"/>
        <w:ind w:right="680"/>
        <w:rPr>
          <w:rFonts w:ascii="Arial" w:hAnsi="Arial"/>
          <w:b/>
          <w:i w:val="0"/>
          <w:iCs w:val="0"/>
          <w:spacing w:val="0"/>
          <w:sz w:val="22"/>
          <w:szCs w:val="20"/>
          <w:u w:val="none"/>
        </w:rPr>
      </w:pPr>
      <w:r w:rsidRPr="005A5C2C">
        <w:rPr>
          <w:rFonts w:ascii="Arial" w:hAnsi="Arial"/>
          <w:b/>
          <w:i w:val="0"/>
          <w:iCs w:val="0"/>
          <w:spacing w:val="0"/>
          <w:sz w:val="22"/>
          <w:szCs w:val="20"/>
          <w:u w:val="none"/>
        </w:rPr>
        <w:t xml:space="preserve">Lessee </w:t>
      </w:r>
      <w:r w:rsidR="00E00863" w:rsidRPr="005A5C2C">
        <w:rPr>
          <w:rFonts w:ascii="Arial" w:hAnsi="Arial"/>
          <w:b/>
          <w:i w:val="0"/>
          <w:iCs w:val="0"/>
          <w:spacing w:val="0"/>
          <w:sz w:val="22"/>
          <w:szCs w:val="20"/>
          <w:u w:val="none"/>
        </w:rPr>
        <w:t>Operating Leases</w:t>
      </w:r>
    </w:p>
    <w:p w14:paraId="485A484E" w14:textId="77777777" w:rsidR="00E00863" w:rsidRPr="005A5C2C" w:rsidRDefault="00E00863" w:rsidP="0070459C">
      <w:pPr>
        <w:pStyle w:val="Subtitle"/>
        <w:tabs>
          <w:tab w:val="left" w:pos="709"/>
        </w:tabs>
        <w:rPr>
          <w:rFonts w:ascii="Arial" w:hAnsi="Arial" w:cs="Arial"/>
          <w:i w:val="0"/>
          <w:sz w:val="22"/>
          <w:u w:val="none"/>
        </w:rPr>
      </w:pPr>
    </w:p>
    <w:p w14:paraId="485A484F" w14:textId="47D25A8E" w:rsidR="00E00863" w:rsidRPr="005A5C2C" w:rsidRDefault="00E00863" w:rsidP="0070459C">
      <w:pPr>
        <w:pStyle w:val="HEADING"/>
        <w:rPr>
          <w:b w:val="0"/>
          <w:bCs/>
          <w:sz w:val="23"/>
        </w:rPr>
      </w:pPr>
      <w:r w:rsidRPr="005A5C2C">
        <w:rPr>
          <w:b w:val="0"/>
          <w:bCs/>
          <w:sz w:val="23"/>
        </w:rPr>
        <w:t>The Aut</w:t>
      </w:r>
      <w:r w:rsidR="00C77505" w:rsidRPr="005A5C2C">
        <w:rPr>
          <w:b w:val="0"/>
          <w:bCs/>
          <w:sz w:val="23"/>
        </w:rPr>
        <w:t xml:space="preserve">hority uses vehicles, </w:t>
      </w:r>
      <w:r w:rsidRPr="005A5C2C">
        <w:rPr>
          <w:b w:val="0"/>
          <w:bCs/>
          <w:sz w:val="23"/>
        </w:rPr>
        <w:t>and other equipment financed under the terms of operating leases.</w:t>
      </w:r>
      <w:r w:rsidR="00D95903" w:rsidRPr="005A5C2C">
        <w:rPr>
          <w:b w:val="0"/>
          <w:bCs/>
          <w:sz w:val="23"/>
        </w:rPr>
        <w:t xml:space="preserve"> </w:t>
      </w:r>
      <w:r w:rsidRPr="005A5C2C">
        <w:rPr>
          <w:b w:val="0"/>
          <w:bCs/>
          <w:sz w:val="23"/>
        </w:rPr>
        <w:t>The amount paid under these arrangements in 20</w:t>
      </w:r>
      <w:r w:rsidR="009E0470" w:rsidRPr="005A5C2C">
        <w:rPr>
          <w:b w:val="0"/>
          <w:bCs/>
          <w:sz w:val="23"/>
        </w:rPr>
        <w:t>2</w:t>
      </w:r>
      <w:r w:rsidR="00394900">
        <w:rPr>
          <w:b w:val="0"/>
          <w:bCs/>
          <w:sz w:val="23"/>
        </w:rPr>
        <w:t>3</w:t>
      </w:r>
      <w:r w:rsidR="005F6390" w:rsidRPr="005A5C2C">
        <w:rPr>
          <w:b w:val="0"/>
          <w:bCs/>
          <w:sz w:val="23"/>
        </w:rPr>
        <w:t>/</w:t>
      </w:r>
      <w:r w:rsidR="002C6D08" w:rsidRPr="005A5C2C">
        <w:rPr>
          <w:b w:val="0"/>
          <w:bCs/>
          <w:sz w:val="23"/>
        </w:rPr>
        <w:t>2</w:t>
      </w:r>
      <w:r w:rsidR="00394900">
        <w:rPr>
          <w:b w:val="0"/>
          <w:bCs/>
          <w:sz w:val="23"/>
        </w:rPr>
        <w:t>4</w:t>
      </w:r>
      <w:r w:rsidRPr="005A5C2C">
        <w:rPr>
          <w:b w:val="0"/>
          <w:bCs/>
          <w:sz w:val="23"/>
        </w:rPr>
        <w:t xml:space="preserve"> was £</w:t>
      </w:r>
      <w:r w:rsidR="005A5C2C" w:rsidRPr="005A5C2C">
        <w:rPr>
          <w:b w:val="0"/>
          <w:bCs/>
          <w:sz w:val="23"/>
        </w:rPr>
        <w:t>6</w:t>
      </w:r>
      <w:r w:rsidR="00394900">
        <w:rPr>
          <w:b w:val="0"/>
          <w:bCs/>
          <w:sz w:val="23"/>
        </w:rPr>
        <w:t>6</w:t>
      </w:r>
      <w:r w:rsidR="005A5C2C" w:rsidRPr="005A5C2C">
        <w:rPr>
          <w:b w:val="0"/>
          <w:bCs/>
          <w:sz w:val="23"/>
        </w:rPr>
        <w:t>k</w:t>
      </w:r>
      <w:r w:rsidRPr="005A5C2C">
        <w:rPr>
          <w:b w:val="0"/>
          <w:bCs/>
          <w:sz w:val="23"/>
        </w:rPr>
        <w:t xml:space="preserve"> (20</w:t>
      </w:r>
      <w:r w:rsidR="00F07203" w:rsidRPr="005A5C2C">
        <w:rPr>
          <w:b w:val="0"/>
          <w:bCs/>
          <w:sz w:val="23"/>
        </w:rPr>
        <w:t>2</w:t>
      </w:r>
      <w:r w:rsidR="00394900">
        <w:rPr>
          <w:b w:val="0"/>
          <w:bCs/>
          <w:sz w:val="23"/>
        </w:rPr>
        <w:t>2</w:t>
      </w:r>
      <w:r w:rsidR="005F6390" w:rsidRPr="005A5C2C">
        <w:rPr>
          <w:b w:val="0"/>
          <w:bCs/>
          <w:sz w:val="23"/>
        </w:rPr>
        <w:t>/</w:t>
      </w:r>
      <w:r w:rsidR="002350E0" w:rsidRPr="005A5C2C">
        <w:rPr>
          <w:b w:val="0"/>
          <w:bCs/>
          <w:sz w:val="23"/>
        </w:rPr>
        <w:t>2</w:t>
      </w:r>
      <w:r w:rsidR="00394900">
        <w:rPr>
          <w:b w:val="0"/>
          <w:bCs/>
          <w:sz w:val="23"/>
        </w:rPr>
        <w:t>3</w:t>
      </w:r>
      <w:r w:rsidRPr="005A5C2C">
        <w:rPr>
          <w:b w:val="0"/>
          <w:bCs/>
          <w:sz w:val="23"/>
        </w:rPr>
        <w:t xml:space="preserve"> £</w:t>
      </w:r>
      <w:r w:rsidR="00394900">
        <w:rPr>
          <w:b w:val="0"/>
          <w:bCs/>
          <w:sz w:val="23"/>
        </w:rPr>
        <w:t>63</w:t>
      </w:r>
      <w:r w:rsidR="005A5C2C" w:rsidRPr="005A5C2C">
        <w:rPr>
          <w:b w:val="0"/>
          <w:bCs/>
          <w:sz w:val="23"/>
        </w:rPr>
        <w:t>k</w:t>
      </w:r>
      <w:r w:rsidRPr="005A5C2C">
        <w:rPr>
          <w:b w:val="0"/>
          <w:bCs/>
          <w:sz w:val="23"/>
        </w:rPr>
        <w:t>).</w:t>
      </w:r>
      <w:r w:rsidR="00D95903" w:rsidRPr="005A5C2C">
        <w:rPr>
          <w:b w:val="0"/>
          <w:bCs/>
          <w:sz w:val="23"/>
        </w:rPr>
        <w:t xml:space="preserve"> </w:t>
      </w:r>
      <w:r w:rsidRPr="005A5C2C">
        <w:rPr>
          <w:b w:val="0"/>
          <w:bCs/>
          <w:sz w:val="23"/>
        </w:rPr>
        <w:t>It also uses land and buildings financed under the terms of operating leases.</w:t>
      </w:r>
      <w:r w:rsidR="00D95903" w:rsidRPr="005A5C2C">
        <w:rPr>
          <w:b w:val="0"/>
          <w:bCs/>
          <w:sz w:val="23"/>
        </w:rPr>
        <w:t xml:space="preserve"> </w:t>
      </w:r>
      <w:r w:rsidRPr="005A5C2C">
        <w:rPr>
          <w:b w:val="0"/>
          <w:bCs/>
          <w:sz w:val="23"/>
        </w:rPr>
        <w:t>The amount paid under these arrangements in 20</w:t>
      </w:r>
      <w:r w:rsidR="007877EC" w:rsidRPr="005A5C2C">
        <w:rPr>
          <w:b w:val="0"/>
          <w:bCs/>
          <w:sz w:val="23"/>
        </w:rPr>
        <w:t>2</w:t>
      </w:r>
      <w:r w:rsidR="00394900">
        <w:rPr>
          <w:b w:val="0"/>
          <w:bCs/>
          <w:sz w:val="23"/>
        </w:rPr>
        <w:t>3</w:t>
      </w:r>
      <w:r w:rsidR="005F6390" w:rsidRPr="005A5C2C">
        <w:rPr>
          <w:b w:val="0"/>
          <w:bCs/>
          <w:sz w:val="23"/>
        </w:rPr>
        <w:t>/</w:t>
      </w:r>
      <w:r w:rsidR="002C6D08" w:rsidRPr="005A5C2C">
        <w:rPr>
          <w:b w:val="0"/>
          <w:bCs/>
          <w:sz w:val="23"/>
        </w:rPr>
        <w:t>2</w:t>
      </w:r>
      <w:r w:rsidR="00394900">
        <w:rPr>
          <w:b w:val="0"/>
          <w:bCs/>
          <w:sz w:val="23"/>
        </w:rPr>
        <w:t>4</w:t>
      </w:r>
      <w:r w:rsidRPr="005A5C2C">
        <w:rPr>
          <w:b w:val="0"/>
          <w:bCs/>
          <w:sz w:val="23"/>
        </w:rPr>
        <w:t xml:space="preserve"> was £</w:t>
      </w:r>
      <w:r w:rsidR="00394900">
        <w:rPr>
          <w:b w:val="0"/>
          <w:bCs/>
          <w:sz w:val="23"/>
        </w:rPr>
        <w:t>350</w:t>
      </w:r>
      <w:r w:rsidR="005A5C2C" w:rsidRPr="005A5C2C">
        <w:rPr>
          <w:b w:val="0"/>
          <w:bCs/>
          <w:sz w:val="23"/>
        </w:rPr>
        <w:t>k</w:t>
      </w:r>
      <w:r w:rsidRPr="005A5C2C">
        <w:rPr>
          <w:b w:val="0"/>
          <w:bCs/>
          <w:sz w:val="23"/>
        </w:rPr>
        <w:t xml:space="preserve"> (20</w:t>
      </w:r>
      <w:r w:rsidR="00F07203" w:rsidRPr="005A5C2C">
        <w:rPr>
          <w:b w:val="0"/>
          <w:bCs/>
          <w:sz w:val="23"/>
        </w:rPr>
        <w:t>2</w:t>
      </w:r>
      <w:r w:rsidR="00394900">
        <w:rPr>
          <w:b w:val="0"/>
          <w:bCs/>
          <w:sz w:val="23"/>
        </w:rPr>
        <w:t>2</w:t>
      </w:r>
      <w:r w:rsidR="005F6390" w:rsidRPr="005A5C2C">
        <w:rPr>
          <w:b w:val="0"/>
          <w:bCs/>
          <w:sz w:val="23"/>
        </w:rPr>
        <w:t>/</w:t>
      </w:r>
      <w:r w:rsidR="007877EC" w:rsidRPr="005A5C2C">
        <w:rPr>
          <w:b w:val="0"/>
          <w:bCs/>
          <w:sz w:val="23"/>
        </w:rPr>
        <w:t>2</w:t>
      </w:r>
      <w:r w:rsidR="00394900">
        <w:rPr>
          <w:b w:val="0"/>
          <w:bCs/>
          <w:sz w:val="23"/>
        </w:rPr>
        <w:t>3</w:t>
      </w:r>
      <w:r w:rsidRPr="005A5C2C">
        <w:rPr>
          <w:b w:val="0"/>
          <w:bCs/>
          <w:sz w:val="23"/>
        </w:rPr>
        <w:t xml:space="preserve"> £</w:t>
      </w:r>
      <w:r w:rsidR="005A5C2C" w:rsidRPr="005A5C2C">
        <w:rPr>
          <w:b w:val="0"/>
          <w:bCs/>
          <w:sz w:val="23"/>
        </w:rPr>
        <w:t>2</w:t>
      </w:r>
      <w:r w:rsidR="00394900">
        <w:rPr>
          <w:b w:val="0"/>
          <w:bCs/>
          <w:sz w:val="23"/>
        </w:rPr>
        <w:t>97</w:t>
      </w:r>
      <w:r w:rsidR="005A5C2C" w:rsidRPr="005A5C2C">
        <w:rPr>
          <w:b w:val="0"/>
          <w:bCs/>
          <w:sz w:val="23"/>
        </w:rPr>
        <w:t>k</w:t>
      </w:r>
      <w:r w:rsidRPr="005A5C2C">
        <w:rPr>
          <w:b w:val="0"/>
          <w:bCs/>
          <w:sz w:val="23"/>
        </w:rPr>
        <w:t>).</w:t>
      </w:r>
      <w:r w:rsidR="00D95903" w:rsidRPr="005A5C2C">
        <w:rPr>
          <w:b w:val="0"/>
          <w:bCs/>
          <w:sz w:val="23"/>
        </w:rPr>
        <w:t xml:space="preserve"> </w:t>
      </w:r>
      <w:r w:rsidR="00537E9D" w:rsidRPr="005A5C2C">
        <w:rPr>
          <w:b w:val="0"/>
          <w:bCs/>
          <w:sz w:val="23"/>
        </w:rPr>
        <w:t>O</w:t>
      </w:r>
      <w:r w:rsidRPr="005A5C2C">
        <w:rPr>
          <w:b w:val="0"/>
          <w:bCs/>
          <w:sz w:val="23"/>
        </w:rPr>
        <w:t xml:space="preserve">f this expenditure </w:t>
      </w:r>
      <w:r w:rsidR="001123C0" w:rsidRPr="005A5C2C">
        <w:rPr>
          <w:b w:val="0"/>
          <w:bCs/>
          <w:sz w:val="23"/>
        </w:rPr>
        <w:t>£</w:t>
      </w:r>
      <w:r w:rsidR="00394900">
        <w:rPr>
          <w:b w:val="0"/>
          <w:bCs/>
          <w:sz w:val="23"/>
        </w:rPr>
        <w:t>214</w:t>
      </w:r>
      <w:r w:rsidR="005A5C2C" w:rsidRPr="005A5C2C">
        <w:rPr>
          <w:b w:val="0"/>
          <w:bCs/>
          <w:sz w:val="23"/>
        </w:rPr>
        <w:t>k</w:t>
      </w:r>
      <w:r w:rsidR="00537E9D" w:rsidRPr="005A5C2C">
        <w:rPr>
          <w:b w:val="0"/>
          <w:bCs/>
          <w:sz w:val="23"/>
        </w:rPr>
        <w:t xml:space="preserve"> </w:t>
      </w:r>
      <w:r w:rsidRPr="005A5C2C">
        <w:rPr>
          <w:b w:val="0"/>
          <w:bCs/>
          <w:sz w:val="23"/>
        </w:rPr>
        <w:t>related to contingent rents.</w:t>
      </w:r>
    </w:p>
    <w:p w14:paraId="485A4850" w14:textId="77777777" w:rsidR="00E00863" w:rsidRPr="004D5CA8" w:rsidRDefault="00E00863" w:rsidP="0070459C">
      <w:pPr>
        <w:pStyle w:val="HEADING"/>
        <w:rPr>
          <w:b w:val="0"/>
          <w:bCs/>
          <w:sz w:val="23"/>
          <w:highlight w:val="yellow"/>
        </w:rPr>
      </w:pPr>
    </w:p>
    <w:p w14:paraId="485A4851" w14:textId="77777777" w:rsidR="00E00863" w:rsidRPr="005A5C2C" w:rsidRDefault="00E00863" w:rsidP="0070459C">
      <w:pPr>
        <w:pStyle w:val="HEADING"/>
        <w:rPr>
          <w:b w:val="0"/>
          <w:bCs/>
        </w:rPr>
      </w:pPr>
      <w:r w:rsidRPr="005A5C2C">
        <w:rPr>
          <w:b w:val="0"/>
          <w:bCs/>
          <w:sz w:val="23"/>
        </w:rPr>
        <w:t xml:space="preserve">The future minimum lease payments due under non-cancellable leases </w:t>
      </w:r>
      <w:r w:rsidR="00E77587" w:rsidRPr="005A5C2C">
        <w:rPr>
          <w:b w:val="0"/>
          <w:bCs/>
          <w:sz w:val="23"/>
        </w:rPr>
        <w:t>in future years will be paid</w:t>
      </w:r>
      <w:r w:rsidRPr="005A5C2C">
        <w:rPr>
          <w:b w:val="0"/>
          <w:bCs/>
          <w:sz w:val="23"/>
        </w:rPr>
        <w:t xml:space="preserve"> over the following periods:</w:t>
      </w:r>
    </w:p>
    <w:p w14:paraId="485A4852" w14:textId="77777777" w:rsidR="00E00863" w:rsidRPr="004D5CA8" w:rsidRDefault="00E00863" w:rsidP="0070459C">
      <w:pPr>
        <w:pStyle w:val="Subtitle"/>
        <w:tabs>
          <w:tab w:val="left" w:pos="709"/>
        </w:tabs>
        <w:ind w:right="-1"/>
        <w:rPr>
          <w:b/>
          <w:sz w:val="22"/>
          <w:highlight w:val="yellow"/>
        </w:rPr>
      </w:pPr>
    </w:p>
    <w:tbl>
      <w:tblPr>
        <w:tblW w:w="6799" w:type="dxa"/>
        <w:jc w:val="center"/>
        <w:tblLook w:val="04A0" w:firstRow="1" w:lastRow="0" w:firstColumn="1" w:lastColumn="0" w:noHBand="0" w:noVBand="1"/>
      </w:tblPr>
      <w:tblGrid>
        <w:gridCol w:w="4248"/>
        <w:gridCol w:w="1401"/>
        <w:gridCol w:w="1150"/>
      </w:tblGrid>
      <w:tr w:rsidR="00B72CF2" w:rsidRPr="00066E64" w14:paraId="2EFA31C9" w14:textId="77777777" w:rsidTr="00066E64">
        <w:trPr>
          <w:trHeight w:val="290"/>
          <w:jc w:val="center"/>
        </w:trPr>
        <w:tc>
          <w:tcPr>
            <w:tcW w:w="4248" w:type="dxa"/>
            <w:tcBorders>
              <w:top w:val="single" w:sz="4" w:space="0" w:color="auto"/>
              <w:left w:val="single" w:sz="4" w:space="0" w:color="auto"/>
              <w:bottom w:val="nil"/>
              <w:right w:val="nil"/>
            </w:tcBorders>
            <w:shd w:val="clear" w:color="000000" w:fill="000000"/>
            <w:noWrap/>
            <w:vAlign w:val="bottom"/>
            <w:hideMark/>
          </w:tcPr>
          <w:p w14:paraId="2A09AF8B" w14:textId="77777777" w:rsidR="00B72CF2" w:rsidRPr="00066E64" w:rsidRDefault="00B72CF2" w:rsidP="0070459C">
            <w:pPr>
              <w:rPr>
                <w:rFonts w:ascii="Calibri" w:hAnsi="Calibri" w:cs="Calibri"/>
                <w:color w:val="FFFFFF"/>
                <w:sz w:val="22"/>
                <w:szCs w:val="22"/>
                <w:lang w:eastAsia="en-GB"/>
              </w:rPr>
            </w:pPr>
            <w:bookmarkStart w:id="326" w:name="_MON_1395564041"/>
            <w:bookmarkStart w:id="327" w:name="_MON_1401093693"/>
            <w:bookmarkStart w:id="328" w:name="_MON_1401539243"/>
            <w:bookmarkStart w:id="329" w:name="_MON_1402138298"/>
            <w:bookmarkStart w:id="330" w:name="_MON_1402138312"/>
            <w:bookmarkStart w:id="331" w:name="_MON_1363691492"/>
            <w:bookmarkStart w:id="332" w:name="_MON_1363691565"/>
            <w:bookmarkStart w:id="333" w:name="_MON_1363691585"/>
            <w:bookmarkStart w:id="334" w:name="_MON_1363691669"/>
            <w:bookmarkStart w:id="335" w:name="_MON_1363691984"/>
            <w:bookmarkStart w:id="336" w:name="_MON_1363693536"/>
            <w:bookmarkStart w:id="337" w:name="_MON_1363760916"/>
            <w:bookmarkStart w:id="338" w:name="_MON_1364128331"/>
            <w:bookmarkStart w:id="339" w:name="_MON_1364128453"/>
            <w:bookmarkStart w:id="340" w:name="_MON_1368596160"/>
            <w:bookmarkStart w:id="341" w:name="_MON_1368600156"/>
            <w:bookmarkStart w:id="342" w:name="_MON_1368607630"/>
            <w:bookmarkStart w:id="343" w:name="_MON_1370192614"/>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066E64">
              <w:rPr>
                <w:rFonts w:ascii="Calibri" w:hAnsi="Calibri" w:cs="Calibri"/>
                <w:color w:val="FFFFFF"/>
                <w:sz w:val="22"/>
                <w:szCs w:val="22"/>
                <w:lang w:eastAsia="en-GB"/>
              </w:rPr>
              <w:t> </w:t>
            </w:r>
          </w:p>
        </w:tc>
        <w:tc>
          <w:tcPr>
            <w:tcW w:w="2551" w:type="dxa"/>
            <w:gridSpan w:val="2"/>
            <w:tcBorders>
              <w:top w:val="single" w:sz="4" w:space="0" w:color="auto"/>
              <w:left w:val="nil"/>
              <w:bottom w:val="nil"/>
              <w:right w:val="single" w:sz="4" w:space="0" w:color="000000"/>
            </w:tcBorders>
            <w:shd w:val="clear" w:color="000000" w:fill="000000"/>
            <w:noWrap/>
            <w:vAlign w:val="bottom"/>
            <w:hideMark/>
          </w:tcPr>
          <w:p w14:paraId="50A04169" w14:textId="1AC38165" w:rsidR="00B72CF2" w:rsidRPr="00066E64" w:rsidRDefault="002922E7" w:rsidP="0070459C">
            <w:pPr>
              <w:rPr>
                <w:rFonts w:cs="Arial"/>
                <w:b/>
                <w:bCs/>
                <w:color w:val="FFFFFF"/>
                <w:sz w:val="20"/>
                <w:szCs w:val="20"/>
                <w:lang w:eastAsia="en-GB"/>
              </w:rPr>
            </w:pPr>
            <w:r>
              <w:rPr>
                <w:rFonts w:cs="Arial"/>
                <w:b/>
                <w:bCs/>
                <w:color w:val="FFFFFF"/>
                <w:sz w:val="20"/>
                <w:szCs w:val="20"/>
                <w:lang w:eastAsia="en-GB"/>
              </w:rPr>
              <w:t xml:space="preserve">      </w:t>
            </w:r>
          </w:p>
        </w:tc>
      </w:tr>
      <w:tr w:rsidR="00066E64" w:rsidRPr="00066E64" w14:paraId="388DDC88" w14:textId="77777777" w:rsidTr="00066E64">
        <w:trPr>
          <w:trHeight w:val="290"/>
          <w:jc w:val="center"/>
        </w:trPr>
        <w:tc>
          <w:tcPr>
            <w:tcW w:w="4248" w:type="dxa"/>
            <w:tcBorders>
              <w:top w:val="nil"/>
              <w:left w:val="single" w:sz="4" w:space="0" w:color="auto"/>
              <w:bottom w:val="nil"/>
              <w:right w:val="nil"/>
            </w:tcBorders>
            <w:shd w:val="clear" w:color="000000" w:fill="000000"/>
            <w:noWrap/>
            <w:vAlign w:val="bottom"/>
            <w:hideMark/>
          </w:tcPr>
          <w:p w14:paraId="4F54C14A" w14:textId="77777777" w:rsidR="00066E64" w:rsidRPr="00066E64" w:rsidRDefault="00066E64" w:rsidP="0070459C">
            <w:pPr>
              <w:rPr>
                <w:rFonts w:ascii="Calibri" w:hAnsi="Calibri" w:cs="Calibri"/>
                <w:color w:val="FFFFFF"/>
                <w:sz w:val="22"/>
                <w:szCs w:val="22"/>
                <w:lang w:eastAsia="en-GB"/>
              </w:rPr>
            </w:pPr>
            <w:r w:rsidRPr="00066E64">
              <w:rPr>
                <w:rFonts w:ascii="Calibri" w:hAnsi="Calibri" w:cs="Calibri"/>
                <w:color w:val="FFFFFF"/>
                <w:sz w:val="22"/>
                <w:szCs w:val="22"/>
                <w:lang w:eastAsia="en-GB"/>
              </w:rPr>
              <w:t> </w:t>
            </w:r>
          </w:p>
        </w:tc>
        <w:tc>
          <w:tcPr>
            <w:tcW w:w="1401" w:type="dxa"/>
            <w:tcBorders>
              <w:top w:val="nil"/>
              <w:left w:val="nil"/>
              <w:bottom w:val="nil"/>
              <w:right w:val="nil"/>
            </w:tcBorders>
            <w:shd w:val="clear" w:color="000000" w:fill="000000"/>
            <w:noWrap/>
            <w:vAlign w:val="bottom"/>
            <w:hideMark/>
          </w:tcPr>
          <w:p w14:paraId="75158B6F" w14:textId="2DD3F441" w:rsidR="00066E64" w:rsidRDefault="00066E64" w:rsidP="0070459C">
            <w:pPr>
              <w:jc w:val="right"/>
              <w:rPr>
                <w:rFonts w:cs="Arial"/>
                <w:b/>
                <w:bCs/>
                <w:color w:val="FFFFFF"/>
                <w:sz w:val="20"/>
                <w:szCs w:val="20"/>
                <w:lang w:eastAsia="en-GB"/>
              </w:rPr>
            </w:pPr>
            <w:r w:rsidRPr="00066E64">
              <w:rPr>
                <w:rFonts w:cs="Arial"/>
                <w:b/>
                <w:bCs/>
                <w:color w:val="FFFFFF"/>
                <w:sz w:val="20"/>
                <w:szCs w:val="20"/>
                <w:lang w:eastAsia="en-GB"/>
              </w:rPr>
              <w:t>202</w:t>
            </w:r>
            <w:r w:rsidR="00394900">
              <w:rPr>
                <w:rFonts w:cs="Arial"/>
                <w:b/>
                <w:bCs/>
                <w:color w:val="FFFFFF"/>
                <w:sz w:val="20"/>
                <w:szCs w:val="20"/>
                <w:lang w:eastAsia="en-GB"/>
              </w:rPr>
              <w:t>3</w:t>
            </w:r>
          </w:p>
          <w:p w14:paraId="0188027D" w14:textId="2FCD05AC" w:rsidR="00066E64" w:rsidRPr="00066E64" w:rsidRDefault="00066E64" w:rsidP="0070459C">
            <w:pPr>
              <w:jc w:val="right"/>
              <w:rPr>
                <w:rFonts w:cs="Arial"/>
                <w:b/>
                <w:bCs/>
                <w:color w:val="FFFFFF"/>
                <w:sz w:val="20"/>
                <w:szCs w:val="20"/>
                <w:lang w:eastAsia="en-GB"/>
              </w:rPr>
            </w:pPr>
            <w:r>
              <w:rPr>
                <w:rFonts w:cs="Arial"/>
                <w:b/>
                <w:bCs/>
                <w:color w:val="FFFFFF"/>
                <w:sz w:val="20"/>
                <w:szCs w:val="20"/>
                <w:lang w:eastAsia="en-GB"/>
              </w:rPr>
              <w:t>£000</w:t>
            </w:r>
          </w:p>
        </w:tc>
        <w:tc>
          <w:tcPr>
            <w:tcW w:w="1150" w:type="dxa"/>
            <w:tcBorders>
              <w:top w:val="nil"/>
              <w:left w:val="nil"/>
              <w:bottom w:val="nil"/>
              <w:right w:val="single" w:sz="4" w:space="0" w:color="auto"/>
            </w:tcBorders>
            <w:shd w:val="clear" w:color="000000" w:fill="000000"/>
            <w:noWrap/>
            <w:vAlign w:val="bottom"/>
          </w:tcPr>
          <w:p w14:paraId="7826C1CE" w14:textId="72F95445" w:rsidR="00066E64" w:rsidRDefault="00066E64" w:rsidP="0070459C">
            <w:pPr>
              <w:jc w:val="right"/>
              <w:rPr>
                <w:rFonts w:cs="Arial"/>
                <w:b/>
                <w:bCs/>
                <w:color w:val="FFFFFF"/>
                <w:sz w:val="20"/>
                <w:szCs w:val="20"/>
                <w:lang w:eastAsia="en-GB"/>
              </w:rPr>
            </w:pPr>
            <w:r>
              <w:rPr>
                <w:rFonts w:cs="Arial"/>
                <w:b/>
                <w:bCs/>
                <w:color w:val="FFFFFF"/>
                <w:sz w:val="20"/>
                <w:szCs w:val="20"/>
                <w:lang w:eastAsia="en-GB"/>
              </w:rPr>
              <w:t>202</w:t>
            </w:r>
            <w:r w:rsidR="00394900">
              <w:rPr>
                <w:rFonts w:cs="Arial"/>
                <w:b/>
                <w:bCs/>
                <w:color w:val="FFFFFF"/>
                <w:sz w:val="20"/>
                <w:szCs w:val="20"/>
                <w:lang w:eastAsia="en-GB"/>
              </w:rPr>
              <w:t>4</w:t>
            </w:r>
          </w:p>
          <w:p w14:paraId="59D41747" w14:textId="56AFA5EB" w:rsidR="00066E64" w:rsidRPr="00066E64" w:rsidRDefault="00066E64" w:rsidP="0070459C">
            <w:pPr>
              <w:jc w:val="right"/>
              <w:rPr>
                <w:rFonts w:cs="Arial"/>
                <w:b/>
                <w:bCs/>
                <w:color w:val="FFFFFF"/>
                <w:sz w:val="20"/>
                <w:szCs w:val="20"/>
                <w:lang w:eastAsia="en-GB"/>
              </w:rPr>
            </w:pPr>
            <w:r>
              <w:rPr>
                <w:rFonts w:cs="Arial"/>
                <w:b/>
                <w:bCs/>
                <w:color w:val="FFFFFF"/>
                <w:sz w:val="20"/>
                <w:szCs w:val="20"/>
                <w:lang w:eastAsia="en-GB"/>
              </w:rPr>
              <w:t>£000</w:t>
            </w:r>
          </w:p>
        </w:tc>
      </w:tr>
      <w:tr w:rsidR="00394900" w:rsidRPr="00066E64" w14:paraId="44D3072B" w14:textId="77777777" w:rsidTr="00066E64">
        <w:trPr>
          <w:trHeight w:val="310"/>
          <w:jc w:val="center"/>
        </w:trPr>
        <w:tc>
          <w:tcPr>
            <w:tcW w:w="4248" w:type="dxa"/>
            <w:tcBorders>
              <w:top w:val="nil"/>
              <w:left w:val="single" w:sz="4" w:space="0" w:color="auto"/>
              <w:bottom w:val="nil"/>
              <w:right w:val="nil"/>
            </w:tcBorders>
            <w:shd w:val="clear" w:color="auto" w:fill="auto"/>
            <w:noWrap/>
            <w:vAlign w:val="bottom"/>
            <w:hideMark/>
          </w:tcPr>
          <w:p w14:paraId="35521543" w14:textId="77777777" w:rsidR="00394900" w:rsidRPr="00066E64" w:rsidRDefault="00394900" w:rsidP="00394900">
            <w:pPr>
              <w:rPr>
                <w:rFonts w:cs="Arial"/>
                <w:sz w:val="20"/>
                <w:szCs w:val="20"/>
                <w:lang w:eastAsia="en-GB"/>
              </w:rPr>
            </w:pPr>
            <w:r w:rsidRPr="00066E64">
              <w:rPr>
                <w:rFonts w:cs="Arial"/>
                <w:sz w:val="20"/>
                <w:szCs w:val="20"/>
                <w:lang w:eastAsia="en-GB"/>
              </w:rPr>
              <w:t>Not later than 1 year</w:t>
            </w:r>
          </w:p>
        </w:tc>
        <w:tc>
          <w:tcPr>
            <w:tcW w:w="1401" w:type="dxa"/>
            <w:tcBorders>
              <w:top w:val="nil"/>
              <w:left w:val="nil"/>
              <w:bottom w:val="nil"/>
              <w:right w:val="nil"/>
            </w:tcBorders>
            <w:shd w:val="clear" w:color="auto" w:fill="auto"/>
            <w:noWrap/>
            <w:vAlign w:val="bottom"/>
            <w:hideMark/>
          </w:tcPr>
          <w:p w14:paraId="29068C99" w14:textId="6427B73F" w:rsidR="00394900" w:rsidRPr="00066E64" w:rsidRDefault="00394900" w:rsidP="00394900">
            <w:pPr>
              <w:jc w:val="right"/>
              <w:rPr>
                <w:rFonts w:cs="Arial"/>
                <w:sz w:val="20"/>
                <w:szCs w:val="20"/>
                <w:lang w:eastAsia="en-GB"/>
              </w:rPr>
            </w:pPr>
            <w:r>
              <w:rPr>
                <w:rFonts w:cs="Arial"/>
                <w:sz w:val="20"/>
                <w:szCs w:val="20"/>
                <w:lang w:eastAsia="en-GB"/>
              </w:rPr>
              <w:t>122</w:t>
            </w:r>
          </w:p>
        </w:tc>
        <w:tc>
          <w:tcPr>
            <w:tcW w:w="1150" w:type="dxa"/>
            <w:tcBorders>
              <w:top w:val="nil"/>
              <w:left w:val="nil"/>
              <w:bottom w:val="nil"/>
              <w:right w:val="single" w:sz="4" w:space="0" w:color="auto"/>
            </w:tcBorders>
            <w:shd w:val="clear" w:color="auto" w:fill="auto"/>
            <w:noWrap/>
            <w:vAlign w:val="bottom"/>
          </w:tcPr>
          <w:p w14:paraId="7B4C9A94" w14:textId="27F82688" w:rsidR="00394900" w:rsidRPr="00066E64" w:rsidRDefault="00394900" w:rsidP="00394900">
            <w:pPr>
              <w:jc w:val="right"/>
              <w:rPr>
                <w:rFonts w:cs="Arial"/>
                <w:sz w:val="20"/>
                <w:szCs w:val="20"/>
                <w:lang w:eastAsia="en-GB"/>
              </w:rPr>
            </w:pPr>
            <w:r>
              <w:rPr>
                <w:rFonts w:cs="Arial"/>
                <w:sz w:val="20"/>
                <w:szCs w:val="20"/>
                <w:lang w:eastAsia="en-GB"/>
              </w:rPr>
              <w:t>167</w:t>
            </w:r>
          </w:p>
        </w:tc>
      </w:tr>
      <w:tr w:rsidR="00394900" w:rsidRPr="00066E64" w14:paraId="6B9D78C5" w14:textId="77777777" w:rsidTr="00066E64">
        <w:trPr>
          <w:trHeight w:val="310"/>
          <w:jc w:val="center"/>
        </w:trPr>
        <w:tc>
          <w:tcPr>
            <w:tcW w:w="4248" w:type="dxa"/>
            <w:tcBorders>
              <w:top w:val="nil"/>
              <w:left w:val="single" w:sz="4" w:space="0" w:color="auto"/>
              <w:bottom w:val="nil"/>
              <w:right w:val="nil"/>
            </w:tcBorders>
            <w:shd w:val="clear" w:color="auto" w:fill="auto"/>
            <w:noWrap/>
            <w:vAlign w:val="bottom"/>
            <w:hideMark/>
          </w:tcPr>
          <w:p w14:paraId="6EC6C992" w14:textId="77777777" w:rsidR="00394900" w:rsidRPr="00066E64" w:rsidRDefault="00394900" w:rsidP="00394900">
            <w:pPr>
              <w:rPr>
                <w:rFonts w:cs="Arial"/>
                <w:sz w:val="20"/>
                <w:szCs w:val="20"/>
                <w:lang w:eastAsia="en-GB"/>
              </w:rPr>
            </w:pPr>
            <w:r w:rsidRPr="00066E64">
              <w:rPr>
                <w:rFonts w:cs="Arial"/>
                <w:sz w:val="20"/>
                <w:szCs w:val="20"/>
                <w:lang w:eastAsia="en-GB"/>
              </w:rPr>
              <w:t>Later than 1 year but not later than 5 years</w:t>
            </w:r>
          </w:p>
        </w:tc>
        <w:tc>
          <w:tcPr>
            <w:tcW w:w="1401" w:type="dxa"/>
            <w:tcBorders>
              <w:top w:val="nil"/>
              <w:left w:val="nil"/>
              <w:bottom w:val="nil"/>
              <w:right w:val="nil"/>
            </w:tcBorders>
            <w:shd w:val="clear" w:color="auto" w:fill="auto"/>
            <w:noWrap/>
            <w:vAlign w:val="bottom"/>
            <w:hideMark/>
          </w:tcPr>
          <w:p w14:paraId="5B2FD4C8" w14:textId="42D17C5A" w:rsidR="00394900" w:rsidRPr="00066E64" w:rsidRDefault="00394900" w:rsidP="00394900">
            <w:pPr>
              <w:jc w:val="right"/>
              <w:rPr>
                <w:rFonts w:cs="Arial"/>
                <w:sz w:val="20"/>
                <w:szCs w:val="20"/>
                <w:lang w:eastAsia="en-GB"/>
              </w:rPr>
            </w:pPr>
            <w:r>
              <w:rPr>
                <w:rFonts w:cs="Arial"/>
                <w:sz w:val="20"/>
                <w:szCs w:val="20"/>
                <w:lang w:eastAsia="en-GB"/>
              </w:rPr>
              <w:t>198</w:t>
            </w:r>
          </w:p>
        </w:tc>
        <w:tc>
          <w:tcPr>
            <w:tcW w:w="1150" w:type="dxa"/>
            <w:tcBorders>
              <w:top w:val="nil"/>
              <w:left w:val="nil"/>
              <w:bottom w:val="nil"/>
              <w:right w:val="single" w:sz="4" w:space="0" w:color="auto"/>
            </w:tcBorders>
            <w:shd w:val="clear" w:color="auto" w:fill="auto"/>
            <w:noWrap/>
            <w:vAlign w:val="bottom"/>
          </w:tcPr>
          <w:p w14:paraId="5502E87A" w14:textId="2B23E15C" w:rsidR="00394900" w:rsidRPr="00066E64" w:rsidRDefault="00394900" w:rsidP="00394900">
            <w:pPr>
              <w:jc w:val="right"/>
              <w:rPr>
                <w:rFonts w:cs="Arial"/>
                <w:sz w:val="20"/>
                <w:szCs w:val="20"/>
                <w:lang w:eastAsia="en-GB"/>
              </w:rPr>
            </w:pPr>
            <w:r>
              <w:rPr>
                <w:rFonts w:cs="Arial"/>
                <w:sz w:val="20"/>
                <w:szCs w:val="20"/>
                <w:lang w:eastAsia="en-GB"/>
              </w:rPr>
              <w:t>221</w:t>
            </w:r>
          </w:p>
        </w:tc>
      </w:tr>
      <w:tr w:rsidR="00394900" w:rsidRPr="00066E64" w14:paraId="7DF8F003" w14:textId="77777777" w:rsidTr="00066E64">
        <w:trPr>
          <w:trHeight w:val="290"/>
          <w:jc w:val="center"/>
        </w:trPr>
        <w:tc>
          <w:tcPr>
            <w:tcW w:w="4248" w:type="dxa"/>
            <w:tcBorders>
              <w:top w:val="nil"/>
              <w:left w:val="single" w:sz="4" w:space="0" w:color="auto"/>
              <w:bottom w:val="nil"/>
              <w:right w:val="nil"/>
            </w:tcBorders>
            <w:shd w:val="clear" w:color="auto" w:fill="auto"/>
            <w:noWrap/>
            <w:vAlign w:val="bottom"/>
            <w:hideMark/>
          </w:tcPr>
          <w:p w14:paraId="132EFF5A" w14:textId="77777777" w:rsidR="00394900" w:rsidRPr="00066E64" w:rsidRDefault="00394900" w:rsidP="00394900">
            <w:pPr>
              <w:rPr>
                <w:rFonts w:cs="Arial"/>
                <w:sz w:val="20"/>
                <w:szCs w:val="20"/>
                <w:lang w:eastAsia="en-GB"/>
              </w:rPr>
            </w:pPr>
            <w:r w:rsidRPr="00066E64">
              <w:rPr>
                <w:rFonts w:cs="Arial"/>
                <w:sz w:val="20"/>
                <w:szCs w:val="20"/>
                <w:lang w:eastAsia="en-GB"/>
              </w:rPr>
              <w:t>Later than 5 years</w:t>
            </w:r>
          </w:p>
        </w:tc>
        <w:tc>
          <w:tcPr>
            <w:tcW w:w="1401" w:type="dxa"/>
            <w:tcBorders>
              <w:top w:val="nil"/>
              <w:left w:val="nil"/>
              <w:bottom w:val="nil"/>
              <w:right w:val="nil"/>
            </w:tcBorders>
            <w:shd w:val="clear" w:color="auto" w:fill="auto"/>
            <w:noWrap/>
            <w:vAlign w:val="bottom"/>
            <w:hideMark/>
          </w:tcPr>
          <w:p w14:paraId="0D06D4D3" w14:textId="7CB133A4" w:rsidR="00394900" w:rsidRPr="00066E64" w:rsidRDefault="00394900" w:rsidP="00394900">
            <w:pPr>
              <w:jc w:val="right"/>
              <w:rPr>
                <w:rFonts w:cs="Arial"/>
                <w:sz w:val="20"/>
                <w:szCs w:val="20"/>
                <w:lang w:eastAsia="en-GB"/>
              </w:rPr>
            </w:pPr>
            <w:r>
              <w:rPr>
                <w:rFonts w:cs="Arial"/>
                <w:sz w:val="20"/>
                <w:szCs w:val="20"/>
                <w:lang w:eastAsia="en-GB"/>
              </w:rPr>
              <w:t>366</w:t>
            </w:r>
          </w:p>
        </w:tc>
        <w:tc>
          <w:tcPr>
            <w:tcW w:w="1150" w:type="dxa"/>
            <w:tcBorders>
              <w:top w:val="nil"/>
              <w:left w:val="nil"/>
              <w:bottom w:val="nil"/>
              <w:right w:val="single" w:sz="4" w:space="0" w:color="auto"/>
            </w:tcBorders>
            <w:shd w:val="clear" w:color="auto" w:fill="auto"/>
            <w:noWrap/>
            <w:vAlign w:val="bottom"/>
          </w:tcPr>
          <w:p w14:paraId="5A1F4DCF" w14:textId="37D10FFC" w:rsidR="00394900" w:rsidRPr="00066E64" w:rsidRDefault="00394900" w:rsidP="00394900">
            <w:pPr>
              <w:jc w:val="right"/>
              <w:rPr>
                <w:rFonts w:cs="Arial"/>
                <w:sz w:val="20"/>
                <w:szCs w:val="20"/>
                <w:lang w:eastAsia="en-GB"/>
              </w:rPr>
            </w:pPr>
            <w:r>
              <w:rPr>
                <w:rFonts w:cs="Arial"/>
                <w:sz w:val="20"/>
                <w:szCs w:val="20"/>
                <w:lang w:eastAsia="en-GB"/>
              </w:rPr>
              <w:t>475</w:t>
            </w:r>
          </w:p>
        </w:tc>
      </w:tr>
      <w:tr w:rsidR="00394900" w:rsidRPr="00066E64" w14:paraId="3342BEB9" w14:textId="77777777" w:rsidTr="00066E64">
        <w:trPr>
          <w:trHeight w:val="290"/>
          <w:jc w:val="center"/>
        </w:trPr>
        <w:tc>
          <w:tcPr>
            <w:tcW w:w="4248" w:type="dxa"/>
            <w:tcBorders>
              <w:top w:val="nil"/>
              <w:left w:val="single" w:sz="4" w:space="0" w:color="auto"/>
              <w:bottom w:val="single" w:sz="4" w:space="0" w:color="auto"/>
              <w:right w:val="nil"/>
            </w:tcBorders>
            <w:shd w:val="clear" w:color="auto" w:fill="auto"/>
            <w:noWrap/>
            <w:vAlign w:val="bottom"/>
            <w:hideMark/>
          </w:tcPr>
          <w:p w14:paraId="521C9FEB" w14:textId="77777777" w:rsidR="00394900" w:rsidRPr="00066E64" w:rsidRDefault="00394900" w:rsidP="00394900">
            <w:pPr>
              <w:rPr>
                <w:rFonts w:ascii="Calibri" w:hAnsi="Calibri" w:cs="Calibri"/>
                <w:color w:val="000000"/>
                <w:sz w:val="22"/>
                <w:szCs w:val="22"/>
                <w:lang w:eastAsia="en-GB"/>
              </w:rPr>
            </w:pPr>
            <w:r w:rsidRPr="00066E64">
              <w:rPr>
                <w:rFonts w:ascii="Calibri" w:hAnsi="Calibri" w:cs="Calibri"/>
                <w:color w:val="000000"/>
                <w:sz w:val="22"/>
                <w:szCs w:val="22"/>
                <w:lang w:eastAsia="en-GB"/>
              </w:rPr>
              <w:t> </w:t>
            </w:r>
          </w:p>
        </w:tc>
        <w:tc>
          <w:tcPr>
            <w:tcW w:w="1401" w:type="dxa"/>
            <w:tcBorders>
              <w:top w:val="single" w:sz="4" w:space="0" w:color="auto"/>
              <w:left w:val="nil"/>
              <w:bottom w:val="single" w:sz="4" w:space="0" w:color="auto"/>
              <w:right w:val="nil"/>
            </w:tcBorders>
            <w:shd w:val="clear" w:color="auto" w:fill="auto"/>
            <w:noWrap/>
            <w:vAlign w:val="bottom"/>
            <w:hideMark/>
          </w:tcPr>
          <w:p w14:paraId="2F2FEBE4" w14:textId="50EA0DBB" w:rsidR="00394900" w:rsidRPr="00066E64" w:rsidRDefault="00394900" w:rsidP="00394900">
            <w:pPr>
              <w:jc w:val="right"/>
              <w:rPr>
                <w:rFonts w:cs="Arial"/>
                <w:b/>
                <w:bCs/>
                <w:sz w:val="20"/>
                <w:szCs w:val="20"/>
                <w:lang w:eastAsia="en-GB"/>
              </w:rPr>
            </w:pPr>
            <w:r>
              <w:rPr>
                <w:rFonts w:cs="Arial"/>
                <w:b/>
                <w:bCs/>
                <w:sz w:val="20"/>
                <w:szCs w:val="20"/>
                <w:lang w:eastAsia="en-GB"/>
              </w:rPr>
              <w:t>687</w:t>
            </w:r>
          </w:p>
        </w:tc>
        <w:tc>
          <w:tcPr>
            <w:tcW w:w="1150" w:type="dxa"/>
            <w:tcBorders>
              <w:top w:val="single" w:sz="4" w:space="0" w:color="auto"/>
              <w:left w:val="nil"/>
              <w:bottom w:val="single" w:sz="4" w:space="0" w:color="auto"/>
              <w:right w:val="single" w:sz="4" w:space="0" w:color="auto"/>
            </w:tcBorders>
            <w:shd w:val="clear" w:color="auto" w:fill="auto"/>
            <w:noWrap/>
            <w:vAlign w:val="bottom"/>
          </w:tcPr>
          <w:p w14:paraId="5C79446C" w14:textId="3C7B4611" w:rsidR="00394900" w:rsidRPr="00066E64" w:rsidRDefault="00394900" w:rsidP="00394900">
            <w:pPr>
              <w:jc w:val="right"/>
              <w:rPr>
                <w:rFonts w:cs="Arial"/>
                <w:b/>
                <w:bCs/>
                <w:sz w:val="20"/>
                <w:szCs w:val="20"/>
                <w:lang w:eastAsia="en-GB"/>
              </w:rPr>
            </w:pPr>
            <w:r>
              <w:rPr>
                <w:rFonts w:cs="Arial"/>
                <w:b/>
                <w:bCs/>
                <w:sz w:val="20"/>
                <w:szCs w:val="20"/>
                <w:lang w:eastAsia="en-GB"/>
              </w:rPr>
              <w:t>863</w:t>
            </w:r>
          </w:p>
        </w:tc>
      </w:tr>
    </w:tbl>
    <w:p w14:paraId="485A4853" w14:textId="752B5E84" w:rsidR="00E00863" w:rsidRDefault="00E00863" w:rsidP="0070459C">
      <w:pPr>
        <w:pStyle w:val="Subtitle"/>
        <w:tabs>
          <w:tab w:val="left" w:pos="0"/>
        </w:tabs>
        <w:ind w:right="-1"/>
        <w:jc w:val="center"/>
        <w:rPr>
          <w:rFonts w:ascii="Arial" w:hAnsi="Arial" w:cs="Arial"/>
          <w:b/>
          <w:i w:val="0"/>
          <w:sz w:val="22"/>
          <w:highlight w:val="yellow"/>
          <w:u w:val="none"/>
        </w:rPr>
      </w:pPr>
    </w:p>
    <w:p w14:paraId="41A01AE8" w14:textId="77777777" w:rsidR="002F0A49" w:rsidRPr="004D5CA8" w:rsidRDefault="002F0A49" w:rsidP="0070459C">
      <w:pPr>
        <w:rPr>
          <w:b/>
          <w:iCs/>
          <w:sz w:val="22"/>
          <w:szCs w:val="22"/>
          <w:highlight w:val="yellow"/>
        </w:rPr>
      </w:pPr>
    </w:p>
    <w:p w14:paraId="485A4856" w14:textId="54B868FA" w:rsidR="00E00863" w:rsidRPr="00066E64" w:rsidRDefault="00295ADA" w:rsidP="0070459C">
      <w:pPr>
        <w:rPr>
          <w:b/>
          <w:sz w:val="22"/>
          <w:szCs w:val="22"/>
        </w:rPr>
      </w:pPr>
      <w:r w:rsidRPr="00066E64">
        <w:rPr>
          <w:b/>
          <w:iCs/>
          <w:sz w:val="22"/>
          <w:szCs w:val="22"/>
        </w:rPr>
        <w:t>L</w:t>
      </w:r>
      <w:r w:rsidR="00C17465" w:rsidRPr="00066E64">
        <w:rPr>
          <w:b/>
          <w:iCs/>
          <w:sz w:val="22"/>
          <w:szCs w:val="22"/>
        </w:rPr>
        <w:t>essor</w:t>
      </w:r>
      <w:r w:rsidR="00C17465" w:rsidRPr="00066E64">
        <w:rPr>
          <w:b/>
          <w:sz w:val="22"/>
          <w:szCs w:val="22"/>
        </w:rPr>
        <w:t xml:space="preserve"> </w:t>
      </w:r>
      <w:r w:rsidR="00E00863" w:rsidRPr="00066E64">
        <w:rPr>
          <w:b/>
          <w:sz w:val="22"/>
          <w:szCs w:val="22"/>
        </w:rPr>
        <w:t>Operating Leases</w:t>
      </w:r>
    </w:p>
    <w:p w14:paraId="485A4857" w14:textId="77777777" w:rsidR="00E00863" w:rsidRPr="00066E64" w:rsidRDefault="00E00863" w:rsidP="0070459C"/>
    <w:p w14:paraId="485A4858" w14:textId="2BDEAC33" w:rsidR="00E00863" w:rsidRPr="00066E64" w:rsidRDefault="00E00863" w:rsidP="0070459C">
      <w:pPr>
        <w:pStyle w:val="HEADING"/>
        <w:rPr>
          <w:b w:val="0"/>
          <w:bCs/>
          <w:sz w:val="23"/>
        </w:rPr>
      </w:pPr>
      <w:r w:rsidRPr="00066E64">
        <w:rPr>
          <w:b w:val="0"/>
          <w:bCs/>
          <w:sz w:val="23"/>
        </w:rPr>
        <w:t>The Autho</w:t>
      </w:r>
      <w:r w:rsidR="00E44D0F" w:rsidRPr="00066E64">
        <w:rPr>
          <w:b w:val="0"/>
          <w:bCs/>
          <w:sz w:val="23"/>
        </w:rPr>
        <w:t xml:space="preserve">rity has granted use of a </w:t>
      </w:r>
      <w:r w:rsidRPr="00066E64">
        <w:rPr>
          <w:b w:val="0"/>
          <w:bCs/>
          <w:sz w:val="23"/>
        </w:rPr>
        <w:t>number of its properties under operating leases.</w:t>
      </w:r>
      <w:r w:rsidR="00D95903" w:rsidRPr="00066E64">
        <w:rPr>
          <w:b w:val="0"/>
          <w:bCs/>
          <w:sz w:val="23"/>
        </w:rPr>
        <w:t xml:space="preserve"> </w:t>
      </w:r>
      <w:r w:rsidRPr="00066E64">
        <w:rPr>
          <w:b w:val="0"/>
          <w:bCs/>
          <w:sz w:val="23"/>
        </w:rPr>
        <w:t>The income gained under these arrangements in 20</w:t>
      </w:r>
      <w:r w:rsidR="000E4FE9" w:rsidRPr="00066E64">
        <w:rPr>
          <w:b w:val="0"/>
          <w:bCs/>
          <w:sz w:val="23"/>
        </w:rPr>
        <w:t>2</w:t>
      </w:r>
      <w:r w:rsidR="00394900">
        <w:rPr>
          <w:b w:val="0"/>
          <w:bCs/>
          <w:sz w:val="23"/>
        </w:rPr>
        <w:t>3</w:t>
      </w:r>
      <w:r w:rsidR="005F6390" w:rsidRPr="00066E64">
        <w:rPr>
          <w:b w:val="0"/>
          <w:bCs/>
          <w:sz w:val="23"/>
        </w:rPr>
        <w:t>/</w:t>
      </w:r>
      <w:r w:rsidR="002C6D08" w:rsidRPr="00066E64">
        <w:rPr>
          <w:b w:val="0"/>
          <w:bCs/>
          <w:sz w:val="23"/>
        </w:rPr>
        <w:t>2</w:t>
      </w:r>
      <w:r w:rsidR="00394900">
        <w:rPr>
          <w:b w:val="0"/>
          <w:bCs/>
          <w:sz w:val="23"/>
        </w:rPr>
        <w:t>4</w:t>
      </w:r>
      <w:r w:rsidRPr="00066E64">
        <w:rPr>
          <w:b w:val="0"/>
          <w:bCs/>
          <w:sz w:val="23"/>
        </w:rPr>
        <w:t xml:space="preserve"> was £</w:t>
      </w:r>
      <w:r w:rsidR="00F07203" w:rsidRPr="00066E64">
        <w:rPr>
          <w:b w:val="0"/>
          <w:bCs/>
          <w:sz w:val="23"/>
        </w:rPr>
        <w:t>4</w:t>
      </w:r>
      <w:r w:rsidR="00066E64" w:rsidRPr="00066E64">
        <w:rPr>
          <w:b w:val="0"/>
          <w:bCs/>
          <w:sz w:val="23"/>
        </w:rPr>
        <w:t>65k</w:t>
      </w:r>
      <w:r w:rsidRPr="00066E64">
        <w:rPr>
          <w:b w:val="0"/>
          <w:bCs/>
          <w:sz w:val="23"/>
        </w:rPr>
        <w:t xml:space="preserve"> (20</w:t>
      </w:r>
      <w:r w:rsidR="00F07203" w:rsidRPr="00066E64">
        <w:rPr>
          <w:b w:val="0"/>
          <w:bCs/>
          <w:sz w:val="23"/>
        </w:rPr>
        <w:t>2</w:t>
      </w:r>
      <w:r w:rsidR="00394900">
        <w:rPr>
          <w:b w:val="0"/>
          <w:bCs/>
          <w:sz w:val="23"/>
        </w:rPr>
        <w:t>2</w:t>
      </w:r>
      <w:r w:rsidR="005F6390" w:rsidRPr="00066E64">
        <w:rPr>
          <w:b w:val="0"/>
          <w:bCs/>
          <w:sz w:val="23"/>
        </w:rPr>
        <w:t>/</w:t>
      </w:r>
      <w:r w:rsidR="000E4FE9" w:rsidRPr="00066E64">
        <w:rPr>
          <w:b w:val="0"/>
          <w:bCs/>
          <w:sz w:val="23"/>
        </w:rPr>
        <w:t>2</w:t>
      </w:r>
      <w:r w:rsidR="00394900">
        <w:rPr>
          <w:b w:val="0"/>
          <w:bCs/>
          <w:sz w:val="23"/>
        </w:rPr>
        <w:t>3</w:t>
      </w:r>
      <w:r w:rsidR="00BD20C9" w:rsidRPr="00066E64">
        <w:rPr>
          <w:b w:val="0"/>
          <w:bCs/>
          <w:sz w:val="23"/>
        </w:rPr>
        <w:t xml:space="preserve"> £</w:t>
      </w:r>
      <w:r w:rsidR="00066E64" w:rsidRPr="00066E64">
        <w:rPr>
          <w:b w:val="0"/>
          <w:bCs/>
          <w:sz w:val="23"/>
        </w:rPr>
        <w:t>4</w:t>
      </w:r>
      <w:r w:rsidR="00394900">
        <w:rPr>
          <w:b w:val="0"/>
          <w:bCs/>
          <w:sz w:val="23"/>
        </w:rPr>
        <w:t>65</w:t>
      </w:r>
      <w:r w:rsidR="00066E64" w:rsidRPr="00066E64">
        <w:rPr>
          <w:b w:val="0"/>
          <w:bCs/>
          <w:sz w:val="23"/>
        </w:rPr>
        <w:t>k</w:t>
      </w:r>
      <w:r w:rsidRPr="00066E64">
        <w:rPr>
          <w:b w:val="0"/>
          <w:bCs/>
          <w:sz w:val="23"/>
        </w:rPr>
        <w:t xml:space="preserve">). </w:t>
      </w:r>
      <w:r w:rsidR="0067539D" w:rsidRPr="00066E64">
        <w:rPr>
          <w:b w:val="0"/>
          <w:bCs/>
          <w:sz w:val="23"/>
        </w:rPr>
        <w:t xml:space="preserve">The </w:t>
      </w:r>
      <w:r w:rsidR="00923C34" w:rsidRPr="00066E64">
        <w:rPr>
          <w:b w:val="0"/>
          <w:bCs/>
          <w:sz w:val="23"/>
        </w:rPr>
        <w:t xml:space="preserve">total value of properties where part or all of the property is leased out </w:t>
      </w:r>
      <w:r w:rsidR="0067539D" w:rsidRPr="00066E64">
        <w:rPr>
          <w:b w:val="0"/>
          <w:bCs/>
          <w:sz w:val="23"/>
        </w:rPr>
        <w:t>under operating leases is as follows:</w:t>
      </w:r>
    </w:p>
    <w:p w14:paraId="097ABF6D" w14:textId="77777777" w:rsidR="00A71573" w:rsidRPr="004D5CA8" w:rsidRDefault="00A71573" w:rsidP="0070459C">
      <w:pPr>
        <w:pStyle w:val="HEADING"/>
        <w:rPr>
          <w:b w:val="0"/>
          <w:bCs/>
          <w:sz w:val="23"/>
          <w:highlight w:val="yellow"/>
        </w:rPr>
      </w:pPr>
    </w:p>
    <w:tbl>
      <w:tblPr>
        <w:tblW w:w="7077" w:type="dxa"/>
        <w:jc w:val="center"/>
        <w:tblLook w:val="04A0" w:firstRow="1" w:lastRow="0" w:firstColumn="1" w:lastColumn="0" w:noHBand="0" w:noVBand="1"/>
      </w:tblPr>
      <w:tblGrid>
        <w:gridCol w:w="4248"/>
        <w:gridCol w:w="1401"/>
        <w:gridCol w:w="1428"/>
      </w:tblGrid>
      <w:tr w:rsidR="00066E64" w:rsidRPr="00066E64" w14:paraId="3D4C7F84" w14:textId="77777777" w:rsidTr="00066E64">
        <w:trPr>
          <w:trHeight w:val="290"/>
          <w:jc w:val="center"/>
        </w:trPr>
        <w:tc>
          <w:tcPr>
            <w:tcW w:w="4248" w:type="dxa"/>
            <w:tcBorders>
              <w:top w:val="single" w:sz="4" w:space="0" w:color="auto"/>
              <w:left w:val="single" w:sz="4" w:space="0" w:color="auto"/>
              <w:bottom w:val="nil"/>
              <w:right w:val="nil"/>
            </w:tcBorders>
            <w:shd w:val="clear" w:color="000000" w:fill="000000"/>
            <w:noWrap/>
            <w:vAlign w:val="bottom"/>
            <w:hideMark/>
          </w:tcPr>
          <w:p w14:paraId="3868EB3B" w14:textId="77777777" w:rsidR="00066E64" w:rsidRPr="00066E64" w:rsidRDefault="00066E64" w:rsidP="0070459C">
            <w:pPr>
              <w:rPr>
                <w:rFonts w:ascii="Calibri" w:hAnsi="Calibri" w:cs="Calibri"/>
                <w:color w:val="FFFFFF"/>
                <w:sz w:val="22"/>
                <w:szCs w:val="22"/>
                <w:lang w:eastAsia="en-GB"/>
              </w:rPr>
            </w:pPr>
            <w:r w:rsidRPr="00066E64">
              <w:rPr>
                <w:rFonts w:ascii="Calibri" w:hAnsi="Calibri" w:cs="Calibri"/>
                <w:color w:val="FFFFFF"/>
                <w:sz w:val="22"/>
                <w:szCs w:val="22"/>
                <w:lang w:eastAsia="en-GB"/>
              </w:rPr>
              <w:t> </w:t>
            </w:r>
          </w:p>
        </w:tc>
        <w:tc>
          <w:tcPr>
            <w:tcW w:w="2829" w:type="dxa"/>
            <w:gridSpan w:val="2"/>
            <w:tcBorders>
              <w:top w:val="single" w:sz="4" w:space="0" w:color="auto"/>
              <w:left w:val="nil"/>
              <w:bottom w:val="nil"/>
              <w:right w:val="single" w:sz="4" w:space="0" w:color="000000"/>
            </w:tcBorders>
            <w:shd w:val="clear" w:color="000000" w:fill="000000"/>
            <w:noWrap/>
            <w:vAlign w:val="bottom"/>
            <w:hideMark/>
          </w:tcPr>
          <w:p w14:paraId="2C150423" w14:textId="77777777" w:rsidR="00066E64" w:rsidRPr="00066E64" w:rsidRDefault="00066E64" w:rsidP="0070459C">
            <w:pPr>
              <w:jc w:val="center"/>
              <w:rPr>
                <w:rFonts w:cs="Arial"/>
                <w:b/>
                <w:bCs/>
                <w:color w:val="FFFFFF"/>
                <w:sz w:val="20"/>
                <w:szCs w:val="20"/>
                <w:lang w:eastAsia="en-GB"/>
              </w:rPr>
            </w:pPr>
          </w:p>
        </w:tc>
      </w:tr>
      <w:tr w:rsidR="00066E64" w:rsidRPr="00394900" w14:paraId="602B873C" w14:textId="77777777" w:rsidTr="00066E64">
        <w:trPr>
          <w:trHeight w:val="290"/>
          <w:jc w:val="center"/>
        </w:trPr>
        <w:tc>
          <w:tcPr>
            <w:tcW w:w="4248" w:type="dxa"/>
            <w:tcBorders>
              <w:top w:val="nil"/>
              <w:left w:val="single" w:sz="4" w:space="0" w:color="auto"/>
              <w:bottom w:val="nil"/>
              <w:right w:val="nil"/>
            </w:tcBorders>
            <w:shd w:val="clear" w:color="000000" w:fill="000000"/>
            <w:noWrap/>
            <w:vAlign w:val="bottom"/>
            <w:hideMark/>
          </w:tcPr>
          <w:p w14:paraId="3AC4CBC3" w14:textId="77777777" w:rsidR="00066E64" w:rsidRPr="00066E64" w:rsidRDefault="00066E64" w:rsidP="0070459C">
            <w:pPr>
              <w:rPr>
                <w:rFonts w:ascii="Calibri" w:hAnsi="Calibri" w:cs="Calibri"/>
                <w:color w:val="FFFFFF"/>
                <w:sz w:val="22"/>
                <w:szCs w:val="22"/>
                <w:lang w:eastAsia="en-GB"/>
              </w:rPr>
            </w:pPr>
            <w:r w:rsidRPr="00066E64">
              <w:rPr>
                <w:rFonts w:ascii="Calibri" w:hAnsi="Calibri" w:cs="Calibri"/>
                <w:color w:val="FFFFFF"/>
                <w:sz w:val="22"/>
                <w:szCs w:val="22"/>
                <w:lang w:eastAsia="en-GB"/>
              </w:rPr>
              <w:t> </w:t>
            </w:r>
          </w:p>
        </w:tc>
        <w:tc>
          <w:tcPr>
            <w:tcW w:w="1401" w:type="dxa"/>
            <w:tcBorders>
              <w:top w:val="nil"/>
              <w:left w:val="nil"/>
              <w:bottom w:val="nil"/>
              <w:right w:val="nil"/>
            </w:tcBorders>
            <w:shd w:val="clear" w:color="000000" w:fill="000000"/>
            <w:noWrap/>
            <w:vAlign w:val="bottom"/>
            <w:hideMark/>
          </w:tcPr>
          <w:p w14:paraId="2AC9C564" w14:textId="1B837ABC" w:rsidR="00066E64" w:rsidRPr="00DB1C23" w:rsidRDefault="00834570" w:rsidP="0070459C">
            <w:pPr>
              <w:jc w:val="right"/>
              <w:rPr>
                <w:rFonts w:cs="Arial"/>
                <w:b/>
                <w:bCs/>
                <w:color w:val="FFFFFF"/>
                <w:sz w:val="20"/>
                <w:szCs w:val="20"/>
                <w:lang w:eastAsia="en-GB"/>
              </w:rPr>
            </w:pPr>
            <w:r>
              <w:rPr>
                <w:rFonts w:cs="Arial"/>
                <w:b/>
                <w:bCs/>
                <w:color w:val="FFFFFF"/>
                <w:sz w:val="20"/>
                <w:szCs w:val="20"/>
                <w:lang w:eastAsia="en-GB"/>
              </w:rPr>
              <w:t>Gross</w:t>
            </w:r>
          </w:p>
          <w:p w14:paraId="19A66718" w14:textId="77777777" w:rsidR="00066E64" w:rsidRPr="00DB1C23" w:rsidRDefault="00066E64" w:rsidP="0070459C">
            <w:pPr>
              <w:jc w:val="right"/>
              <w:rPr>
                <w:rFonts w:cs="Arial"/>
                <w:b/>
                <w:bCs/>
                <w:color w:val="FFFFFF"/>
                <w:sz w:val="20"/>
                <w:szCs w:val="20"/>
                <w:lang w:eastAsia="en-GB"/>
              </w:rPr>
            </w:pPr>
            <w:r w:rsidRPr="00DB1C23">
              <w:rPr>
                <w:rFonts w:cs="Arial"/>
                <w:b/>
                <w:bCs/>
                <w:color w:val="FFFFFF"/>
                <w:sz w:val="20"/>
                <w:szCs w:val="20"/>
                <w:lang w:eastAsia="en-GB"/>
              </w:rPr>
              <w:t>£000</w:t>
            </w:r>
          </w:p>
        </w:tc>
        <w:tc>
          <w:tcPr>
            <w:tcW w:w="1428" w:type="dxa"/>
            <w:tcBorders>
              <w:top w:val="nil"/>
              <w:left w:val="nil"/>
              <w:bottom w:val="nil"/>
              <w:right w:val="single" w:sz="4" w:space="0" w:color="auto"/>
            </w:tcBorders>
            <w:shd w:val="clear" w:color="000000" w:fill="000000"/>
            <w:noWrap/>
            <w:vAlign w:val="bottom"/>
          </w:tcPr>
          <w:p w14:paraId="1FCDCE6D" w14:textId="1E08475B" w:rsidR="00066E64" w:rsidRPr="00DB1C23" w:rsidRDefault="00066E64" w:rsidP="00DB1C23">
            <w:pPr>
              <w:jc w:val="center"/>
              <w:rPr>
                <w:rFonts w:cs="Arial"/>
                <w:b/>
                <w:bCs/>
                <w:color w:val="FFFFFF"/>
                <w:sz w:val="20"/>
                <w:szCs w:val="20"/>
                <w:lang w:eastAsia="en-GB"/>
              </w:rPr>
            </w:pPr>
            <w:r w:rsidRPr="00DB1C23">
              <w:rPr>
                <w:rFonts w:cs="Arial"/>
                <w:b/>
                <w:bCs/>
                <w:color w:val="FFFFFF"/>
                <w:sz w:val="20"/>
                <w:szCs w:val="20"/>
                <w:lang w:eastAsia="en-GB"/>
              </w:rPr>
              <w:t>Depreciation</w:t>
            </w:r>
            <w:r w:rsidR="00DB1C23">
              <w:rPr>
                <w:rFonts w:cs="Arial"/>
                <w:b/>
                <w:bCs/>
                <w:color w:val="FFFFFF"/>
                <w:sz w:val="20"/>
                <w:szCs w:val="20"/>
                <w:lang w:eastAsia="en-GB"/>
              </w:rPr>
              <w:t xml:space="preserve"> </w:t>
            </w:r>
          </w:p>
          <w:p w14:paraId="3574E2BF" w14:textId="77777777" w:rsidR="00066E64" w:rsidRPr="00DB1C23" w:rsidRDefault="00066E64" w:rsidP="0070459C">
            <w:pPr>
              <w:jc w:val="right"/>
              <w:rPr>
                <w:rFonts w:cs="Arial"/>
                <w:b/>
                <w:bCs/>
                <w:color w:val="FFFFFF"/>
                <w:sz w:val="20"/>
                <w:szCs w:val="20"/>
                <w:lang w:eastAsia="en-GB"/>
              </w:rPr>
            </w:pPr>
            <w:r w:rsidRPr="00DB1C23">
              <w:rPr>
                <w:rFonts w:cs="Arial"/>
                <w:b/>
                <w:bCs/>
                <w:color w:val="FFFFFF"/>
                <w:sz w:val="20"/>
                <w:szCs w:val="20"/>
                <w:lang w:eastAsia="en-GB"/>
              </w:rPr>
              <w:t>£000</w:t>
            </w:r>
          </w:p>
        </w:tc>
      </w:tr>
      <w:tr w:rsidR="00066E64" w:rsidRPr="00394900" w14:paraId="7BDD4782" w14:textId="77777777" w:rsidTr="00066E64">
        <w:trPr>
          <w:trHeight w:val="310"/>
          <w:jc w:val="center"/>
        </w:trPr>
        <w:tc>
          <w:tcPr>
            <w:tcW w:w="4248" w:type="dxa"/>
            <w:tcBorders>
              <w:top w:val="nil"/>
              <w:left w:val="single" w:sz="4" w:space="0" w:color="auto"/>
              <w:bottom w:val="nil"/>
              <w:right w:val="nil"/>
            </w:tcBorders>
            <w:shd w:val="clear" w:color="auto" w:fill="auto"/>
            <w:noWrap/>
            <w:vAlign w:val="bottom"/>
            <w:hideMark/>
          </w:tcPr>
          <w:p w14:paraId="00EFFE70" w14:textId="46D61345" w:rsidR="00066E64" w:rsidRPr="00834570" w:rsidRDefault="00066E64" w:rsidP="0070459C">
            <w:pPr>
              <w:rPr>
                <w:rFonts w:cs="Arial"/>
                <w:sz w:val="20"/>
                <w:szCs w:val="20"/>
                <w:lang w:eastAsia="en-GB"/>
              </w:rPr>
            </w:pPr>
            <w:r w:rsidRPr="00834570">
              <w:rPr>
                <w:rFonts w:cs="Arial"/>
                <w:sz w:val="20"/>
                <w:szCs w:val="20"/>
                <w:lang w:eastAsia="en-GB"/>
              </w:rPr>
              <w:t>Property, Plant and Equipment</w:t>
            </w:r>
          </w:p>
        </w:tc>
        <w:tc>
          <w:tcPr>
            <w:tcW w:w="1401" w:type="dxa"/>
            <w:tcBorders>
              <w:top w:val="nil"/>
              <w:left w:val="nil"/>
              <w:bottom w:val="nil"/>
              <w:right w:val="nil"/>
            </w:tcBorders>
            <w:shd w:val="clear" w:color="auto" w:fill="auto"/>
            <w:noWrap/>
            <w:vAlign w:val="bottom"/>
            <w:hideMark/>
          </w:tcPr>
          <w:p w14:paraId="1200C8E9" w14:textId="501BD27B" w:rsidR="00066E64" w:rsidRPr="00834570" w:rsidRDefault="00066E64" w:rsidP="0070459C">
            <w:pPr>
              <w:jc w:val="right"/>
              <w:rPr>
                <w:rFonts w:cs="Arial"/>
                <w:sz w:val="20"/>
                <w:szCs w:val="20"/>
                <w:lang w:eastAsia="en-GB"/>
              </w:rPr>
            </w:pPr>
            <w:r w:rsidRPr="00834570">
              <w:rPr>
                <w:rFonts w:cs="Arial"/>
                <w:sz w:val="20"/>
                <w:szCs w:val="20"/>
                <w:lang w:eastAsia="en-GB"/>
              </w:rPr>
              <w:t xml:space="preserve">               </w:t>
            </w:r>
            <w:r w:rsidR="00834570" w:rsidRPr="00834570">
              <w:rPr>
                <w:rFonts w:cs="Arial"/>
                <w:sz w:val="20"/>
                <w:szCs w:val="20"/>
                <w:lang w:eastAsia="en-GB"/>
              </w:rPr>
              <w:t>9,045</w:t>
            </w:r>
            <w:r w:rsidRPr="00834570">
              <w:rPr>
                <w:rFonts w:cs="Arial"/>
                <w:sz w:val="20"/>
                <w:szCs w:val="20"/>
                <w:lang w:eastAsia="en-GB"/>
              </w:rPr>
              <w:t xml:space="preserve"> </w:t>
            </w:r>
          </w:p>
        </w:tc>
        <w:tc>
          <w:tcPr>
            <w:tcW w:w="1428" w:type="dxa"/>
            <w:tcBorders>
              <w:top w:val="nil"/>
              <w:left w:val="nil"/>
              <w:bottom w:val="nil"/>
              <w:right w:val="single" w:sz="4" w:space="0" w:color="auto"/>
            </w:tcBorders>
            <w:shd w:val="clear" w:color="auto" w:fill="auto"/>
            <w:noWrap/>
            <w:vAlign w:val="bottom"/>
          </w:tcPr>
          <w:p w14:paraId="43284B4B" w14:textId="43D50E1D" w:rsidR="00066E64" w:rsidRPr="00834570" w:rsidRDefault="00066E64" w:rsidP="0070459C">
            <w:pPr>
              <w:jc w:val="right"/>
              <w:rPr>
                <w:rFonts w:cs="Arial"/>
                <w:sz w:val="20"/>
                <w:szCs w:val="20"/>
                <w:lang w:eastAsia="en-GB"/>
              </w:rPr>
            </w:pPr>
            <w:r w:rsidRPr="00834570">
              <w:rPr>
                <w:rFonts w:cs="Arial"/>
                <w:sz w:val="20"/>
                <w:szCs w:val="20"/>
                <w:lang w:eastAsia="en-GB"/>
              </w:rPr>
              <w:t>(</w:t>
            </w:r>
            <w:r w:rsidR="00834570" w:rsidRPr="00834570">
              <w:rPr>
                <w:rFonts w:cs="Arial"/>
                <w:sz w:val="20"/>
                <w:szCs w:val="20"/>
                <w:lang w:eastAsia="en-GB"/>
              </w:rPr>
              <w:t>57</w:t>
            </w:r>
            <w:r w:rsidRPr="00834570">
              <w:rPr>
                <w:rFonts w:cs="Arial"/>
                <w:sz w:val="20"/>
                <w:szCs w:val="20"/>
                <w:lang w:eastAsia="en-GB"/>
              </w:rPr>
              <w:t>)</w:t>
            </w:r>
          </w:p>
        </w:tc>
      </w:tr>
      <w:tr w:rsidR="00066E64" w:rsidRPr="00394900" w14:paraId="406CAB25" w14:textId="77777777" w:rsidTr="00066E64">
        <w:trPr>
          <w:trHeight w:val="310"/>
          <w:jc w:val="center"/>
        </w:trPr>
        <w:tc>
          <w:tcPr>
            <w:tcW w:w="4248" w:type="dxa"/>
            <w:tcBorders>
              <w:top w:val="nil"/>
              <w:left w:val="single" w:sz="4" w:space="0" w:color="auto"/>
              <w:bottom w:val="nil"/>
              <w:right w:val="nil"/>
            </w:tcBorders>
            <w:shd w:val="clear" w:color="auto" w:fill="auto"/>
            <w:noWrap/>
            <w:vAlign w:val="bottom"/>
            <w:hideMark/>
          </w:tcPr>
          <w:p w14:paraId="730D44DA" w14:textId="27140A26" w:rsidR="00066E64" w:rsidRPr="00834570" w:rsidRDefault="00066E64" w:rsidP="0070459C">
            <w:pPr>
              <w:rPr>
                <w:rFonts w:cs="Arial"/>
                <w:sz w:val="20"/>
                <w:szCs w:val="20"/>
                <w:lang w:eastAsia="en-GB"/>
              </w:rPr>
            </w:pPr>
            <w:r w:rsidRPr="00834570">
              <w:rPr>
                <w:rFonts w:cs="Arial"/>
                <w:sz w:val="20"/>
                <w:szCs w:val="20"/>
                <w:lang w:eastAsia="en-GB"/>
              </w:rPr>
              <w:t>Investment Property</w:t>
            </w:r>
          </w:p>
        </w:tc>
        <w:tc>
          <w:tcPr>
            <w:tcW w:w="1401" w:type="dxa"/>
            <w:tcBorders>
              <w:top w:val="nil"/>
              <w:left w:val="nil"/>
              <w:bottom w:val="nil"/>
              <w:right w:val="nil"/>
            </w:tcBorders>
            <w:shd w:val="clear" w:color="auto" w:fill="auto"/>
            <w:noWrap/>
            <w:vAlign w:val="bottom"/>
            <w:hideMark/>
          </w:tcPr>
          <w:p w14:paraId="5F175E7F" w14:textId="58FED280" w:rsidR="00066E64" w:rsidRPr="00834570" w:rsidRDefault="00066E64" w:rsidP="0070459C">
            <w:pPr>
              <w:jc w:val="right"/>
              <w:rPr>
                <w:rFonts w:cs="Arial"/>
                <w:sz w:val="20"/>
                <w:szCs w:val="20"/>
                <w:lang w:eastAsia="en-GB"/>
              </w:rPr>
            </w:pPr>
            <w:r w:rsidRPr="00834570">
              <w:rPr>
                <w:rFonts w:cs="Arial"/>
                <w:sz w:val="20"/>
                <w:szCs w:val="20"/>
                <w:lang w:eastAsia="en-GB"/>
              </w:rPr>
              <w:t>9</w:t>
            </w:r>
            <w:r w:rsidR="00DB1C23" w:rsidRPr="00834570">
              <w:rPr>
                <w:rFonts w:cs="Arial"/>
                <w:sz w:val="20"/>
                <w:szCs w:val="20"/>
                <w:lang w:eastAsia="en-GB"/>
              </w:rPr>
              <w:t>05</w:t>
            </w:r>
            <w:r w:rsidRPr="00834570">
              <w:rPr>
                <w:rFonts w:cs="Arial"/>
                <w:sz w:val="20"/>
                <w:szCs w:val="20"/>
                <w:lang w:eastAsia="en-GB"/>
              </w:rPr>
              <w:t xml:space="preserve"> </w:t>
            </w:r>
          </w:p>
        </w:tc>
        <w:tc>
          <w:tcPr>
            <w:tcW w:w="1428" w:type="dxa"/>
            <w:tcBorders>
              <w:top w:val="nil"/>
              <w:left w:val="nil"/>
              <w:bottom w:val="nil"/>
              <w:right w:val="single" w:sz="4" w:space="0" w:color="auto"/>
            </w:tcBorders>
            <w:shd w:val="clear" w:color="auto" w:fill="auto"/>
            <w:noWrap/>
            <w:vAlign w:val="bottom"/>
          </w:tcPr>
          <w:p w14:paraId="1E911F5B" w14:textId="57451EDD" w:rsidR="00066E64" w:rsidRPr="00834570" w:rsidRDefault="00834570" w:rsidP="0070459C">
            <w:pPr>
              <w:jc w:val="right"/>
              <w:rPr>
                <w:rFonts w:cs="Arial"/>
                <w:sz w:val="20"/>
                <w:szCs w:val="20"/>
                <w:lang w:eastAsia="en-GB"/>
              </w:rPr>
            </w:pPr>
            <w:r w:rsidRPr="00834570">
              <w:rPr>
                <w:rFonts w:cs="Arial"/>
                <w:sz w:val="20"/>
                <w:szCs w:val="20"/>
                <w:lang w:eastAsia="en-GB"/>
              </w:rPr>
              <w:t>0</w:t>
            </w:r>
          </w:p>
        </w:tc>
      </w:tr>
      <w:tr w:rsidR="00066E64" w:rsidRPr="00066E64" w14:paraId="6F637E7A" w14:textId="77777777" w:rsidTr="00066E64">
        <w:trPr>
          <w:trHeight w:val="290"/>
          <w:jc w:val="center"/>
        </w:trPr>
        <w:tc>
          <w:tcPr>
            <w:tcW w:w="4248" w:type="dxa"/>
            <w:tcBorders>
              <w:top w:val="nil"/>
              <w:left w:val="single" w:sz="4" w:space="0" w:color="auto"/>
              <w:bottom w:val="single" w:sz="4" w:space="0" w:color="auto"/>
              <w:right w:val="nil"/>
            </w:tcBorders>
            <w:shd w:val="clear" w:color="auto" w:fill="auto"/>
            <w:noWrap/>
            <w:vAlign w:val="bottom"/>
            <w:hideMark/>
          </w:tcPr>
          <w:p w14:paraId="5CA42000" w14:textId="77777777" w:rsidR="00066E64" w:rsidRPr="00834570" w:rsidRDefault="00066E64" w:rsidP="0070459C">
            <w:pPr>
              <w:rPr>
                <w:rFonts w:ascii="Calibri" w:hAnsi="Calibri" w:cs="Calibri"/>
                <w:color w:val="000000"/>
                <w:sz w:val="22"/>
                <w:szCs w:val="22"/>
                <w:lang w:eastAsia="en-GB"/>
              </w:rPr>
            </w:pPr>
            <w:r w:rsidRPr="00834570">
              <w:rPr>
                <w:rFonts w:ascii="Calibri" w:hAnsi="Calibri" w:cs="Calibri"/>
                <w:color w:val="000000"/>
                <w:sz w:val="22"/>
                <w:szCs w:val="22"/>
                <w:lang w:eastAsia="en-GB"/>
              </w:rPr>
              <w:t> </w:t>
            </w:r>
          </w:p>
        </w:tc>
        <w:tc>
          <w:tcPr>
            <w:tcW w:w="1401" w:type="dxa"/>
            <w:tcBorders>
              <w:top w:val="single" w:sz="4" w:space="0" w:color="auto"/>
              <w:left w:val="nil"/>
              <w:bottom w:val="single" w:sz="4" w:space="0" w:color="auto"/>
              <w:right w:val="nil"/>
            </w:tcBorders>
            <w:shd w:val="clear" w:color="auto" w:fill="auto"/>
            <w:noWrap/>
            <w:vAlign w:val="bottom"/>
            <w:hideMark/>
          </w:tcPr>
          <w:p w14:paraId="1F6C7AAA" w14:textId="459F799E" w:rsidR="00066E64" w:rsidRPr="00834570" w:rsidRDefault="00066E64" w:rsidP="0070459C">
            <w:pPr>
              <w:jc w:val="right"/>
              <w:rPr>
                <w:rFonts w:cs="Arial"/>
                <w:b/>
                <w:bCs/>
                <w:sz w:val="20"/>
                <w:szCs w:val="20"/>
                <w:lang w:eastAsia="en-GB"/>
              </w:rPr>
            </w:pPr>
            <w:r w:rsidRPr="00834570">
              <w:rPr>
                <w:rFonts w:cs="Arial"/>
                <w:b/>
                <w:bCs/>
                <w:sz w:val="20"/>
                <w:szCs w:val="20"/>
                <w:lang w:eastAsia="en-GB"/>
              </w:rPr>
              <w:t>9,</w:t>
            </w:r>
            <w:r w:rsidR="00834570" w:rsidRPr="00834570">
              <w:rPr>
                <w:rFonts w:cs="Arial"/>
                <w:b/>
                <w:bCs/>
                <w:sz w:val="20"/>
                <w:szCs w:val="20"/>
                <w:lang w:eastAsia="en-GB"/>
              </w:rPr>
              <w:t>950</w:t>
            </w:r>
          </w:p>
        </w:tc>
        <w:tc>
          <w:tcPr>
            <w:tcW w:w="1428" w:type="dxa"/>
            <w:tcBorders>
              <w:top w:val="single" w:sz="4" w:space="0" w:color="auto"/>
              <w:left w:val="nil"/>
              <w:bottom w:val="single" w:sz="4" w:space="0" w:color="auto"/>
              <w:right w:val="single" w:sz="4" w:space="0" w:color="auto"/>
            </w:tcBorders>
            <w:shd w:val="clear" w:color="auto" w:fill="auto"/>
            <w:noWrap/>
            <w:vAlign w:val="bottom"/>
          </w:tcPr>
          <w:p w14:paraId="1FAA9D5B" w14:textId="629AE680" w:rsidR="00066E64" w:rsidRPr="00834570" w:rsidRDefault="00066E64" w:rsidP="0070459C">
            <w:pPr>
              <w:jc w:val="right"/>
              <w:rPr>
                <w:rFonts w:cs="Arial"/>
                <w:b/>
                <w:bCs/>
                <w:sz w:val="20"/>
                <w:szCs w:val="20"/>
                <w:lang w:eastAsia="en-GB"/>
              </w:rPr>
            </w:pPr>
            <w:r w:rsidRPr="00834570">
              <w:rPr>
                <w:rFonts w:cs="Arial"/>
                <w:b/>
                <w:bCs/>
                <w:sz w:val="20"/>
                <w:szCs w:val="20"/>
                <w:lang w:eastAsia="en-GB"/>
              </w:rPr>
              <w:t>(</w:t>
            </w:r>
            <w:r w:rsidR="00834570" w:rsidRPr="00834570">
              <w:rPr>
                <w:rFonts w:cs="Arial"/>
                <w:b/>
                <w:bCs/>
                <w:sz w:val="20"/>
                <w:szCs w:val="20"/>
                <w:lang w:eastAsia="en-GB"/>
              </w:rPr>
              <w:t>57</w:t>
            </w:r>
            <w:r w:rsidRPr="00834570">
              <w:rPr>
                <w:rFonts w:cs="Arial"/>
                <w:b/>
                <w:bCs/>
                <w:sz w:val="20"/>
                <w:szCs w:val="20"/>
                <w:lang w:eastAsia="en-GB"/>
              </w:rPr>
              <w:t>)</w:t>
            </w:r>
          </w:p>
        </w:tc>
      </w:tr>
    </w:tbl>
    <w:p w14:paraId="485A4859" w14:textId="412130C8" w:rsidR="0067539D" w:rsidRPr="004D5CA8" w:rsidRDefault="0067539D" w:rsidP="0070459C">
      <w:pPr>
        <w:pStyle w:val="HEADING"/>
        <w:rPr>
          <w:highlight w:val="yellow"/>
        </w:rPr>
      </w:pPr>
    </w:p>
    <w:p w14:paraId="485A485C" w14:textId="77777777" w:rsidR="00E36A28" w:rsidRDefault="00E36A28" w:rsidP="0070459C">
      <w:pPr>
        <w:pStyle w:val="HEADING"/>
        <w:rPr>
          <w:b w:val="0"/>
          <w:bCs/>
          <w:sz w:val="23"/>
        </w:rPr>
      </w:pPr>
      <w:bookmarkStart w:id="344" w:name="_MON_1401519972"/>
      <w:bookmarkStart w:id="345" w:name="_MON_1401520230"/>
      <w:bookmarkStart w:id="346" w:name="_MON_1401539270"/>
      <w:bookmarkStart w:id="347" w:name="_MON_1401539310"/>
      <w:bookmarkStart w:id="348" w:name="_MON_1402138338"/>
      <w:bookmarkStart w:id="349" w:name="_MON_1402138359"/>
      <w:bookmarkEnd w:id="344"/>
      <w:bookmarkEnd w:id="345"/>
      <w:bookmarkEnd w:id="346"/>
      <w:bookmarkEnd w:id="347"/>
      <w:bookmarkEnd w:id="348"/>
      <w:bookmarkEnd w:id="349"/>
      <w:r w:rsidRPr="00066E64">
        <w:rPr>
          <w:b w:val="0"/>
          <w:bCs/>
          <w:sz w:val="23"/>
        </w:rPr>
        <w:t>The comparative value of properties where part or all of the property is leased out under operating leases is as follows:</w:t>
      </w:r>
    </w:p>
    <w:p w14:paraId="1436272C" w14:textId="77777777" w:rsidR="00AE5718" w:rsidRPr="00066E64" w:rsidRDefault="00AE5718" w:rsidP="0070459C">
      <w:pPr>
        <w:pStyle w:val="HEADING"/>
        <w:rPr>
          <w:b w:val="0"/>
          <w:bCs/>
          <w:sz w:val="23"/>
        </w:rPr>
      </w:pPr>
    </w:p>
    <w:tbl>
      <w:tblPr>
        <w:tblW w:w="7077" w:type="dxa"/>
        <w:jc w:val="center"/>
        <w:tblLook w:val="04A0" w:firstRow="1" w:lastRow="0" w:firstColumn="1" w:lastColumn="0" w:noHBand="0" w:noVBand="1"/>
      </w:tblPr>
      <w:tblGrid>
        <w:gridCol w:w="4248"/>
        <w:gridCol w:w="1401"/>
        <w:gridCol w:w="1428"/>
      </w:tblGrid>
      <w:tr w:rsidR="00394900" w:rsidRPr="00066E64" w14:paraId="1CFB77CE" w14:textId="77777777" w:rsidTr="00740887">
        <w:trPr>
          <w:trHeight w:val="290"/>
          <w:jc w:val="center"/>
        </w:trPr>
        <w:tc>
          <w:tcPr>
            <w:tcW w:w="4248" w:type="dxa"/>
            <w:tcBorders>
              <w:top w:val="single" w:sz="4" w:space="0" w:color="auto"/>
              <w:left w:val="single" w:sz="4" w:space="0" w:color="auto"/>
              <w:bottom w:val="nil"/>
              <w:right w:val="nil"/>
            </w:tcBorders>
            <w:shd w:val="clear" w:color="000000" w:fill="000000"/>
            <w:noWrap/>
            <w:vAlign w:val="bottom"/>
            <w:hideMark/>
          </w:tcPr>
          <w:p w14:paraId="0908AB0A" w14:textId="77777777" w:rsidR="00394900" w:rsidRPr="00066E64" w:rsidRDefault="00394900" w:rsidP="00740887">
            <w:pPr>
              <w:rPr>
                <w:rFonts w:ascii="Calibri" w:hAnsi="Calibri" w:cs="Calibri"/>
                <w:color w:val="FFFFFF"/>
                <w:sz w:val="22"/>
                <w:szCs w:val="22"/>
                <w:lang w:eastAsia="en-GB"/>
              </w:rPr>
            </w:pPr>
            <w:r w:rsidRPr="00066E64">
              <w:rPr>
                <w:rFonts w:ascii="Calibri" w:hAnsi="Calibri" w:cs="Calibri"/>
                <w:color w:val="FFFFFF"/>
                <w:sz w:val="22"/>
                <w:szCs w:val="22"/>
                <w:lang w:eastAsia="en-GB"/>
              </w:rPr>
              <w:t> </w:t>
            </w:r>
          </w:p>
        </w:tc>
        <w:tc>
          <w:tcPr>
            <w:tcW w:w="2829" w:type="dxa"/>
            <w:gridSpan w:val="2"/>
            <w:tcBorders>
              <w:top w:val="single" w:sz="4" w:space="0" w:color="auto"/>
              <w:left w:val="nil"/>
              <w:bottom w:val="nil"/>
              <w:right w:val="single" w:sz="4" w:space="0" w:color="000000"/>
            </w:tcBorders>
            <w:shd w:val="clear" w:color="000000" w:fill="000000"/>
            <w:noWrap/>
            <w:vAlign w:val="bottom"/>
            <w:hideMark/>
          </w:tcPr>
          <w:p w14:paraId="2C964C57" w14:textId="77777777" w:rsidR="00394900" w:rsidRPr="00066E64" w:rsidRDefault="00394900" w:rsidP="00740887">
            <w:pPr>
              <w:jc w:val="center"/>
              <w:rPr>
                <w:rFonts w:cs="Arial"/>
                <w:b/>
                <w:bCs/>
                <w:color w:val="FFFFFF"/>
                <w:sz w:val="20"/>
                <w:szCs w:val="20"/>
                <w:lang w:eastAsia="en-GB"/>
              </w:rPr>
            </w:pPr>
          </w:p>
        </w:tc>
      </w:tr>
      <w:tr w:rsidR="00394900" w:rsidRPr="00066E64" w14:paraId="5F369A91" w14:textId="77777777" w:rsidTr="00740887">
        <w:trPr>
          <w:trHeight w:val="290"/>
          <w:jc w:val="center"/>
        </w:trPr>
        <w:tc>
          <w:tcPr>
            <w:tcW w:w="4248" w:type="dxa"/>
            <w:tcBorders>
              <w:top w:val="nil"/>
              <w:left w:val="single" w:sz="4" w:space="0" w:color="auto"/>
              <w:bottom w:val="nil"/>
              <w:right w:val="nil"/>
            </w:tcBorders>
            <w:shd w:val="clear" w:color="000000" w:fill="000000"/>
            <w:noWrap/>
            <w:vAlign w:val="bottom"/>
            <w:hideMark/>
          </w:tcPr>
          <w:p w14:paraId="762FD746" w14:textId="77777777" w:rsidR="00394900" w:rsidRPr="00066E64" w:rsidRDefault="00394900" w:rsidP="00740887">
            <w:pPr>
              <w:rPr>
                <w:rFonts w:ascii="Calibri" w:hAnsi="Calibri" w:cs="Calibri"/>
                <w:color w:val="FFFFFF"/>
                <w:sz w:val="22"/>
                <w:szCs w:val="22"/>
                <w:lang w:eastAsia="en-GB"/>
              </w:rPr>
            </w:pPr>
            <w:r w:rsidRPr="00066E64">
              <w:rPr>
                <w:rFonts w:ascii="Calibri" w:hAnsi="Calibri" w:cs="Calibri"/>
                <w:color w:val="FFFFFF"/>
                <w:sz w:val="22"/>
                <w:szCs w:val="22"/>
                <w:lang w:eastAsia="en-GB"/>
              </w:rPr>
              <w:t> </w:t>
            </w:r>
          </w:p>
        </w:tc>
        <w:tc>
          <w:tcPr>
            <w:tcW w:w="1401" w:type="dxa"/>
            <w:tcBorders>
              <w:top w:val="nil"/>
              <w:left w:val="nil"/>
              <w:bottom w:val="nil"/>
              <w:right w:val="nil"/>
            </w:tcBorders>
            <w:shd w:val="clear" w:color="000000" w:fill="000000"/>
            <w:noWrap/>
            <w:vAlign w:val="bottom"/>
            <w:hideMark/>
          </w:tcPr>
          <w:p w14:paraId="24629689" w14:textId="77777777" w:rsidR="00394900" w:rsidRDefault="00394900" w:rsidP="00740887">
            <w:pPr>
              <w:jc w:val="right"/>
              <w:rPr>
                <w:rFonts w:cs="Arial"/>
                <w:b/>
                <w:bCs/>
                <w:color w:val="FFFFFF"/>
                <w:sz w:val="20"/>
                <w:szCs w:val="20"/>
                <w:lang w:eastAsia="en-GB"/>
              </w:rPr>
            </w:pPr>
            <w:r>
              <w:rPr>
                <w:rFonts w:cs="Arial"/>
                <w:b/>
                <w:bCs/>
                <w:color w:val="FFFFFF"/>
                <w:sz w:val="20"/>
                <w:szCs w:val="20"/>
                <w:lang w:eastAsia="en-GB"/>
              </w:rPr>
              <w:t>Gross</w:t>
            </w:r>
          </w:p>
          <w:p w14:paraId="7535D437" w14:textId="77777777" w:rsidR="00394900" w:rsidRPr="00066E64" w:rsidRDefault="00394900" w:rsidP="00740887">
            <w:pPr>
              <w:jc w:val="right"/>
              <w:rPr>
                <w:rFonts w:cs="Arial"/>
                <w:b/>
                <w:bCs/>
                <w:color w:val="FFFFFF"/>
                <w:sz w:val="20"/>
                <w:szCs w:val="20"/>
                <w:lang w:eastAsia="en-GB"/>
              </w:rPr>
            </w:pPr>
            <w:r>
              <w:rPr>
                <w:rFonts w:cs="Arial"/>
                <w:b/>
                <w:bCs/>
                <w:color w:val="FFFFFF"/>
                <w:sz w:val="20"/>
                <w:szCs w:val="20"/>
                <w:lang w:eastAsia="en-GB"/>
              </w:rPr>
              <w:t>£000</w:t>
            </w:r>
          </w:p>
        </w:tc>
        <w:tc>
          <w:tcPr>
            <w:tcW w:w="1428" w:type="dxa"/>
            <w:tcBorders>
              <w:top w:val="nil"/>
              <w:left w:val="nil"/>
              <w:bottom w:val="nil"/>
              <w:right w:val="single" w:sz="4" w:space="0" w:color="auto"/>
            </w:tcBorders>
            <w:shd w:val="clear" w:color="000000" w:fill="000000"/>
            <w:noWrap/>
            <w:vAlign w:val="bottom"/>
          </w:tcPr>
          <w:p w14:paraId="2D1B4901" w14:textId="77777777" w:rsidR="00394900" w:rsidRDefault="00394900" w:rsidP="00740887">
            <w:pPr>
              <w:jc w:val="right"/>
              <w:rPr>
                <w:rFonts w:cs="Arial"/>
                <w:b/>
                <w:bCs/>
                <w:color w:val="FFFFFF"/>
                <w:sz w:val="20"/>
                <w:szCs w:val="20"/>
                <w:lang w:eastAsia="en-GB"/>
              </w:rPr>
            </w:pPr>
            <w:r>
              <w:rPr>
                <w:rFonts w:cs="Arial"/>
                <w:b/>
                <w:bCs/>
                <w:color w:val="FFFFFF"/>
                <w:sz w:val="20"/>
                <w:szCs w:val="20"/>
                <w:lang w:eastAsia="en-GB"/>
              </w:rPr>
              <w:t>Depreciation</w:t>
            </w:r>
          </w:p>
          <w:p w14:paraId="0ACC6B21" w14:textId="77777777" w:rsidR="00394900" w:rsidRPr="00066E64" w:rsidRDefault="00394900" w:rsidP="00740887">
            <w:pPr>
              <w:jc w:val="right"/>
              <w:rPr>
                <w:rFonts w:cs="Arial"/>
                <w:b/>
                <w:bCs/>
                <w:color w:val="FFFFFF"/>
                <w:sz w:val="20"/>
                <w:szCs w:val="20"/>
                <w:lang w:eastAsia="en-GB"/>
              </w:rPr>
            </w:pPr>
            <w:r>
              <w:rPr>
                <w:rFonts w:cs="Arial"/>
                <w:b/>
                <w:bCs/>
                <w:color w:val="FFFFFF"/>
                <w:sz w:val="20"/>
                <w:szCs w:val="20"/>
                <w:lang w:eastAsia="en-GB"/>
              </w:rPr>
              <w:t>£000</w:t>
            </w:r>
          </w:p>
        </w:tc>
      </w:tr>
      <w:tr w:rsidR="00394900" w:rsidRPr="00066E64" w14:paraId="60DA82B4" w14:textId="77777777" w:rsidTr="00740887">
        <w:trPr>
          <w:trHeight w:val="310"/>
          <w:jc w:val="center"/>
        </w:trPr>
        <w:tc>
          <w:tcPr>
            <w:tcW w:w="4248" w:type="dxa"/>
            <w:tcBorders>
              <w:top w:val="nil"/>
              <w:left w:val="single" w:sz="4" w:space="0" w:color="auto"/>
              <w:bottom w:val="nil"/>
              <w:right w:val="nil"/>
            </w:tcBorders>
            <w:shd w:val="clear" w:color="auto" w:fill="auto"/>
            <w:noWrap/>
            <w:vAlign w:val="bottom"/>
            <w:hideMark/>
          </w:tcPr>
          <w:p w14:paraId="4CD494C0" w14:textId="77777777" w:rsidR="00394900" w:rsidRPr="00066E64" w:rsidRDefault="00394900" w:rsidP="00740887">
            <w:pPr>
              <w:rPr>
                <w:rFonts w:cs="Arial"/>
                <w:sz w:val="20"/>
                <w:szCs w:val="20"/>
                <w:lang w:eastAsia="en-GB"/>
              </w:rPr>
            </w:pPr>
            <w:r>
              <w:rPr>
                <w:rFonts w:cs="Arial"/>
                <w:sz w:val="20"/>
                <w:szCs w:val="20"/>
                <w:lang w:eastAsia="en-GB"/>
              </w:rPr>
              <w:t>Property, Plant and Equipment</w:t>
            </w:r>
          </w:p>
        </w:tc>
        <w:tc>
          <w:tcPr>
            <w:tcW w:w="1401" w:type="dxa"/>
            <w:tcBorders>
              <w:top w:val="nil"/>
              <w:left w:val="nil"/>
              <w:bottom w:val="nil"/>
              <w:right w:val="nil"/>
            </w:tcBorders>
            <w:shd w:val="clear" w:color="auto" w:fill="auto"/>
            <w:noWrap/>
            <w:vAlign w:val="bottom"/>
            <w:hideMark/>
          </w:tcPr>
          <w:p w14:paraId="125B6F0E" w14:textId="77777777" w:rsidR="00394900" w:rsidRPr="00066E64" w:rsidRDefault="00394900" w:rsidP="00740887">
            <w:pPr>
              <w:jc w:val="right"/>
              <w:rPr>
                <w:rFonts w:cs="Arial"/>
                <w:sz w:val="20"/>
                <w:szCs w:val="20"/>
                <w:lang w:eastAsia="en-GB"/>
              </w:rPr>
            </w:pPr>
            <w:r w:rsidRPr="00066E64">
              <w:rPr>
                <w:rFonts w:cs="Arial"/>
                <w:sz w:val="20"/>
                <w:szCs w:val="20"/>
                <w:lang w:eastAsia="en-GB"/>
              </w:rPr>
              <w:t xml:space="preserve">               </w:t>
            </w:r>
            <w:r>
              <w:rPr>
                <w:rFonts w:cs="Arial"/>
                <w:sz w:val="20"/>
                <w:szCs w:val="20"/>
                <w:lang w:eastAsia="en-GB"/>
              </w:rPr>
              <w:t>8,541</w:t>
            </w:r>
            <w:r w:rsidRPr="00066E64">
              <w:rPr>
                <w:rFonts w:cs="Arial"/>
                <w:sz w:val="20"/>
                <w:szCs w:val="20"/>
                <w:lang w:eastAsia="en-GB"/>
              </w:rPr>
              <w:t xml:space="preserve"> </w:t>
            </w:r>
          </w:p>
        </w:tc>
        <w:tc>
          <w:tcPr>
            <w:tcW w:w="1428" w:type="dxa"/>
            <w:tcBorders>
              <w:top w:val="nil"/>
              <w:left w:val="nil"/>
              <w:bottom w:val="nil"/>
              <w:right w:val="single" w:sz="4" w:space="0" w:color="auto"/>
            </w:tcBorders>
            <w:shd w:val="clear" w:color="auto" w:fill="auto"/>
            <w:noWrap/>
            <w:vAlign w:val="bottom"/>
          </w:tcPr>
          <w:p w14:paraId="58C035BD" w14:textId="77777777" w:rsidR="00394900" w:rsidRPr="00066E64" w:rsidRDefault="00394900" w:rsidP="00740887">
            <w:pPr>
              <w:jc w:val="right"/>
              <w:rPr>
                <w:rFonts w:cs="Arial"/>
                <w:sz w:val="20"/>
                <w:szCs w:val="20"/>
                <w:lang w:eastAsia="en-GB"/>
              </w:rPr>
            </w:pPr>
            <w:r>
              <w:rPr>
                <w:rFonts w:cs="Arial"/>
                <w:sz w:val="20"/>
                <w:szCs w:val="20"/>
                <w:lang w:eastAsia="en-GB"/>
              </w:rPr>
              <w:t>(153)</w:t>
            </w:r>
          </w:p>
        </w:tc>
      </w:tr>
      <w:tr w:rsidR="00394900" w:rsidRPr="00066E64" w14:paraId="5884499F" w14:textId="77777777" w:rsidTr="00740887">
        <w:trPr>
          <w:trHeight w:val="310"/>
          <w:jc w:val="center"/>
        </w:trPr>
        <w:tc>
          <w:tcPr>
            <w:tcW w:w="4248" w:type="dxa"/>
            <w:tcBorders>
              <w:top w:val="nil"/>
              <w:left w:val="single" w:sz="4" w:space="0" w:color="auto"/>
              <w:bottom w:val="nil"/>
              <w:right w:val="nil"/>
            </w:tcBorders>
            <w:shd w:val="clear" w:color="auto" w:fill="auto"/>
            <w:noWrap/>
            <w:vAlign w:val="bottom"/>
            <w:hideMark/>
          </w:tcPr>
          <w:p w14:paraId="39D51493" w14:textId="77777777" w:rsidR="00394900" w:rsidRPr="00066E64" w:rsidRDefault="00394900" w:rsidP="00740887">
            <w:pPr>
              <w:rPr>
                <w:rFonts w:cs="Arial"/>
                <w:sz w:val="20"/>
                <w:szCs w:val="20"/>
                <w:lang w:eastAsia="en-GB"/>
              </w:rPr>
            </w:pPr>
            <w:r>
              <w:rPr>
                <w:rFonts w:cs="Arial"/>
                <w:sz w:val="20"/>
                <w:szCs w:val="20"/>
                <w:lang w:eastAsia="en-GB"/>
              </w:rPr>
              <w:t>Investment Property</w:t>
            </w:r>
          </w:p>
        </w:tc>
        <w:tc>
          <w:tcPr>
            <w:tcW w:w="1401" w:type="dxa"/>
            <w:tcBorders>
              <w:top w:val="nil"/>
              <w:left w:val="nil"/>
              <w:bottom w:val="nil"/>
              <w:right w:val="nil"/>
            </w:tcBorders>
            <w:shd w:val="clear" w:color="auto" w:fill="auto"/>
            <w:noWrap/>
            <w:vAlign w:val="bottom"/>
            <w:hideMark/>
          </w:tcPr>
          <w:p w14:paraId="3E83156F" w14:textId="77777777" w:rsidR="00394900" w:rsidRPr="00066E64" w:rsidRDefault="00394900" w:rsidP="00740887">
            <w:pPr>
              <w:jc w:val="right"/>
              <w:rPr>
                <w:rFonts w:cs="Arial"/>
                <w:sz w:val="20"/>
                <w:szCs w:val="20"/>
                <w:lang w:eastAsia="en-GB"/>
              </w:rPr>
            </w:pPr>
            <w:r>
              <w:rPr>
                <w:rFonts w:cs="Arial"/>
                <w:sz w:val="20"/>
                <w:szCs w:val="20"/>
                <w:lang w:eastAsia="en-GB"/>
              </w:rPr>
              <w:t>963</w:t>
            </w:r>
            <w:r w:rsidRPr="00066E64">
              <w:rPr>
                <w:rFonts w:cs="Arial"/>
                <w:sz w:val="20"/>
                <w:szCs w:val="20"/>
                <w:lang w:eastAsia="en-GB"/>
              </w:rPr>
              <w:t xml:space="preserve"> </w:t>
            </w:r>
          </w:p>
        </w:tc>
        <w:tc>
          <w:tcPr>
            <w:tcW w:w="1428" w:type="dxa"/>
            <w:tcBorders>
              <w:top w:val="nil"/>
              <w:left w:val="nil"/>
              <w:bottom w:val="nil"/>
              <w:right w:val="single" w:sz="4" w:space="0" w:color="auto"/>
            </w:tcBorders>
            <w:shd w:val="clear" w:color="auto" w:fill="auto"/>
            <w:noWrap/>
            <w:vAlign w:val="bottom"/>
          </w:tcPr>
          <w:p w14:paraId="45DA087C" w14:textId="77777777" w:rsidR="00394900" w:rsidRPr="00066E64" w:rsidRDefault="00394900" w:rsidP="00740887">
            <w:pPr>
              <w:jc w:val="right"/>
              <w:rPr>
                <w:rFonts w:cs="Arial"/>
                <w:sz w:val="20"/>
                <w:szCs w:val="20"/>
                <w:lang w:eastAsia="en-GB"/>
              </w:rPr>
            </w:pPr>
            <w:r>
              <w:rPr>
                <w:rFonts w:cs="Arial"/>
                <w:sz w:val="20"/>
                <w:szCs w:val="20"/>
                <w:lang w:eastAsia="en-GB"/>
              </w:rPr>
              <w:t>0</w:t>
            </w:r>
          </w:p>
        </w:tc>
      </w:tr>
      <w:tr w:rsidR="00394900" w:rsidRPr="00066E64" w14:paraId="23FFAAB6" w14:textId="77777777" w:rsidTr="00740887">
        <w:trPr>
          <w:trHeight w:val="290"/>
          <w:jc w:val="center"/>
        </w:trPr>
        <w:tc>
          <w:tcPr>
            <w:tcW w:w="4248" w:type="dxa"/>
            <w:tcBorders>
              <w:top w:val="nil"/>
              <w:left w:val="single" w:sz="4" w:space="0" w:color="auto"/>
              <w:bottom w:val="single" w:sz="4" w:space="0" w:color="auto"/>
              <w:right w:val="nil"/>
            </w:tcBorders>
            <w:shd w:val="clear" w:color="auto" w:fill="auto"/>
            <w:noWrap/>
            <w:vAlign w:val="bottom"/>
            <w:hideMark/>
          </w:tcPr>
          <w:p w14:paraId="66094B06" w14:textId="77777777" w:rsidR="00394900" w:rsidRPr="00066E64" w:rsidRDefault="00394900" w:rsidP="00740887">
            <w:pPr>
              <w:rPr>
                <w:rFonts w:ascii="Calibri" w:hAnsi="Calibri" w:cs="Calibri"/>
                <w:color w:val="000000"/>
                <w:sz w:val="22"/>
                <w:szCs w:val="22"/>
                <w:lang w:eastAsia="en-GB"/>
              </w:rPr>
            </w:pPr>
            <w:r w:rsidRPr="00066E64">
              <w:rPr>
                <w:rFonts w:ascii="Calibri" w:hAnsi="Calibri" w:cs="Calibri"/>
                <w:color w:val="000000"/>
                <w:sz w:val="22"/>
                <w:szCs w:val="22"/>
                <w:lang w:eastAsia="en-GB"/>
              </w:rPr>
              <w:t> </w:t>
            </w:r>
          </w:p>
        </w:tc>
        <w:tc>
          <w:tcPr>
            <w:tcW w:w="1401" w:type="dxa"/>
            <w:tcBorders>
              <w:top w:val="single" w:sz="4" w:space="0" w:color="auto"/>
              <w:left w:val="nil"/>
              <w:bottom w:val="single" w:sz="4" w:space="0" w:color="auto"/>
              <w:right w:val="nil"/>
            </w:tcBorders>
            <w:shd w:val="clear" w:color="auto" w:fill="auto"/>
            <w:noWrap/>
            <w:vAlign w:val="bottom"/>
            <w:hideMark/>
          </w:tcPr>
          <w:p w14:paraId="0D902576" w14:textId="77777777" w:rsidR="00394900" w:rsidRPr="00066E64" w:rsidRDefault="00394900" w:rsidP="00740887">
            <w:pPr>
              <w:jc w:val="right"/>
              <w:rPr>
                <w:rFonts w:cs="Arial"/>
                <w:b/>
                <w:bCs/>
                <w:sz w:val="20"/>
                <w:szCs w:val="20"/>
                <w:lang w:eastAsia="en-GB"/>
              </w:rPr>
            </w:pPr>
            <w:r>
              <w:rPr>
                <w:rFonts w:cs="Arial"/>
                <w:b/>
                <w:bCs/>
                <w:sz w:val="20"/>
                <w:szCs w:val="20"/>
                <w:lang w:eastAsia="en-GB"/>
              </w:rPr>
              <w:t>9,504</w:t>
            </w:r>
          </w:p>
        </w:tc>
        <w:tc>
          <w:tcPr>
            <w:tcW w:w="1428" w:type="dxa"/>
            <w:tcBorders>
              <w:top w:val="single" w:sz="4" w:space="0" w:color="auto"/>
              <w:left w:val="nil"/>
              <w:bottom w:val="single" w:sz="4" w:space="0" w:color="auto"/>
              <w:right w:val="single" w:sz="4" w:space="0" w:color="auto"/>
            </w:tcBorders>
            <w:shd w:val="clear" w:color="auto" w:fill="auto"/>
            <w:noWrap/>
            <w:vAlign w:val="bottom"/>
          </w:tcPr>
          <w:p w14:paraId="6DF9D224" w14:textId="77777777" w:rsidR="00394900" w:rsidRPr="00066E64" w:rsidRDefault="00394900" w:rsidP="00740887">
            <w:pPr>
              <w:jc w:val="right"/>
              <w:rPr>
                <w:rFonts w:cs="Arial"/>
                <w:b/>
                <w:bCs/>
                <w:sz w:val="20"/>
                <w:szCs w:val="20"/>
                <w:lang w:eastAsia="en-GB"/>
              </w:rPr>
            </w:pPr>
            <w:r>
              <w:rPr>
                <w:rFonts w:cs="Arial"/>
                <w:b/>
                <w:bCs/>
                <w:sz w:val="20"/>
                <w:szCs w:val="20"/>
                <w:lang w:eastAsia="en-GB"/>
              </w:rPr>
              <w:t>(153)</w:t>
            </w:r>
          </w:p>
        </w:tc>
      </w:tr>
    </w:tbl>
    <w:p w14:paraId="6F19B746" w14:textId="77777777" w:rsidR="00644B4D" w:rsidRPr="004D5CA8" w:rsidRDefault="00644B4D" w:rsidP="0070459C">
      <w:pPr>
        <w:pStyle w:val="HEADING"/>
        <w:rPr>
          <w:b w:val="0"/>
          <w:bCs/>
          <w:sz w:val="23"/>
          <w:highlight w:val="yellow"/>
        </w:rPr>
      </w:pPr>
    </w:p>
    <w:p w14:paraId="485A485E" w14:textId="7211800C" w:rsidR="00E36A28" w:rsidRPr="004D5CA8" w:rsidRDefault="007E1832" w:rsidP="0070459C">
      <w:pPr>
        <w:pStyle w:val="HEADING"/>
        <w:rPr>
          <w:b w:val="0"/>
          <w:bCs/>
          <w:sz w:val="23"/>
          <w:highlight w:val="yellow"/>
        </w:rPr>
      </w:pPr>
      <w:r w:rsidRPr="004D5CA8">
        <w:rPr>
          <w:b w:val="0"/>
          <w:bCs/>
          <w:sz w:val="23"/>
          <w:highlight w:val="yellow"/>
        </w:rPr>
        <w:t xml:space="preserve">           </w:t>
      </w:r>
    </w:p>
    <w:p w14:paraId="485A4860" w14:textId="26C5804E" w:rsidR="00E00863" w:rsidRPr="00066E64" w:rsidRDefault="00E00863" w:rsidP="0070459C">
      <w:pPr>
        <w:pStyle w:val="HEADING"/>
        <w:rPr>
          <w:b w:val="0"/>
          <w:bCs/>
        </w:rPr>
      </w:pPr>
      <w:r w:rsidRPr="00066E64">
        <w:rPr>
          <w:b w:val="0"/>
          <w:bCs/>
          <w:sz w:val="23"/>
        </w:rPr>
        <w:lastRenderedPageBreak/>
        <w:t>The future minimum lease payments receivable under non-cancellable leases in future years will be received over the following periods:</w:t>
      </w:r>
    </w:p>
    <w:p w14:paraId="485A4863" w14:textId="296E029A" w:rsidR="0014397D" w:rsidRPr="004D5CA8" w:rsidRDefault="0014397D" w:rsidP="0070459C">
      <w:pPr>
        <w:rPr>
          <w:i/>
          <w:highlight w:val="yellow"/>
        </w:rPr>
      </w:pPr>
    </w:p>
    <w:tbl>
      <w:tblPr>
        <w:tblW w:w="6914" w:type="dxa"/>
        <w:jc w:val="center"/>
        <w:tblLook w:val="04A0" w:firstRow="1" w:lastRow="0" w:firstColumn="1" w:lastColumn="0" w:noHBand="0" w:noVBand="1"/>
      </w:tblPr>
      <w:tblGrid>
        <w:gridCol w:w="4106"/>
        <w:gridCol w:w="1401"/>
        <w:gridCol w:w="1407"/>
      </w:tblGrid>
      <w:tr w:rsidR="00B72CF2" w:rsidRPr="004D5CA8" w14:paraId="2E446294" w14:textId="77777777" w:rsidTr="00B72CF2">
        <w:trPr>
          <w:trHeight w:val="290"/>
          <w:jc w:val="center"/>
        </w:trPr>
        <w:tc>
          <w:tcPr>
            <w:tcW w:w="4106" w:type="dxa"/>
            <w:tcBorders>
              <w:top w:val="single" w:sz="4" w:space="0" w:color="auto"/>
              <w:left w:val="single" w:sz="4" w:space="0" w:color="auto"/>
              <w:bottom w:val="nil"/>
              <w:right w:val="nil"/>
            </w:tcBorders>
            <w:shd w:val="clear" w:color="000000" w:fill="000000"/>
            <w:noWrap/>
            <w:vAlign w:val="bottom"/>
            <w:hideMark/>
          </w:tcPr>
          <w:p w14:paraId="48C28DAD" w14:textId="77777777" w:rsidR="00B72CF2" w:rsidRPr="00066E64" w:rsidRDefault="00B72CF2" w:rsidP="0070459C">
            <w:pPr>
              <w:rPr>
                <w:rFonts w:ascii="Calibri" w:hAnsi="Calibri" w:cs="Calibri"/>
                <w:color w:val="FFFFFF"/>
                <w:sz w:val="22"/>
                <w:szCs w:val="22"/>
                <w:lang w:eastAsia="en-GB"/>
              </w:rPr>
            </w:pPr>
            <w:r w:rsidRPr="00066E64">
              <w:rPr>
                <w:rFonts w:ascii="Calibri" w:hAnsi="Calibri" w:cs="Calibri"/>
                <w:color w:val="FFFFFF"/>
                <w:sz w:val="22"/>
                <w:szCs w:val="22"/>
                <w:lang w:eastAsia="en-GB"/>
              </w:rPr>
              <w:t> </w:t>
            </w:r>
          </w:p>
        </w:tc>
        <w:tc>
          <w:tcPr>
            <w:tcW w:w="2808" w:type="dxa"/>
            <w:gridSpan w:val="2"/>
            <w:tcBorders>
              <w:top w:val="single" w:sz="4" w:space="0" w:color="auto"/>
              <w:left w:val="nil"/>
              <w:bottom w:val="nil"/>
              <w:right w:val="single" w:sz="4" w:space="0" w:color="000000"/>
            </w:tcBorders>
            <w:shd w:val="clear" w:color="000000" w:fill="000000"/>
            <w:noWrap/>
            <w:vAlign w:val="bottom"/>
            <w:hideMark/>
          </w:tcPr>
          <w:p w14:paraId="6AC1F798" w14:textId="77777777" w:rsidR="00B72CF2" w:rsidRPr="00066E64" w:rsidRDefault="00B72CF2" w:rsidP="0070459C">
            <w:pPr>
              <w:jc w:val="center"/>
              <w:rPr>
                <w:rFonts w:cs="Arial"/>
                <w:b/>
                <w:bCs/>
                <w:color w:val="FFFFFF"/>
                <w:sz w:val="20"/>
                <w:szCs w:val="20"/>
                <w:lang w:eastAsia="en-GB"/>
              </w:rPr>
            </w:pPr>
            <w:r w:rsidRPr="00066E64">
              <w:rPr>
                <w:rFonts w:cs="Arial"/>
                <w:b/>
                <w:bCs/>
                <w:color w:val="FFFFFF"/>
                <w:sz w:val="20"/>
                <w:szCs w:val="20"/>
                <w:lang w:eastAsia="en-GB"/>
              </w:rPr>
              <w:t>Total</w:t>
            </w:r>
          </w:p>
        </w:tc>
      </w:tr>
      <w:tr w:rsidR="00066E64" w:rsidRPr="004D5CA8" w14:paraId="1936B10D" w14:textId="77777777" w:rsidTr="00066E64">
        <w:trPr>
          <w:trHeight w:val="290"/>
          <w:jc w:val="center"/>
        </w:trPr>
        <w:tc>
          <w:tcPr>
            <w:tcW w:w="4106" w:type="dxa"/>
            <w:tcBorders>
              <w:top w:val="nil"/>
              <w:left w:val="single" w:sz="4" w:space="0" w:color="auto"/>
              <w:bottom w:val="nil"/>
              <w:right w:val="nil"/>
            </w:tcBorders>
            <w:shd w:val="clear" w:color="000000" w:fill="000000"/>
            <w:noWrap/>
            <w:vAlign w:val="bottom"/>
            <w:hideMark/>
          </w:tcPr>
          <w:p w14:paraId="108691DF" w14:textId="77777777" w:rsidR="00066E64" w:rsidRPr="00066E64" w:rsidRDefault="00066E64" w:rsidP="0070459C">
            <w:pPr>
              <w:rPr>
                <w:rFonts w:ascii="Calibri" w:hAnsi="Calibri" w:cs="Calibri"/>
                <w:color w:val="FFFFFF"/>
                <w:sz w:val="22"/>
                <w:szCs w:val="22"/>
                <w:lang w:eastAsia="en-GB"/>
              </w:rPr>
            </w:pPr>
            <w:r w:rsidRPr="00066E64">
              <w:rPr>
                <w:rFonts w:ascii="Calibri" w:hAnsi="Calibri" w:cs="Calibri"/>
                <w:color w:val="FFFFFF"/>
                <w:sz w:val="22"/>
                <w:szCs w:val="22"/>
                <w:lang w:eastAsia="en-GB"/>
              </w:rPr>
              <w:t> </w:t>
            </w:r>
          </w:p>
        </w:tc>
        <w:tc>
          <w:tcPr>
            <w:tcW w:w="1401" w:type="dxa"/>
            <w:tcBorders>
              <w:top w:val="nil"/>
              <w:left w:val="nil"/>
              <w:bottom w:val="nil"/>
              <w:right w:val="nil"/>
            </w:tcBorders>
            <w:shd w:val="clear" w:color="000000" w:fill="000000"/>
            <w:noWrap/>
            <w:vAlign w:val="bottom"/>
            <w:hideMark/>
          </w:tcPr>
          <w:p w14:paraId="73D2EFDA" w14:textId="6531163E" w:rsidR="002329B2" w:rsidRDefault="002329B2" w:rsidP="0070459C">
            <w:pPr>
              <w:jc w:val="right"/>
              <w:rPr>
                <w:rFonts w:cs="Arial"/>
                <w:b/>
                <w:bCs/>
                <w:color w:val="FFFFFF"/>
                <w:sz w:val="20"/>
                <w:szCs w:val="20"/>
                <w:lang w:eastAsia="en-GB"/>
              </w:rPr>
            </w:pPr>
            <w:r>
              <w:rPr>
                <w:rFonts w:cs="Arial"/>
                <w:b/>
                <w:bCs/>
                <w:color w:val="FFFFFF"/>
                <w:sz w:val="20"/>
                <w:szCs w:val="20"/>
                <w:lang w:eastAsia="en-GB"/>
              </w:rPr>
              <w:t xml:space="preserve">  </w:t>
            </w:r>
          </w:p>
          <w:p w14:paraId="1596E424" w14:textId="57DE4917" w:rsidR="00066E64" w:rsidRPr="00066E64" w:rsidRDefault="00066E64" w:rsidP="0070459C">
            <w:pPr>
              <w:jc w:val="right"/>
              <w:rPr>
                <w:rFonts w:cs="Arial"/>
                <w:b/>
                <w:bCs/>
                <w:color w:val="FFFFFF"/>
                <w:sz w:val="20"/>
                <w:szCs w:val="20"/>
                <w:lang w:eastAsia="en-GB"/>
              </w:rPr>
            </w:pPr>
            <w:r w:rsidRPr="00066E64">
              <w:rPr>
                <w:rFonts w:cs="Arial"/>
                <w:b/>
                <w:bCs/>
                <w:color w:val="FFFFFF"/>
                <w:sz w:val="20"/>
                <w:szCs w:val="20"/>
                <w:lang w:eastAsia="en-GB"/>
              </w:rPr>
              <w:t>202</w:t>
            </w:r>
            <w:r w:rsidR="00394900">
              <w:rPr>
                <w:rFonts w:cs="Arial"/>
                <w:b/>
                <w:bCs/>
                <w:color w:val="FFFFFF"/>
                <w:sz w:val="20"/>
                <w:szCs w:val="20"/>
                <w:lang w:eastAsia="en-GB"/>
              </w:rPr>
              <w:t>3</w:t>
            </w:r>
          </w:p>
        </w:tc>
        <w:tc>
          <w:tcPr>
            <w:tcW w:w="1407" w:type="dxa"/>
            <w:tcBorders>
              <w:top w:val="nil"/>
              <w:left w:val="nil"/>
              <w:bottom w:val="nil"/>
              <w:right w:val="single" w:sz="4" w:space="0" w:color="auto"/>
            </w:tcBorders>
            <w:shd w:val="clear" w:color="000000" w:fill="000000"/>
            <w:noWrap/>
            <w:vAlign w:val="bottom"/>
          </w:tcPr>
          <w:p w14:paraId="58BB0188" w14:textId="6FED0C35" w:rsidR="00066E64" w:rsidRPr="00066E64" w:rsidRDefault="00066E64" w:rsidP="0070459C">
            <w:pPr>
              <w:jc w:val="right"/>
              <w:rPr>
                <w:rFonts w:cs="Arial"/>
                <w:b/>
                <w:bCs/>
                <w:color w:val="FFFFFF"/>
                <w:sz w:val="20"/>
                <w:szCs w:val="20"/>
                <w:lang w:eastAsia="en-GB"/>
              </w:rPr>
            </w:pPr>
            <w:r>
              <w:rPr>
                <w:rFonts w:cs="Arial"/>
                <w:b/>
                <w:bCs/>
                <w:color w:val="FFFFFF"/>
                <w:sz w:val="20"/>
                <w:szCs w:val="20"/>
                <w:lang w:eastAsia="en-GB"/>
              </w:rPr>
              <w:t>202</w:t>
            </w:r>
            <w:r w:rsidR="00394900">
              <w:rPr>
                <w:rFonts w:cs="Arial"/>
                <w:b/>
                <w:bCs/>
                <w:color w:val="FFFFFF"/>
                <w:sz w:val="20"/>
                <w:szCs w:val="20"/>
                <w:lang w:eastAsia="en-GB"/>
              </w:rPr>
              <w:t>4</w:t>
            </w:r>
          </w:p>
        </w:tc>
      </w:tr>
      <w:tr w:rsidR="00394900" w:rsidRPr="004D5CA8" w14:paraId="4E7E6A45" w14:textId="77777777" w:rsidTr="00066E64">
        <w:trPr>
          <w:trHeight w:val="290"/>
          <w:jc w:val="center"/>
        </w:trPr>
        <w:tc>
          <w:tcPr>
            <w:tcW w:w="4106" w:type="dxa"/>
            <w:tcBorders>
              <w:top w:val="nil"/>
              <w:left w:val="single" w:sz="4" w:space="0" w:color="auto"/>
              <w:bottom w:val="nil"/>
              <w:right w:val="nil"/>
            </w:tcBorders>
            <w:shd w:val="clear" w:color="auto" w:fill="auto"/>
            <w:noWrap/>
            <w:vAlign w:val="bottom"/>
            <w:hideMark/>
          </w:tcPr>
          <w:p w14:paraId="6232EFC0" w14:textId="77777777" w:rsidR="00394900" w:rsidRPr="00066E64" w:rsidRDefault="00394900" w:rsidP="00394900">
            <w:pPr>
              <w:rPr>
                <w:rFonts w:cs="Arial"/>
                <w:sz w:val="20"/>
                <w:szCs w:val="20"/>
                <w:lang w:eastAsia="en-GB"/>
              </w:rPr>
            </w:pPr>
            <w:r w:rsidRPr="00066E64">
              <w:rPr>
                <w:rFonts w:cs="Arial"/>
                <w:sz w:val="20"/>
                <w:szCs w:val="20"/>
                <w:lang w:eastAsia="en-GB"/>
              </w:rPr>
              <w:t>Not later than 1 year</w:t>
            </w:r>
          </w:p>
        </w:tc>
        <w:tc>
          <w:tcPr>
            <w:tcW w:w="1401" w:type="dxa"/>
            <w:tcBorders>
              <w:top w:val="nil"/>
              <w:left w:val="nil"/>
              <w:bottom w:val="nil"/>
              <w:right w:val="nil"/>
            </w:tcBorders>
            <w:shd w:val="clear" w:color="auto" w:fill="auto"/>
            <w:noWrap/>
            <w:vAlign w:val="bottom"/>
            <w:hideMark/>
          </w:tcPr>
          <w:p w14:paraId="57248326" w14:textId="50ED6A44" w:rsidR="00394900" w:rsidRPr="00066E64" w:rsidRDefault="00394900" w:rsidP="00394900">
            <w:pPr>
              <w:jc w:val="right"/>
              <w:rPr>
                <w:rFonts w:cs="Arial"/>
                <w:sz w:val="20"/>
                <w:szCs w:val="20"/>
                <w:lang w:eastAsia="en-GB"/>
              </w:rPr>
            </w:pPr>
            <w:r>
              <w:rPr>
                <w:rFonts w:cs="Arial"/>
                <w:sz w:val="20"/>
                <w:szCs w:val="20"/>
                <w:lang w:eastAsia="en-GB"/>
              </w:rPr>
              <w:t>181</w:t>
            </w:r>
          </w:p>
        </w:tc>
        <w:tc>
          <w:tcPr>
            <w:tcW w:w="1407" w:type="dxa"/>
            <w:tcBorders>
              <w:top w:val="nil"/>
              <w:left w:val="nil"/>
              <w:bottom w:val="nil"/>
              <w:right w:val="single" w:sz="4" w:space="0" w:color="auto"/>
            </w:tcBorders>
            <w:shd w:val="clear" w:color="auto" w:fill="auto"/>
            <w:noWrap/>
            <w:vAlign w:val="bottom"/>
          </w:tcPr>
          <w:p w14:paraId="2EC81FF3" w14:textId="181C82DE" w:rsidR="00394900" w:rsidRPr="00066E64" w:rsidRDefault="00394900" w:rsidP="00394900">
            <w:pPr>
              <w:jc w:val="right"/>
              <w:rPr>
                <w:rFonts w:cs="Arial"/>
                <w:sz w:val="20"/>
                <w:szCs w:val="20"/>
                <w:lang w:eastAsia="en-GB"/>
              </w:rPr>
            </w:pPr>
            <w:r>
              <w:rPr>
                <w:rFonts w:cs="Arial"/>
                <w:sz w:val="20"/>
                <w:szCs w:val="20"/>
                <w:lang w:eastAsia="en-GB"/>
              </w:rPr>
              <w:t>231</w:t>
            </w:r>
          </w:p>
        </w:tc>
      </w:tr>
      <w:tr w:rsidR="00394900" w:rsidRPr="004D5CA8" w14:paraId="68D9CB33" w14:textId="77777777" w:rsidTr="00066E64">
        <w:trPr>
          <w:trHeight w:val="290"/>
          <w:jc w:val="center"/>
        </w:trPr>
        <w:tc>
          <w:tcPr>
            <w:tcW w:w="4106" w:type="dxa"/>
            <w:tcBorders>
              <w:top w:val="nil"/>
              <w:left w:val="single" w:sz="4" w:space="0" w:color="auto"/>
              <w:bottom w:val="nil"/>
              <w:right w:val="nil"/>
            </w:tcBorders>
            <w:shd w:val="clear" w:color="auto" w:fill="auto"/>
            <w:noWrap/>
            <w:vAlign w:val="bottom"/>
            <w:hideMark/>
          </w:tcPr>
          <w:p w14:paraId="62BFAD5C" w14:textId="77777777" w:rsidR="00394900" w:rsidRPr="00066E64" w:rsidRDefault="00394900" w:rsidP="00394900">
            <w:pPr>
              <w:rPr>
                <w:rFonts w:cs="Arial"/>
                <w:sz w:val="20"/>
                <w:szCs w:val="20"/>
                <w:lang w:eastAsia="en-GB"/>
              </w:rPr>
            </w:pPr>
            <w:r w:rsidRPr="00066E64">
              <w:rPr>
                <w:rFonts w:cs="Arial"/>
                <w:sz w:val="20"/>
                <w:szCs w:val="20"/>
                <w:lang w:eastAsia="en-GB"/>
              </w:rPr>
              <w:t>Later than 1 year but not later than 5 years</w:t>
            </w:r>
          </w:p>
        </w:tc>
        <w:tc>
          <w:tcPr>
            <w:tcW w:w="1401" w:type="dxa"/>
            <w:tcBorders>
              <w:top w:val="nil"/>
              <w:left w:val="nil"/>
              <w:bottom w:val="nil"/>
              <w:right w:val="nil"/>
            </w:tcBorders>
            <w:shd w:val="clear" w:color="auto" w:fill="auto"/>
            <w:noWrap/>
            <w:vAlign w:val="bottom"/>
            <w:hideMark/>
          </w:tcPr>
          <w:p w14:paraId="6E6A8985" w14:textId="47AECAC3" w:rsidR="00394900" w:rsidRPr="00066E64" w:rsidRDefault="00394900" w:rsidP="00394900">
            <w:pPr>
              <w:jc w:val="right"/>
              <w:rPr>
                <w:rFonts w:cs="Arial"/>
                <w:sz w:val="20"/>
                <w:szCs w:val="20"/>
                <w:lang w:eastAsia="en-GB"/>
              </w:rPr>
            </w:pPr>
            <w:r>
              <w:rPr>
                <w:rFonts w:cs="Arial"/>
                <w:sz w:val="20"/>
                <w:szCs w:val="20"/>
                <w:lang w:eastAsia="en-GB"/>
              </w:rPr>
              <w:t>162</w:t>
            </w:r>
          </w:p>
        </w:tc>
        <w:tc>
          <w:tcPr>
            <w:tcW w:w="1407" w:type="dxa"/>
            <w:tcBorders>
              <w:top w:val="nil"/>
              <w:left w:val="nil"/>
              <w:bottom w:val="nil"/>
              <w:right w:val="single" w:sz="4" w:space="0" w:color="auto"/>
            </w:tcBorders>
            <w:shd w:val="clear" w:color="auto" w:fill="auto"/>
            <w:noWrap/>
            <w:vAlign w:val="bottom"/>
          </w:tcPr>
          <w:p w14:paraId="082AB120" w14:textId="78B14D1A" w:rsidR="00394900" w:rsidRPr="00066E64" w:rsidRDefault="00394900" w:rsidP="00394900">
            <w:pPr>
              <w:jc w:val="right"/>
              <w:rPr>
                <w:rFonts w:cs="Arial"/>
                <w:sz w:val="20"/>
                <w:szCs w:val="20"/>
                <w:lang w:eastAsia="en-GB"/>
              </w:rPr>
            </w:pPr>
            <w:r>
              <w:rPr>
                <w:rFonts w:cs="Arial"/>
                <w:sz w:val="20"/>
                <w:szCs w:val="20"/>
                <w:lang w:eastAsia="en-GB"/>
              </w:rPr>
              <w:t>403</w:t>
            </w:r>
          </w:p>
        </w:tc>
      </w:tr>
      <w:tr w:rsidR="00394900" w:rsidRPr="004D5CA8" w14:paraId="0BF84D80" w14:textId="77777777" w:rsidTr="00066E64">
        <w:trPr>
          <w:trHeight w:val="290"/>
          <w:jc w:val="center"/>
        </w:trPr>
        <w:tc>
          <w:tcPr>
            <w:tcW w:w="4106" w:type="dxa"/>
            <w:tcBorders>
              <w:top w:val="nil"/>
              <w:left w:val="single" w:sz="4" w:space="0" w:color="auto"/>
              <w:bottom w:val="nil"/>
              <w:right w:val="nil"/>
            </w:tcBorders>
            <w:shd w:val="clear" w:color="auto" w:fill="auto"/>
            <w:noWrap/>
            <w:vAlign w:val="bottom"/>
            <w:hideMark/>
          </w:tcPr>
          <w:p w14:paraId="065554AC" w14:textId="77777777" w:rsidR="00394900" w:rsidRPr="00066E64" w:rsidRDefault="00394900" w:rsidP="00394900">
            <w:pPr>
              <w:rPr>
                <w:rFonts w:cs="Arial"/>
                <w:sz w:val="20"/>
                <w:szCs w:val="20"/>
                <w:lang w:eastAsia="en-GB"/>
              </w:rPr>
            </w:pPr>
            <w:r w:rsidRPr="00066E64">
              <w:rPr>
                <w:rFonts w:cs="Arial"/>
                <w:sz w:val="20"/>
                <w:szCs w:val="20"/>
                <w:lang w:eastAsia="en-GB"/>
              </w:rPr>
              <w:t>Later than 5 years</w:t>
            </w:r>
          </w:p>
        </w:tc>
        <w:tc>
          <w:tcPr>
            <w:tcW w:w="1401" w:type="dxa"/>
            <w:tcBorders>
              <w:top w:val="nil"/>
              <w:left w:val="nil"/>
              <w:bottom w:val="nil"/>
              <w:right w:val="nil"/>
            </w:tcBorders>
            <w:shd w:val="clear" w:color="auto" w:fill="auto"/>
            <w:noWrap/>
            <w:vAlign w:val="bottom"/>
            <w:hideMark/>
          </w:tcPr>
          <w:p w14:paraId="129E089A" w14:textId="3EDC4704" w:rsidR="00394900" w:rsidRPr="00066E64" w:rsidRDefault="00394900" w:rsidP="00394900">
            <w:pPr>
              <w:jc w:val="right"/>
              <w:rPr>
                <w:rFonts w:cs="Arial"/>
                <w:sz w:val="20"/>
                <w:szCs w:val="20"/>
                <w:lang w:eastAsia="en-GB"/>
              </w:rPr>
            </w:pPr>
            <w:r>
              <w:rPr>
                <w:rFonts w:cs="Arial"/>
                <w:sz w:val="20"/>
                <w:szCs w:val="20"/>
                <w:lang w:eastAsia="en-GB"/>
              </w:rPr>
              <w:t>202</w:t>
            </w:r>
          </w:p>
        </w:tc>
        <w:tc>
          <w:tcPr>
            <w:tcW w:w="1407" w:type="dxa"/>
            <w:tcBorders>
              <w:top w:val="nil"/>
              <w:left w:val="nil"/>
              <w:bottom w:val="nil"/>
              <w:right w:val="single" w:sz="4" w:space="0" w:color="auto"/>
            </w:tcBorders>
            <w:shd w:val="clear" w:color="auto" w:fill="auto"/>
            <w:noWrap/>
            <w:vAlign w:val="bottom"/>
          </w:tcPr>
          <w:p w14:paraId="53BCC5AD" w14:textId="18C196CA" w:rsidR="00394900" w:rsidRPr="00066E64" w:rsidRDefault="00394900" w:rsidP="00394900">
            <w:pPr>
              <w:jc w:val="right"/>
              <w:rPr>
                <w:rFonts w:cs="Arial"/>
                <w:sz w:val="20"/>
                <w:szCs w:val="20"/>
                <w:lang w:eastAsia="en-GB"/>
              </w:rPr>
            </w:pPr>
            <w:r>
              <w:rPr>
                <w:rFonts w:cs="Arial"/>
                <w:sz w:val="20"/>
                <w:szCs w:val="20"/>
                <w:lang w:eastAsia="en-GB"/>
              </w:rPr>
              <w:t>229</w:t>
            </w:r>
          </w:p>
        </w:tc>
      </w:tr>
      <w:tr w:rsidR="00394900" w:rsidRPr="004D5CA8" w14:paraId="19E94B34" w14:textId="77777777" w:rsidTr="00066E64">
        <w:trPr>
          <w:trHeight w:val="290"/>
          <w:jc w:val="center"/>
        </w:trPr>
        <w:tc>
          <w:tcPr>
            <w:tcW w:w="4106" w:type="dxa"/>
            <w:tcBorders>
              <w:top w:val="nil"/>
              <w:left w:val="single" w:sz="4" w:space="0" w:color="auto"/>
              <w:bottom w:val="single" w:sz="4" w:space="0" w:color="auto"/>
              <w:right w:val="nil"/>
            </w:tcBorders>
            <w:shd w:val="clear" w:color="auto" w:fill="auto"/>
            <w:noWrap/>
            <w:vAlign w:val="bottom"/>
            <w:hideMark/>
          </w:tcPr>
          <w:p w14:paraId="4FC1DE32" w14:textId="77777777" w:rsidR="00394900" w:rsidRPr="00066E64" w:rsidRDefault="00394900" w:rsidP="00394900">
            <w:pPr>
              <w:rPr>
                <w:rFonts w:ascii="Calibri" w:hAnsi="Calibri" w:cs="Calibri"/>
                <w:color w:val="000000"/>
                <w:sz w:val="22"/>
                <w:szCs w:val="22"/>
                <w:lang w:eastAsia="en-GB"/>
              </w:rPr>
            </w:pPr>
            <w:r w:rsidRPr="00066E64">
              <w:rPr>
                <w:rFonts w:ascii="Calibri" w:hAnsi="Calibri" w:cs="Calibri"/>
                <w:color w:val="000000"/>
                <w:sz w:val="22"/>
                <w:szCs w:val="22"/>
                <w:lang w:eastAsia="en-GB"/>
              </w:rPr>
              <w:t> </w:t>
            </w:r>
          </w:p>
        </w:tc>
        <w:tc>
          <w:tcPr>
            <w:tcW w:w="1401" w:type="dxa"/>
            <w:tcBorders>
              <w:top w:val="single" w:sz="4" w:space="0" w:color="auto"/>
              <w:left w:val="nil"/>
              <w:bottom w:val="single" w:sz="4" w:space="0" w:color="auto"/>
              <w:right w:val="nil"/>
            </w:tcBorders>
            <w:shd w:val="clear" w:color="auto" w:fill="auto"/>
            <w:noWrap/>
            <w:vAlign w:val="bottom"/>
            <w:hideMark/>
          </w:tcPr>
          <w:p w14:paraId="5B7614EE" w14:textId="628573C1" w:rsidR="00394900" w:rsidRPr="00066E64" w:rsidRDefault="00394900" w:rsidP="00394900">
            <w:pPr>
              <w:jc w:val="right"/>
              <w:rPr>
                <w:rFonts w:cs="Arial"/>
                <w:b/>
                <w:bCs/>
                <w:sz w:val="20"/>
                <w:szCs w:val="20"/>
                <w:lang w:eastAsia="en-GB"/>
              </w:rPr>
            </w:pPr>
            <w:r>
              <w:rPr>
                <w:rFonts w:cs="Arial"/>
                <w:b/>
                <w:bCs/>
                <w:sz w:val="20"/>
                <w:szCs w:val="20"/>
                <w:lang w:eastAsia="en-GB"/>
              </w:rPr>
              <w:t>545</w:t>
            </w:r>
          </w:p>
        </w:tc>
        <w:tc>
          <w:tcPr>
            <w:tcW w:w="1407" w:type="dxa"/>
            <w:tcBorders>
              <w:top w:val="single" w:sz="4" w:space="0" w:color="auto"/>
              <w:left w:val="nil"/>
              <w:bottom w:val="single" w:sz="4" w:space="0" w:color="auto"/>
              <w:right w:val="single" w:sz="4" w:space="0" w:color="auto"/>
            </w:tcBorders>
            <w:shd w:val="clear" w:color="auto" w:fill="auto"/>
            <w:noWrap/>
            <w:vAlign w:val="bottom"/>
          </w:tcPr>
          <w:p w14:paraId="5C0DD676" w14:textId="4B921D09" w:rsidR="00394900" w:rsidRPr="00066E64" w:rsidRDefault="00394900" w:rsidP="00394900">
            <w:pPr>
              <w:jc w:val="right"/>
              <w:rPr>
                <w:rFonts w:cs="Arial"/>
                <w:b/>
                <w:bCs/>
                <w:sz w:val="20"/>
                <w:szCs w:val="20"/>
                <w:lang w:eastAsia="en-GB"/>
              </w:rPr>
            </w:pPr>
            <w:r>
              <w:rPr>
                <w:rFonts w:cs="Arial"/>
                <w:b/>
                <w:bCs/>
                <w:sz w:val="20"/>
                <w:szCs w:val="20"/>
                <w:lang w:eastAsia="en-GB"/>
              </w:rPr>
              <w:t>863</w:t>
            </w:r>
          </w:p>
        </w:tc>
      </w:tr>
    </w:tbl>
    <w:p w14:paraId="1581AF1D" w14:textId="261ED882" w:rsidR="00F84D5A" w:rsidRPr="004D5CA8" w:rsidRDefault="00F84D5A" w:rsidP="0070459C">
      <w:pPr>
        <w:rPr>
          <w:i/>
          <w:highlight w:val="yellow"/>
        </w:rPr>
      </w:pPr>
    </w:p>
    <w:p w14:paraId="485A4865" w14:textId="7C6B158D" w:rsidR="00FE5E19" w:rsidRDefault="00F84D5A" w:rsidP="0070459C">
      <w:r w:rsidRPr="00066E64">
        <w:t>T</w:t>
      </w:r>
      <w:r w:rsidR="00E00863" w:rsidRPr="00066E64">
        <w:t>he minimum lease payments receivable do not include rents that are contingent on events taking place after the lease was entered into, such as adjustments following rent reviews. In 20</w:t>
      </w:r>
      <w:r w:rsidR="000E4FE9" w:rsidRPr="00066E64">
        <w:t>2</w:t>
      </w:r>
      <w:r w:rsidR="00394900">
        <w:t>3</w:t>
      </w:r>
      <w:r w:rsidR="00320085" w:rsidRPr="00066E64">
        <w:t>/</w:t>
      </w:r>
      <w:r w:rsidR="002C6D08" w:rsidRPr="00066E64">
        <w:t>2</w:t>
      </w:r>
      <w:r w:rsidR="00394900">
        <w:t>4</w:t>
      </w:r>
      <w:r w:rsidR="00E00863" w:rsidRPr="00066E64">
        <w:t xml:space="preserve"> £</w:t>
      </w:r>
      <w:r w:rsidR="002A11F4" w:rsidRPr="00066E64">
        <w:t>1</w:t>
      </w:r>
      <w:r w:rsidR="00394900">
        <w:t>33</w:t>
      </w:r>
      <w:r w:rsidR="00066E64" w:rsidRPr="00066E64">
        <w:t>k</w:t>
      </w:r>
      <w:r w:rsidR="00E00863" w:rsidRPr="00066E64">
        <w:t xml:space="preserve"> </w:t>
      </w:r>
      <w:r w:rsidR="00D54CE5" w:rsidRPr="00066E64">
        <w:t xml:space="preserve">worth of </w:t>
      </w:r>
      <w:r w:rsidR="00E00863" w:rsidRPr="00066E64">
        <w:t>contingent rents were receivable by the Authority (20</w:t>
      </w:r>
      <w:r w:rsidR="00F07203" w:rsidRPr="00066E64">
        <w:t>2</w:t>
      </w:r>
      <w:r w:rsidR="00394900">
        <w:t>2</w:t>
      </w:r>
      <w:r w:rsidR="00320085" w:rsidRPr="00066E64">
        <w:t>/</w:t>
      </w:r>
      <w:r w:rsidR="000E4FE9" w:rsidRPr="00066E64">
        <w:t>2</w:t>
      </w:r>
      <w:r w:rsidR="00394900">
        <w:t>3</w:t>
      </w:r>
      <w:r w:rsidR="006C2745" w:rsidRPr="00066E64">
        <w:t xml:space="preserve"> £</w:t>
      </w:r>
      <w:r w:rsidR="00F07203" w:rsidRPr="00066E64">
        <w:t>1</w:t>
      </w:r>
      <w:r w:rsidR="00394900">
        <w:t>5</w:t>
      </w:r>
      <w:r w:rsidR="00066E64" w:rsidRPr="00066E64">
        <w:t>1k</w:t>
      </w:r>
      <w:r w:rsidR="00E00863" w:rsidRPr="00066E64">
        <w:t>).</w:t>
      </w:r>
    </w:p>
    <w:p w14:paraId="18174DEF" w14:textId="77777777" w:rsidR="002329B2" w:rsidRDefault="002329B2" w:rsidP="0070459C"/>
    <w:p w14:paraId="485A4866" w14:textId="77777777" w:rsidR="00420AE5" w:rsidRPr="004D5CA8" w:rsidRDefault="00420AE5" w:rsidP="0070459C">
      <w:pPr>
        <w:pStyle w:val="BlockText"/>
        <w:tabs>
          <w:tab w:val="clear" w:pos="1843"/>
          <w:tab w:val="left" w:pos="567"/>
        </w:tabs>
        <w:ind w:left="0" w:right="0"/>
        <w:rPr>
          <w:rFonts w:cs="Arial"/>
          <w:b/>
          <w:highlight w:val="yellow"/>
        </w:rPr>
      </w:pPr>
    </w:p>
    <w:p w14:paraId="485A4867" w14:textId="1E8F0BBA" w:rsidR="00420AE5" w:rsidRPr="006C7E96" w:rsidRDefault="00420AE5" w:rsidP="0070459C">
      <w:pPr>
        <w:pStyle w:val="BlockText"/>
        <w:numPr>
          <w:ilvl w:val="0"/>
          <w:numId w:val="47"/>
        </w:numPr>
        <w:tabs>
          <w:tab w:val="clear" w:pos="1843"/>
          <w:tab w:val="left" w:pos="567"/>
        </w:tabs>
        <w:ind w:left="0" w:right="0" w:firstLine="0"/>
        <w:rPr>
          <w:rFonts w:cs="Arial"/>
          <w:b/>
        </w:rPr>
      </w:pPr>
      <w:bookmarkStart w:id="350" w:name="_Toc167965816"/>
      <w:bookmarkStart w:id="351" w:name="_Hlk167369826"/>
      <w:r w:rsidRPr="006C7E96">
        <w:rPr>
          <w:rStyle w:val="Heading2Char"/>
        </w:rPr>
        <w:t>Contingent Liability</w:t>
      </w:r>
      <w:bookmarkEnd w:id="350"/>
      <w:r w:rsidR="007245DE" w:rsidRPr="006C7E96">
        <w:rPr>
          <w:rFonts w:cs="Arial"/>
          <w:b/>
        </w:rPr>
        <w:t xml:space="preserve"> </w:t>
      </w:r>
    </w:p>
    <w:p w14:paraId="485A4868" w14:textId="77777777" w:rsidR="00420AE5" w:rsidRPr="006D71D1" w:rsidRDefault="00420AE5" w:rsidP="0070459C">
      <w:pPr>
        <w:pStyle w:val="BlockText"/>
        <w:tabs>
          <w:tab w:val="clear" w:pos="1843"/>
          <w:tab w:val="left" w:pos="709"/>
        </w:tabs>
        <w:ind w:left="0" w:right="0"/>
        <w:rPr>
          <w:rFonts w:cs="Arial"/>
          <w:b/>
        </w:rPr>
      </w:pPr>
    </w:p>
    <w:p w14:paraId="3C7F80AC" w14:textId="19930AD1" w:rsidR="00232487" w:rsidRDefault="00232487" w:rsidP="0070459C">
      <w:pPr>
        <w:rPr>
          <w:rFonts w:cs="Arial"/>
          <w:sz w:val="22"/>
          <w:szCs w:val="22"/>
        </w:rPr>
      </w:pPr>
      <w:bookmarkStart w:id="352" w:name="_Hlk134534734"/>
      <w:bookmarkStart w:id="353" w:name="_Hlk164092982"/>
      <w:r>
        <w:rPr>
          <w:rFonts w:cs="Arial"/>
        </w:rPr>
        <w:t xml:space="preserve">Under the provisions of the Conservation (Natural Habitats &amp;c) Regulations 1994 the Authority had an obligation to review any planning permissions on Special Area of Conservation sites. The majority of work was undertaken but there is one site where a review is still in progress. On this site Natural England issued a Notice under the </w:t>
      </w:r>
      <w:r>
        <w:rPr>
          <w:rFonts w:cs="Arial"/>
          <w:lang w:val="en"/>
        </w:rPr>
        <w:t>Environmental Damage (Prevention and Remediation) (England) Regulations 2015 (EDR)</w:t>
      </w:r>
      <w:r>
        <w:rPr>
          <w:rFonts w:cs="Arial"/>
        </w:rPr>
        <w:t xml:space="preserve">. This was appealed and the notice was not upheld by the planning inspectorate. </w:t>
      </w:r>
      <w:r w:rsidR="00936DF9">
        <w:rPr>
          <w:rFonts w:cs="Arial"/>
        </w:rPr>
        <w:t xml:space="preserve">Clarity has been sought from DEFRA as to the next steps.  </w:t>
      </w:r>
    </w:p>
    <w:p w14:paraId="027827D2" w14:textId="77777777" w:rsidR="00232487" w:rsidRDefault="00232487" w:rsidP="0070459C">
      <w:pPr>
        <w:rPr>
          <w:rFonts w:cs="Arial"/>
        </w:rPr>
      </w:pPr>
    </w:p>
    <w:p w14:paraId="569C54E4" w14:textId="4F08A447" w:rsidR="00232487" w:rsidRDefault="00232487" w:rsidP="0070459C">
      <w:pPr>
        <w:rPr>
          <w:rFonts w:cs="Arial"/>
        </w:rPr>
      </w:pPr>
      <w:r>
        <w:rPr>
          <w:rFonts w:cs="Arial"/>
        </w:rPr>
        <w:t xml:space="preserve">Any changes considered necessary to the current planning permissions as a result of this process may lead to a requirement to pay compensation. If LDNPA do not amend the planning permission, there is a possibility that a fine may be levied relating to the Authority’s responsibilities for protection of the site. </w:t>
      </w:r>
    </w:p>
    <w:p w14:paraId="0DFF2081" w14:textId="77777777" w:rsidR="00232487" w:rsidRDefault="00232487" w:rsidP="0070459C">
      <w:pPr>
        <w:rPr>
          <w:rFonts w:cs="Arial"/>
        </w:rPr>
      </w:pPr>
    </w:p>
    <w:p w14:paraId="0F8EB0A9" w14:textId="74FD08DF" w:rsidR="00232487" w:rsidRDefault="00232487" w:rsidP="0070459C">
      <w:pPr>
        <w:rPr>
          <w:rFonts w:cs="Arial"/>
        </w:rPr>
      </w:pPr>
      <w:r>
        <w:rPr>
          <w:rFonts w:cs="Arial"/>
        </w:rPr>
        <w:t>It is not currently possible to make a reliable estimate of the likelihood or amount of any potential compensation payment or fine. Furthermore, legislative changes since the permissions were granted give rise to further options for progress and further uncertainty as to the ultimate course of action. Progress on this matter may or may not involve the Authority directly and significant further action would be required to establish the nature, value and timing of any potential liability.</w:t>
      </w:r>
      <w:bookmarkEnd w:id="352"/>
    </w:p>
    <w:bookmarkEnd w:id="351"/>
    <w:bookmarkEnd w:id="353"/>
    <w:p w14:paraId="485A486A" w14:textId="77777777" w:rsidR="00FE5E19" w:rsidRPr="004D5CA8" w:rsidRDefault="00FE5E19" w:rsidP="0070459C">
      <w:pPr>
        <w:rPr>
          <w:rFonts w:cs="Arial"/>
          <w:highlight w:val="yellow"/>
        </w:rPr>
      </w:pPr>
    </w:p>
    <w:p w14:paraId="4C941281" w14:textId="77777777" w:rsidR="00017FA1" w:rsidRPr="004D5CA8" w:rsidRDefault="00017FA1" w:rsidP="0070459C">
      <w:pPr>
        <w:rPr>
          <w:highlight w:val="yellow"/>
        </w:rPr>
      </w:pPr>
    </w:p>
    <w:p w14:paraId="485A486C" w14:textId="1906C95A" w:rsidR="00E00863" w:rsidRPr="006C7E96" w:rsidRDefault="00E00863" w:rsidP="0070459C">
      <w:pPr>
        <w:pStyle w:val="ListParagraph"/>
        <w:numPr>
          <w:ilvl w:val="0"/>
          <w:numId w:val="47"/>
        </w:numPr>
        <w:ind w:left="0" w:firstLine="0"/>
        <w:rPr>
          <w:b/>
          <w:u w:val="none"/>
        </w:rPr>
      </w:pPr>
      <w:bookmarkStart w:id="354" w:name="_Toc167965817"/>
      <w:r w:rsidRPr="006C7E96">
        <w:rPr>
          <w:rStyle w:val="Heading2Char"/>
          <w:u w:val="none"/>
        </w:rPr>
        <w:t>Financial Instruments</w:t>
      </w:r>
      <w:bookmarkEnd w:id="354"/>
    </w:p>
    <w:p w14:paraId="485A486D" w14:textId="77777777" w:rsidR="00E00863" w:rsidRPr="006D71D1" w:rsidRDefault="00E00863" w:rsidP="0070459C">
      <w:pPr>
        <w:pStyle w:val="Subtitle"/>
      </w:pPr>
    </w:p>
    <w:p w14:paraId="485A486E" w14:textId="77777777" w:rsidR="00F720C0" w:rsidRPr="006D71D1" w:rsidRDefault="00E00863" w:rsidP="0070459C">
      <w:pPr>
        <w:rPr>
          <w:bCs/>
        </w:rPr>
      </w:pPr>
      <w:r w:rsidRPr="006D71D1">
        <w:rPr>
          <w:bCs/>
        </w:rPr>
        <w:t xml:space="preserve">A financial instrument is any contract that gives rise to a financial asset of one entity and a financial liability or equity instrument of another. </w:t>
      </w:r>
      <w:r w:rsidR="00F720C0" w:rsidRPr="006D71D1">
        <w:rPr>
          <w:bCs/>
        </w:rPr>
        <w:t>All other financial assets and liabilities are classified as loans and receivables, debtors and creditors and are carried in the Balance Sheet at amortised cost. Their fair value has been assessed by calculating the present value of the cash flows that will take place over the remaining life of the instrument, using the following assumptions:</w:t>
      </w:r>
    </w:p>
    <w:p w14:paraId="485A486F" w14:textId="77777777" w:rsidR="00F720C0" w:rsidRPr="006D71D1" w:rsidRDefault="00F720C0" w:rsidP="0070459C">
      <w:pPr>
        <w:rPr>
          <w:bCs/>
        </w:rPr>
      </w:pPr>
    </w:p>
    <w:p w14:paraId="4FFC3DC4" w14:textId="77777777" w:rsidR="00AF4316" w:rsidRPr="00AF4316" w:rsidRDefault="00CD7D09" w:rsidP="00AF4316">
      <w:pPr>
        <w:pStyle w:val="ListParagraph"/>
        <w:numPr>
          <w:ilvl w:val="0"/>
          <w:numId w:val="50"/>
        </w:numPr>
        <w:rPr>
          <w:color w:val="000000"/>
          <w:sz w:val="23"/>
          <w:szCs w:val="23"/>
          <w:u w:val="none"/>
        </w:rPr>
      </w:pPr>
      <w:r w:rsidRPr="00AF4316">
        <w:rPr>
          <w:bCs/>
          <w:sz w:val="23"/>
          <w:szCs w:val="23"/>
          <w:u w:val="none"/>
        </w:rPr>
        <w:t>T</w:t>
      </w:r>
      <w:r w:rsidR="00F720C0" w:rsidRPr="00AF4316">
        <w:rPr>
          <w:bCs/>
          <w:sz w:val="23"/>
          <w:szCs w:val="23"/>
          <w:u w:val="none"/>
        </w:rPr>
        <w:t>he fair value of</w:t>
      </w:r>
      <w:r w:rsidR="00F720C0" w:rsidRPr="00AF4316">
        <w:rPr>
          <w:b/>
          <w:bCs/>
          <w:sz w:val="23"/>
          <w:szCs w:val="23"/>
          <w:u w:val="none"/>
        </w:rPr>
        <w:t xml:space="preserve"> </w:t>
      </w:r>
      <w:r w:rsidR="00F720C0" w:rsidRPr="00AF4316">
        <w:rPr>
          <w:bCs/>
          <w:sz w:val="23"/>
          <w:szCs w:val="23"/>
          <w:u w:val="none"/>
        </w:rPr>
        <w:t>trade and other receivables</w:t>
      </w:r>
      <w:r w:rsidR="00F720C0" w:rsidRPr="00AF4316">
        <w:rPr>
          <w:b/>
          <w:bCs/>
          <w:sz w:val="23"/>
          <w:szCs w:val="23"/>
          <w:u w:val="none"/>
        </w:rPr>
        <w:t xml:space="preserve"> </w:t>
      </w:r>
      <w:r w:rsidR="00F720C0" w:rsidRPr="00AF4316">
        <w:rPr>
          <w:bCs/>
          <w:sz w:val="23"/>
          <w:szCs w:val="23"/>
          <w:u w:val="none"/>
        </w:rPr>
        <w:t>and payables</w:t>
      </w:r>
      <w:r w:rsidR="00F720C0" w:rsidRPr="00AF4316">
        <w:rPr>
          <w:b/>
          <w:bCs/>
          <w:sz w:val="23"/>
          <w:szCs w:val="23"/>
          <w:u w:val="none"/>
        </w:rPr>
        <w:t xml:space="preserve"> </w:t>
      </w:r>
      <w:r w:rsidR="00F720C0" w:rsidRPr="00AF4316">
        <w:rPr>
          <w:bCs/>
          <w:sz w:val="23"/>
          <w:szCs w:val="23"/>
          <w:u w:val="none"/>
        </w:rPr>
        <w:t>is taken to be the</w:t>
      </w:r>
      <w:r w:rsidR="00A90E02" w:rsidRPr="00AF4316">
        <w:rPr>
          <w:bCs/>
          <w:sz w:val="23"/>
          <w:szCs w:val="23"/>
          <w:u w:val="none"/>
        </w:rPr>
        <w:t xml:space="preserve"> </w:t>
      </w:r>
      <w:r w:rsidR="00F720C0" w:rsidRPr="00AF4316">
        <w:rPr>
          <w:bCs/>
          <w:sz w:val="23"/>
          <w:szCs w:val="23"/>
          <w:u w:val="none"/>
        </w:rPr>
        <w:t>invoiced or billed amount.</w:t>
      </w:r>
    </w:p>
    <w:p w14:paraId="485A4871" w14:textId="332C927B" w:rsidR="00F720C0" w:rsidRPr="00AF4316" w:rsidRDefault="00CD7D09" w:rsidP="00AF4316">
      <w:pPr>
        <w:pStyle w:val="ListParagraph"/>
        <w:numPr>
          <w:ilvl w:val="0"/>
          <w:numId w:val="50"/>
        </w:numPr>
        <w:rPr>
          <w:color w:val="000000"/>
          <w:sz w:val="23"/>
          <w:szCs w:val="23"/>
          <w:u w:val="none"/>
        </w:rPr>
      </w:pPr>
      <w:r w:rsidRPr="00AF4316">
        <w:rPr>
          <w:bCs/>
          <w:sz w:val="23"/>
          <w:szCs w:val="23"/>
          <w:u w:val="none"/>
        </w:rPr>
        <w:t>T</w:t>
      </w:r>
      <w:r w:rsidR="00F720C0" w:rsidRPr="00AF4316">
        <w:rPr>
          <w:bCs/>
          <w:sz w:val="23"/>
          <w:szCs w:val="23"/>
          <w:u w:val="none"/>
        </w:rPr>
        <w:t>he fair value of cash deposits is taken to be the cash balance as at 31 March</w:t>
      </w:r>
      <w:r w:rsidR="00A90E02" w:rsidRPr="00AF4316">
        <w:rPr>
          <w:bCs/>
          <w:sz w:val="23"/>
          <w:szCs w:val="23"/>
          <w:u w:val="none"/>
        </w:rPr>
        <w:t xml:space="preserve"> </w:t>
      </w:r>
      <w:r w:rsidR="00F720C0" w:rsidRPr="00AF4316">
        <w:rPr>
          <w:bCs/>
          <w:sz w:val="23"/>
          <w:szCs w:val="23"/>
          <w:u w:val="none"/>
        </w:rPr>
        <w:t>20</w:t>
      </w:r>
      <w:r w:rsidR="002C6D08" w:rsidRPr="00AF4316">
        <w:rPr>
          <w:bCs/>
          <w:sz w:val="23"/>
          <w:szCs w:val="23"/>
          <w:u w:val="none"/>
        </w:rPr>
        <w:t>2</w:t>
      </w:r>
      <w:r w:rsidR="00AF4316" w:rsidRPr="00AF4316">
        <w:rPr>
          <w:bCs/>
          <w:sz w:val="23"/>
          <w:szCs w:val="23"/>
          <w:u w:val="none"/>
        </w:rPr>
        <w:t>4</w:t>
      </w:r>
    </w:p>
    <w:p w14:paraId="57FA04C3" w14:textId="77777777" w:rsidR="00FC5A1D" w:rsidRDefault="00FC5A1D" w:rsidP="0070459C">
      <w:pPr>
        <w:rPr>
          <w:bCs/>
        </w:rPr>
      </w:pPr>
    </w:p>
    <w:p w14:paraId="485A4873" w14:textId="34D7DB04" w:rsidR="00E00863" w:rsidRPr="004A25BE" w:rsidRDefault="00E00863" w:rsidP="0070459C">
      <w:pPr>
        <w:rPr>
          <w:bCs/>
        </w:rPr>
      </w:pPr>
      <w:r w:rsidRPr="004A25BE">
        <w:rPr>
          <w:bCs/>
        </w:rPr>
        <w:lastRenderedPageBreak/>
        <w:t>The borrowings and investments disclosed in the Balance Sheet are made up of the following categories of financial instruments:</w:t>
      </w:r>
    </w:p>
    <w:p w14:paraId="485A4874" w14:textId="77777777" w:rsidR="00E00863" w:rsidRPr="004D5CA8" w:rsidRDefault="00E00863" w:rsidP="0070459C">
      <w:pPr>
        <w:rPr>
          <w:bCs/>
          <w:highlight w:val="yellow"/>
        </w:rPr>
      </w:pPr>
    </w:p>
    <w:tbl>
      <w:tblPr>
        <w:tblW w:w="9557" w:type="dxa"/>
        <w:tblLook w:val="04A0" w:firstRow="1" w:lastRow="0" w:firstColumn="1" w:lastColumn="0" w:noHBand="0" w:noVBand="1"/>
      </w:tblPr>
      <w:tblGrid>
        <w:gridCol w:w="4957"/>
        <w:gridCol w:w="1162"/>
        <w:gridCol w:w="1258"/>
        <w:gridCol w:w="1162"/>
        <w:gridCol w:w="1018"/>
      </w:tblGrid>
      <w:tr w:rsidR="004A25BE" w:rsidRPr="004A25BE" w14:paraId="5A3114D7" w14:textId="77777777" w:rsidTr="004A25BE">
        <w:trPr>
          <w:trHeight w:val="290"/>
        </w:trPr>
        <w:tc>
          <w:tcPr>
            <w:tcW w:w="4957" w:type="dxa"/>
            <w:tcBorders>
              <w:top w:val="single" w:sz="4" w:space="0" w:color="auto"/>
              <w:left w:val="single" w:sz="4" w:space="0" w:color="auto"/>
              <w:bottom w:val="nil"/>
              <w:right w:val="nil"/>
            </w:tcBorders>
            <w:shd w:val="clear" w:color="000000" w:fill="000000"/>
            <w:noWrap/>
            <w:vAlign w:val="bottom"/>
            <w:hideMark/>
          </w:tcPr>
          <w:p w14:paraId="04B1FD0E" w14:textId="77777777" w:rsidR="004A25BE" w:rsidRPr="004A25BE" w:rsidRDefault="004A25BE" w:rsidP="0070459C">
            <w:pPr>
              <w:rPr>
                <w:rFonts w:ascii="Calibri" w:hAnsi="Calibri" w:cs="Calibri"/>
                <w:color w:val="000000"/>
                <w:sz w:val="22"/>
                <w:szCs w:val="22"/>
                <w:lang w:eastAsia="en-GB"/>
              </w:rPr>
            </w:pPr>
            <w:bookmarkStart w:id="355" w:name="_MON_1401537022"/>
            <w:bookmarkStart w:id="356" w:name="_MON_1401539349"/>
            <w:bookmarkStart w:id="357" w:name="_MON_1402138513"/>
            <w:bookmarkStart w:id="358" w:name="_MON_1429982596"/>
            <w:bookmarkStart w:id="359" w:name="_MON_1431796315"/>
            <w:bookmarkStart w:id="360" w:name="_MON_1362489146"/>
            <w:bookmarkStart w:id="361" w:name="_MON_1368533898"/>
            <w:bookmarkStart w:id="362" w:name="_MON_1368619211"/>
            <w:bookmarkStart w:id="363" w:name="_MON_1368814463"/>
            <w:bookmarkStart w:id="364" w:name="_MON_1369553314"/>
            <w:bookmarkStart w:id="365" w:name="_MON_1369727835"/>
            <w:bookmarkStart w:id="366" w:name="_MON_1369727862"/>
            <w:bookmarkStart w:id="367" w:name="_MON_1370193946"/>
            <w:bookmarkStart w:id="368" w:name="_MON_1395564221"/>
            <w:bookmarkStart w:id="369" w:name="_MON_1401094361"/>
            <w:bookmarkStart w:id="370" w:name="_MON_1401180517"/>
            <w:bookmarkStart w:id="371" w:name="_MON_1401180637"/>
            <w:bookmarkStart w:id="372" w:name="_MON_1401259345"/>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4A25BE">
              <w:rPr>
                <w:rFonts w:ascii="Calibri" w:hAnsi="Calibri" w:cs="Calibri"/>
                <w:color w:val="000000"/>
                <w:sz w:val="22"/>
                <w:szCs w:val="22"/>
                <w:lang w:eastAsia="en-GB"/>
              </w:rPr>
              <w:t> </w:t>
            </w:r>
          </w:p>
        </w:tc>
        <w:tc>
          <w:tcPr>
            <w:tcW w:w="2420" w:type="dxa"/>
            <w:gridSpan w:val="2"/>
            <w:tcBorders>
              <w:top w:val="single" w:sz="4" w:space="0" w:color="auto"/>
              <w:left w:val="nil"/>
              <w:bottom w:val="single" w:sz="4" w:space="0" w:color="auto"/>
              <w:right w:val="nil"/>
            </w:tcBorders>
            <w:shd w:val="clear" w:color="000000" w:fill="000000"/>
            <w:noWrap/>
            <w:vAlign w:val="bottom"/>
            <w:hideMark/>
          </w:tcPr>
          <w:p w14:paraId="3B45B184" w14:textId="77777777" w:rsidR="004A25BE" w:rsidRPr="004A25BE" w:rsidRDefault="004A25BE" w:rsidP="0070459C">
            <w:pPr>
              <w:jc w:val="center"/>
              <w:rPr>
                <w:rFonts w:cs="Arial"/>
                <w:b/>
                <w:bCs/>
                <w:color w:val="FFFFFF"/>
                <w:sz w:val="22"/>
                <w:szCs w:val="22"/>
                <w:lang w:eastAsia="en-GB"/>
              </w:rPr>
            </w:pPr>
            <w:r w:rsidRPr="004A25BE">
              <w:rPr>
                <w:rFonts w:cs="Arial"/>
                <w:b/>
                <w:bCs/>
                <w:color w:val="FFFFFF"/>
                <w:sz w:val="22"/>
                <w:szCs w:val="22"/>
                <w:lang w:eastAsia="en-GB"/>
              </w:rPr>
              <w:t> </w:t>
            </w:r>
          </w:p>
        </w:tc>
        <w:tc>
          <w:tcPr>
            <w:tcW w:w="2180" w:type="dxa"/>
            <w:gridSpan w:val="2"/>
            <w:tcBorders>
              <w:top w:val="single" w:sz="4" w:space="0" w:color="auto"/>
              <w:left w:val="nil"/>
              <w:bottom w:val="single" w:sz="4" w:space="0" w:color="auto"/>
              <w:right w:val="single" w:sz="4" w:space="0" w:color="000000"/>
            </w:tcBorders>
            <w:shd w:val="clear" w:color="000000" w:fill="000000"/>
            <w:noWrap/>
            <w:vAlign w:val="bottom"/>
            <w:hideMark/>
          </w:tcPr>
          <w:p w14:paraId="7BB7EDF7" w14:textId="77777777" w:rsidR="004A25BE" w:rsidRPr="004A25BE" w:rsidRDefault="004A25BE" w:rsidP="0070459C">
            <w:pPr>
              <w:jc w:val="center"/>
              <w:rPr>
                <w:rFonts w:cs="Arial"/>
                <w:b/>
                <w:bCs/>
                <w:color w:val="FFFFFF"/>
                <w:sz w:val="22"/>
                <w:szCs w:val="22"/>
                <w:lang w:eastAsia="en-GB"/>
              </w:rPr>
            </w:pPr>
            <w:r w:rsidRPr="004A25BE">
              <w:rPr>
                <w:rFonts w:cs="Arial"/>
                <w:b/>
                <w:bCs/>
                <w:color w:val="FFFFFF"/>
                <w:sz w:val="22"/>
                <w:szCs w:val="22"/>
                <w:lang w:eastAsia="en-GB"/>
              </w:rPr>
              <w:t> </w:t>
            </w:r>
          </w:p>
        </w:tc>
      </w:tr>
      <w:tr w:rsidR="004A25BE" w:rsidRPr="004A25BE" w14:paraId="39E28B2C" w14:textId="77777777" w:rsidTr="004A25BE">
        <w:trPr>
          <w:trHeight w:val="290"/>
        </w:trPr>
        <w:tc>
          <w:tcPr>
            <w:tcW w:w="4957" w:type="dxa"/>
            <w:tcBorders>
              <w:top w:val="single" w:sz="4" w:space="0" w:color="auto"/>
              <w:left w:val="single" w:sz="4" w:space="0" w:color="auto"/>
              <w:bottom w:val="nil"/>
              <w:right w:val="nil"/>
            </w:tcBorders>
            <w:shd w:val="clear" w:color="000000" w:fill="000000"/>
            <w:noWrap/>
            <w:vAlign w:val="bottom"/>
            <w:hideMark/>
          </w:tcPr>
          <w:p w14:paraId="27F95C8A" w14:textId="77777777" w:rsidR="004A25BE" w:rsidRPr="004A25BE" w:rsidRDefault="004A25BE" w:rsidP="0070459C">
            <w:pPr>
              <w:rPr>
                <w:rFonts w:ascii="Calibri" w:hAnsi="Calibri" w:cs="Calibri"/>
                <w:color w:val="000000"/>
                <w:sz w:val="22"/>
                <w:szCs w:val="22"/>
                <w:lang w:eastAsia="en-GB"/>
              </w:rPr>
            </w:pPr>
            <w:r w:rsidRPr="004A25BE">
              <w:rPr>
                <w:rFonts w:ascii="Calibri" w:hAnsi="Calibri" w:cs="Calibri"/>
                <w:color w:val="000000"/>
                <w:sz w:val="22"/>
                <w:szCs w:val="22"/>
                <w:lang w:eastAsia="en-GB"/>
              </w:rPr>
              <w:t> </w:t>
            </w:r>
          </w:p>
        </w:tc>
        <w:tc>
          <w:tcPr>
            <w:tcW w:w="2420" w:type="dxa"/>
            <w:gridSpan w:val="2"/>
            <w:tcBorders>
              <w:top w:val="single" w:sz="4" w:space="0" w:color="auto"/>
              <w:left w:val="nil"/>
              <w:bottom w:val="single" w:sz="4" w:space="0" w:color="auto"/>
              <w:right w:val="nil"/>
            </w:tcBorders>
            <w:shd w:val="clear" w:color="000000" w:fill="000000"/>
            <w:noWrap/>
            <w:vAlign w:val="bottom"/>
            <w:hideMark/>
          </w:tcPr>
          <w:p w14:paraId="245FEB35" w14:textId="54EA9769" w:rsidR="004A25BE" w:rsidRPr="004A25BE" w:rsidRDefault="004A25BE" w:rsidP="0070459C">
            <w:pPr>
              <w:jc w:val="center"/>
              <w:rPr>
                <w:rFonts w:cs="Arial"/>
                <w:b/>
                <w:bCs/>
                <w:color w:val="FFFFFF"/>
                <w:sz w:val="22"/>
                <w:szCs w:val="22"/>
                <w:lang w:eastAsia="en-GB"/>
              </w:rPr>
            </w:pPr>
            <w:r w:rsidRPr="004A25BE">
              <w:rPr>
                <w:rFonts w:cs="Arial"/>
                <w:b/>
                <w:bCs/>
                <w:color w:val="FFFFFF"/>
                <w:sz w:val="22"/>
                <w:szCs w:val="22"/>
                <w:lang w:eastAsia="en-GB"/>
              </w:rPr>
              <w:t>31-Mar-2</w:t>
            </w:r>
            <w:r w:rsidR="0003553D">
              <w:rPr>
                <w:rFonts w:cs="Arial"/>
                <w:b/>
                <w:bCs/>
                <w:color w:val="FFFFFF"/>
                <w:sz w:val="22"/>
                <w:szCs w:val="22"/>
                <w:lang w:eastAsia="en-GB"/>
              </w:rPr>
              <w:t>4</w:t>
            </w:r>
          </w:p>
        </w:tc>
        <w:tc>
          <w:tcPr>
            <w:tcW w:w="2180" w:type="dxa"/>
            <w:gridSpan w:val="2"/>
            <w:tcBorders>
              <w:top w:val="single" w:sz="4" w:space="0" w:color="auto"/>
              <w:left w:val="nil"/>
              <w:bottom w:val="single" w:sz="4" w:space="0" w:color="auto"/>
              <w:right w:val="single" w:sz="4" w:space="0" w:color="000000"/>
            </w:tcBorders>
            <w:shd w:val="clear" w:color="000000" w:fill="000000"/>
            <w:noWrap/>
            <w:vAlign w:val="bottom"/>
            <w:hideMark/>
          </w:tcPr>
          <w:p w14:paraId="0ECF1843" w14:textId="77777777" w:rsidR="004A25BE" w:rsidRPr="004A25BE" w:rsidRDefault="004A25BE" w:rsidP="0070459C">
            <w:pPr>
              <w:jc w:val="center"/>
              <w:rPr>
                <w:rFonts w:cs="Arial"/>
                <w:b/>
                <w:bCs/>
                <w:color w:val="FFFFFF"/>
                <w:sz w:val="22"/>
                <w:szCs w:val="22"/>
                <w:lang w:eastAsia="en-GB"/>
              </w:rPr>
            </w:pPr>
            <w:r w:rsidRPr="004A25BE">
              <w:rPr>
                <w:rFonts w:cs="Arial"/>
                <w:b/>
                <w:bCs/>
                <w:color w:val="FFFFFF"/>
                <w:sz w:val="22"/>
                <w:szCs w:val="22"/>
                <w:lang w:eastAsia="en-GB"/>
              </w:rPr>
              <w:t>31-Mar-23</w:t>
            </w:r>
          </w:p>
        </w:tc>
      </w:tr>
      <w:tr w:rsidR="004A25BE" w:rsidRPr="004A25BE" w14:paraId="1A5945AE" w14:textId="77777777" w:rsidTr="004A25BE">
        <w:trPr>
          <w:trHeight w:val="580"/>
        </w:trPr>
        <w:tc>
          <w:tcPr>
            <w:tcW w:w="4957" w:type="dxa"/>
            <w:vMerge w:val="restart"/>
            <w:tcBorders>
              <w:top w:val="nil"/>
              <w:left w:val="single" w:sz="4" w:space="0" w:color="auto"/>
              <w:bottom w:val="nil"/>
              <w:right w:val="nil"/>
            </w:tcBorders>
            <w:shd w:val="clear" w:color="000000" w:fill="000000"/>
            <w:hideMark/>
          </w:tcPr>
          <w:p w14:paraId="4301DFBD" w14:textId="77777777" w:rsidR="004A25BE" w:rsidRPr="004A25BE" w:rsidRDefault="004A25BE" w:rsidP="0070459C">
            <w:pPr>
              <w:jc w:val="center"/>
              <w:rPr>
                <w:rFonts w:cs="Arial"/>
                <w:color w:val="FFFFFF"/>
                <w:lang w:eastAsia="en-GB"/>
              </w:rPr>
            </w:pPr>
            <w:r w:rsidRPr="004A25BE">
              <w:rPr>
                <w:rFonts w:cs="Arial"/>
                <w:color w:val="FFFFFF"/>
                <w:lang w:eastAsia="en-GB"/>
              </w:rPr>
              <w:t> </w:t>
            </w:r>
          </w:p>
        </w:tc>
        <w:tc>
          <w:tcPr>
            <w:tcW w:w="1162" w:type="dxa"/>
            <w:tcBorders>
              <w:top w:val="nil"/>
              <w:left w:val="nil"/>
              <w:bottom w:val="nil"/>
              <w:right w:val="nil"/>
            </w:tcBorders>
            <w:shd w:val="clear" w:color="000000" w:fill="000000"/>
            <w:hideMark/>
          </w:tcPr>
          <w:p w14:paraId="39F13DD0" w14:textId="77777777" w:rsidR="004A25BE" w:rsidRPr="004A25BE" w:rsidRDefault="004A25BE" w:rsidP="0070459C">
            <w:pPr>
              <w:jc w:val="center"/>
              <w:rPr>
                <w:rFonts w:cs="Arial"/>
                <w:b/>
                <w:bCs/>
                <w:color w:val="FFFFFF"/>
                <w:lang w:eastAsia="en-GB"/>
              </w:rPr>
            </w:pPr>
            <w:r w:rsidRPr="004A25BE">
              <w:rPr>
                <w:rFonts w:cs="Arial"/>
                <w:b/>
                <w:bCs/>
                <w:color w:val="FFFFFF"/>
                <w:lang w:eastAsia="en-GB"/>
              </w:rPr>
              <w:t>Carrying amount</w:t>
            </w:r>
          </w:p>
        </w:tc>
        <w:tc>
          <w:tcPr>
            <w:tcW w:w="1258" w:type="dxa"/>
            <w:tcBorders>
              <w:top w:val="nil"/>
              <w:left w:val="nil"/>
              <w:bottom w:val="nil"/>
              <w:right w:val="nil"/>
            </w:tcBorders>
            <w:shd w:val="clear" w:color="000000" w:fill="000000"/>
            <w:hideMark/>
          </w:tcPr>
          <w:p w14:paraId="76DD1A78" w14:textId="77777777" w:rsidR="004A25BE" w:rsidRPr="004A25BE" w:rsidRDefault="004A25BE" w:rsidP="0070459C">
            <w:pPr>
              <w:jc w:val="center"/>
              <w:rPr>
                <w:rFonts w:cs="Arial"/>
                <w:b/>
                <w:bCs/>
                <w:color w:val="FFFFFF"/>
                <w:lang w:eastAsia="en-GB"/>
              </w:rPr>
            </w:pPr>
            <w:r w:rsidRPr="004A25BE">
              <w:rPr>
                <w:rFonts w:cs="Arial"/>
                <w:b/>
                <w:bCs/>
                <w:color w:val="FFFFFF"/>
                <w:lang w:eastAsia="en-GB"/>
              </w:rPr>
              <w:t>Fair Value</w:t>
            </w:r>
          </w:p>
        </w:tc>
        <w:tc>
          <w:tcPr>
            <w:tcW w:w="1162" w:type="dxa"/>
            <w:tcBorders>
              <w:top w:val="nil"/>
              <w:left w:val="nil"/>
              <w:bottom w:val="nil"/>
              <w:right w:val="nil"/>
            </w:tcBorders>
            <w:shd w:val="clear" w:color="000000" w:fill="000000"/>
            <w:hideMark/>
          </w:tcPr>
          <w:p w14:paraId="1B4D597E" w14:textId="77777777" w:rsidR="004A25BE" w:rsidRPr="004A25BE" w:rsidRDefault="004A25BE" w:rsidP="0070459C">
            <w:pPr>
              <w:jc w:val="center"/>
              <w:rPr>
                <w:rFonts w:cs="Arial"/>
                <w:b/>
                <w:bCs/>
                <w:color w:val="FFFFFF"/>
                <w:lang w:eastAsia="en-GB"/>
              </w:rPr>
            </w:pPr>
            <w:r w:rsidRPr="004A25BE">
              <w:rPr>
                <w:rFonts w:cs="Arial"/>
                <w:b/>
                <w:bCs/>
                <w:color w:val="FFFFFF"/>
                <w:lang w:eastAsia="en-GB"/>
              </w:rPr>
              <w:t>Carrying amount</w:t>
            </w:r>
          </w:p>
        </w:tc>
        <w:tc>
          <w:tcPr>
            <w:tcW w:w="1018" w:type="dxa"/>
            <w:tcBorders>
              <w:top w:val="nil"/>
              <w:left w:val="nil"/>
              <w:bottom w:val="nil"/>
              <w:right w:val="single" w:sz="4" w:space="0" w:color="auto"/>
            </w:tcBorders>
            <w:shd w:val="clear" w:color="000000" w:fill="000000"/>
            <w:hideMark/>
          </w:tcPr>
          <w:p w14:paraId="016EFFD5" w14:textId="77777777" w:rsidR="004A25BE" w:rsidRPr="004A25BE" w:rsidRDefault="004A25BE" w:rsidP="0070459C">
            <w:pPr>
              <w:jc w:val="center"/>
              <w:rPr>
                <w:rFonts w:cs="Arial"/>
                <w:b/>
                <w:bCs/>
                <w:color w:val="FFFFFF"/>
                <w:lang w:eastAsia="en-GB"/>
              </w:rPr>
            </w:pPr>
            <w:r w:rsidRPr="004A25BE">
              <w:rPr>
                <w:rFonts w:cs="Arial"/>
                <w:b/>
                <w:bCs/>
                <w:color w:val="FFFFFF"/>
                <w:lang w:eastAsia="en-GB"/>
              </w:rPr>
              <w:t>Fair Value</w:t>
            </w:r>
          </w:p>
        </w:tc>
      </w:tr>
      <w:tr w:rsidR="004A25BE" w:rsidRPr="004A25BE" w14:paraId="3F0CF9C1" w14:textId="77777777" w:rsidTr="004A25BE">
        <w:trPr>
          <w:trHeight w:val="290"/>
        </w:trPr>
        <w:tc>
          <w:tcPr>
            <w:tcW w:w="4957" w:type="dxa"/>
            <w:vMerge/>
            <w:tcBorders>
              <w:top w:val="nil"/>
              <w:left w:val="single" w:sz="4" w:space="0" w:color="auto"/>
              <w:bottom w:val="nil"/>
              <w:right w:val="nil"/>
            </w:tcBorders>
            <w:vAlign w:val="center"/>
            <w:hideMark/>
          </w:tcPr>
          <w:p w14:paraId="6DD2D9A2" w14:textId="77777777" w:rsidR="004A25BE" w:rsidRPr="004A25BE" w:rsidRDefault="004A25BE" w:rsidP="0070459C">
            <w:pPr>
              <w:rPr>
                <w:rFonts w:cs="Arial"/>
                <w:color w:val="FFFFFF"/>
                <w:lang w:eastAsia="en-GB"/>
              </w:rPr>
            </w:pPr>
          </w:p>
        </w:tc>
        <w:tc>
          <w:tcPr>
            <w:tcW w:w="1162" w:type="dxa"/>
            <w:tcBorders>
              <w:top w:val="nil"/>
              <w:left w:val="nil"/>
              <w:bottom w:val="single" w:sz="4" w:space="0" w:color="auto"/>
              <w:right w:val="nil"/>
            </w:tcBorders>
            <w:shd w:val="clear" w:color="000000" w:fill="000000"/>
            <w:hideMark/>
          </w:tcPr>
          <w:p w14:paraId="4CF414BF" w14:textId="49DBBB5A" w:rsidR="004A25BE" w:rsidRPr="004A25BE" w:rsidRDefault="004A25BE" w:rsidP="0070459C">
            <w:pPr>
              <w:jc w:val="center"/>
              <w:rPr>
                <w:rFonts w:cs="Arial"/>
                <w:b/>
                <w:bCs/>
                <w:color w:val="FFFFFF"/>
                <w:lang w:eastAsia="en-GB"/>
              </w:rPr>
            </w:pPr>
            <w:r w:rsidRPr="004A25BE">
              <w:rPr>
                <w:rFonts w:cs="Arial"/>
                <w:b/>
                <w:bCs/>
                <w:color w:val="FFFFFF"/>
                <w:lang w:eastAsia="en-GB"/>
              </w:rPr>
              <w:t>£0</w:t>
            </w:r>
            <w:r w:rsidR="000D3EB1">
              <w:rPr>
                <w:rFonts w:cs="Arial"/>
                <w:b/>
                <w:bCs/>
                <w:color w:val="FFFFFF"/>
                <w:lang w:eastAsia="en-GB"/>
              </w:rPr>
              <w:t>00</w:t>
            </w:r>
          </w:p>
        </w:tc>
        <w:tc>
          <w:tcPr>
            <w:tcW w:w="1258" w:type="dxa"/>
            <w:tcBorders>
              <w:top w:val="nil"/>
              <w:left w:val="nil"/>
              <w:bottom w:val="single" w:sz="4" w:space="0" w:color="auto"/>
              <w:right w:val="nil"/>
            </w:tcBorders>
            <w:shd w:val="clear" w:color="000000" w:fill="000000"/>
            <w:hideMark/>
          </w:tcPr>
          <w:p w14:paraId="4ACCD367" w14:textId="19337D20" w:rsidR="004A25BE" w:rsidRPr="004A25BE" w:rsidRDefault="004A25BE" w:rsidP="0070459C">
            <w:pPr>
              <w:jc w:val="center"/>
              <w:rPr>
                <w:rFonts w:cs="Arial"/>
                <w:b/>
                <w:bCs/>
                <w:color w:val="FFFFFF"/>
                <w:lang w:eastAsia="en-GB"/>
              </w:rPr>
            </w:pPr>
            <w:r w:rsidRPr="004A25BE">
              <w:rPr>
                <w:rFonts w:cs="Arial"/>
                <w:b/>
                <w:bCs/>
                <w:color w:val="FFFFFF"/>
                <w:lang w:eastAsia="en-GB"/>
              </w:rPr>
              <w:t>£0</w:t>
            </w:r>
            <w:r w:rsidR="000D3EB1">
              <w:rPr>
                <w:rFonts w:cs="Arial"/>
                <w:b/>
                <w:bCs/>
                <w:color w:val="FFFFFF"/>
                <w:lang w:eastAsia="en-GB"/>
              </w:rPr>
              <w:t>00</w:t>
            </w:r>
          </w:p>
        </w:tc>
        <w:tc>
          <w:tcPr>
            <w:tcW w:w="1162" w:type="dxa"/>
            <w:tcBorders>
              <w:top w:val="nil"/>
              <w:left w:val="nil"/>
              <w:bottom w:val="single" w:sz="4" w:space="0" w:color="auto"/>
              <w:right w:val="nil"/>
            </w:tcBorders>
            <w:shd w:val="clear" w:color="000000" w:fill="000000"/>
            <w:hideMark/>
          </w:tcPr>
          <w:p w14:paraId="2ED70577" w14:textId="188BE42A" w:rsidR="004A25BE" w:rsidRPr="004A25BE" w:rsidRDefault="004A25BE" w:rsidP="0070459C">
            <w:pPr>
              <w:jc w:val="center"/>
              <w:rPr>
                <w:rFonts w:cs="Arial"/>
                <w:b/>
                <w:bCs/>
                <w:color w:val="FFFFFF"/>
                <w:lang w:eastAsia="en-GB"/>
              </w:rPr>
            </w:pPr>
            <w:r w:rsidRPr="004A25BE">
              <w:rPr>
                <w:rFonts w:cs="Arial"/>
                <w:b/>
                <w:bCs/>
                <w:color w:val="FFFFFF"/>
                <w:lang w:eastAsia="en-GB"/>
              </w:rPr>
              <w:t>£0</w:t>
            </w:r>
            <w:r w:rsidR="000D3EB1">
              <w:rPr>
                <w:rFonts w:cs="Arial"/>
                <w:b/>
                <w:bCs/>
                <w:color w:val="FFFFFF"/>
                <w:lang w:eastAsia="en-GB"/>
              </w:rPr>
              <w:t>00</w:t>
            </w:r>
          </w:p>
        </w:tc>
        <w:tc>
          <w:tcPr>
            <w:tcW w:w="1018" w:type="dxa"/>
            <w:tcBorders>
              <w:top w:val="nil"/>
              <w:left w:val="nil"/>
              <w:bottom w:val="single" w:sz="4" w:space="0" w:color="auto"/>
              <w:right w:val="single" w:sz="4" w:space="0" w:color="auto"/>
            </w:tcBorders>
            <w:shd w:val="clear" w:color="000000" w:fill="000000"/>
            <w:hideMark/>
          </w:tcPr>
          <w:p w14:paraId="09F9610E" w14:textId="7894BBB8" w:rsidR="004A25BE" w:rsidRPr="004A25BE" w:rsidRDefault="004A25BE" w:rsidP="0070459C">
            <w:pPr>
              <w:jc w:val="center"/>
              <w:rPr>
                <w:rFonts w:cs="Arial"/>
                <w:b/>
                <w:bCs/>
                <w:color w:val="FFFFFF"/>
                <w:lang w:eastAsia="en-GB"/>
              </w:rPr>
            </w:pPr>
            <w:r w:rsidRPr="004A25BE">
              <w:rPr>
                <w:rFonts w:cs="Arial"/>
                <w:b/>
                <w:bCs/>
                <w:color w:val="FFFFFF"/>
                <w:lang w:eastAsia="en-GB"/>
              </w:rPr>
              <w:t>£0</w:t>
            </w:r>
            <w:r w:rsidR="000D3EB1">
              <w:rPr>
                <w:rFonts w:cs="Arial"/>
                <w:b/>
                <w:bCs/>
                <w:color w:val="FFFFFF"/>
                <w:lang w:eastAsia="en-GB"/>
              </w:rPr>
              <w:t>00</w:t>
            </w:r>
          </w:p>
        </w:tc>
      </w:tr>
      <w:tr w:rsidR="004A25BE" w:rsidRPr="004A25BE" w14:paraId="382C3720" w14:textId="77777777" w:rsidTr="004A25BE">
        <w:trPr>
          <w:trHeight w:val="290"/>
        </w:trPr>
        <w:tc>
          <w:tcPr>
            <w:tcW w:w="4957" w:type="dxa"/>
            <w:tcBorders>
              <w:top w:val="nil"/>
              <w:left w:val="single" w:sz="4" w:space="0" w:color="auto"/>
              <w:bottom w:val="nil"/>
              <w:right w:val="nil"/>
            </w:tcBorders>
            <w:shd w:val="clear" w:color="auto" w:fill="auto"/>
            <w:hideMark/>
          </w:tcPr>
          <w:p w14:paraId="6FD62645" w14:textId="77777777" w:rsidR="004A25BE" w:rsidRPr="004A25BE" w:rsidRDefault="004A25BE" w:rsidP="0070459C">
            <w:pPr>
              <w:jc w:val="center"/>
              <w:rPr>
                <w:rFonts w:cs="Arial"/>
                <w:color w:val="FFFFFF"/>
                <w:lang w:eastAsia="en-GB"/>
              </w:rPr>
            </w:pPr>
            <w:r w:rsidRPr="004A25BE">
              <w:rPr>
                <w:rFonts w:cs="Arial"/>
                <w:color w:val="FFFFFF"/>
                <w:lang w:eastAsia="en-GB"/>
              </w:rPr>
              <w:t> </w:t>
            </w:r>
          </w:p>
        </w:tc>
        <w:tc>
          <w:tcPr>
            <w:tcW w:w="1162" w:type="dxa"/>
            <w:tcBorders>
              <w:top w:val="nil"/>
              <w:left w:val="nil"/>
              <w:bottom w:val="nil"/>
              <w:right w:val="nil"/>
            </w:tcBorders>
            <w:shd w:val="clear" w:color="auto" w:fill="auto"/>
            <w:hideMark/>
          </w:tcPr>
          <w:p w14:paraId="05871803" w14:textId="77777777" w:rsidR="004A25BE" w:rsidRPr="004A25BE" w:rsidRDefault="004A25BE" w:rsidP="0070459C">
            <w:pPr>
              <w:jc w:val="center"/>
              <w:rPr>
                <w:rFonts w:cs="Arial"/>
                <w:color w:val="FFFFFF"/>
                <w:lang w:eastAsia="en-GB"/>
              </w:rPr>
            </w:pPr>
          </w:p>
        </w:tc>
        <w:tc>
          <w:tcPr>
            <w:tcW w:w="1258" w:type="dxa"/>
            <w:tcBorders>
              <w:top w:val="nil"/>
              <w:left w:val="nil"/>
              <w:bottom w:val="nil"/>
              <w:right w:val="nil"/>
            </w:tcBorders>
            <w:shd w:val="clear" w:color="auto" w:fill="auto"/>
            <w:hideMark/>
          </w:tcPr>
          <w:p w14:paraId="2AB0D0C8" w14:textId="77777777" w:rsidR="004A25BE" w:rsidRPr="004A25BE" w:rsidRDefault="004A25BE" w:rsidP="0070459C">
            <w:pPr>
              <w:jc w:val="center"/>
              <w:rPr>
                <w:rFonts w:ascii="Times New Roman" w:hAnsi="Times New Roman"/>
                <w:sz w:val="20"/>
                <w:szCs w:val="20"/>
                <w:lang w:eastAsia="en-GB"/>
              </w:rPr>
            </w:pPr>
          </w:p>
        </w:tc>
        <w:tc>
          <w:tcPr>
            <w:tcW w:w="1162" w:type="dxa"/>
            <w:tcBorders>
              <w:top w:val="nil"/>
              <w:left w:val="nil"/>
              <w:bottom w:val="nil"/>
              <w:right w:val="nil"/>
            </w:tcBorders>
            <w:shd w:val="clear" w:color="auto" w:fill="auto"/>
            <w:hideMark/>
          </w:tcPr>
          <w:p w14:paraId="5C464A24" w14:textId="77777777" w:rsidR="004A25BE" w:rsidRPr="004A25BE" w:rsidRDefault="004A25BE" w:rsidP="0070459C">
            <w:pPr>
              <w:jc w:val="center"/>
              <w:rPr>
                <w:rFonts w:ascii="Times New Roman" w:hAnsi="Times New Roman"/>
                <w:sz w:val="20"/>
                <w:szCs w:val="20"/>
                <w:lang w:eastAsia="en-GB"/>
              </w:rPr>
            </w:pPr>
          </w:p>
        </w:tc>
        <w:tc>
          <w:tcPr>
            <w:tcW w:w="1018" w:type="dxa"/>
            <w:tcBorders>
              <w:top w:val="nil"/>
              <w:left w:val="nil"/>
              <w:bottom w:val="nil"/>
              <w:right w:val="single" w:sz="4" w:space="0" w:color="auto"/>
            </w:tcBorders>
            <w:shd w:val="clear" w:color="auto" w:fill="auto"/>
            <w:hideMark/>
          </w:tcPr>
          <w:p w14:paraId="0F973DD8" w14:textId="77777777" w:rsidR="004A25BE" w:rsidRPr="004A25BE" w:rsidRDefault="004A25BE" w:rsidP="0070459C">
            <w:pPr>
              <w:jc w:val="center"/>
              <w:rPr>
                <w:rFonts w:cs="Arial"/>
                <w:b/>
                <w:bCs/>
                <w:color w:val="FFFFFF"/>
                <w:lang w:eastAsia="en-GB"/>
              </w:rPr>
            </w:pPr>
            <w:r w:rsidRPr="004A25BE">
              <w:rPr>
                <w:rFonts w:cs="Arial"/>
                <w:b/>
                <w:bCs/>
                <w:color w:val="FFFFFF"/>
                <w:lang w:eastAsia="en-GB"/>
              </w:rPr>
              <w:t> </w:t>
            </w:r>
          </w:p>
        </w:tc>
      </w:tr>
      <w:tr w:rsidR="004A25BE" w:rsidRPr="004A25BE" w14:paraId="0AA12214" w14:textId="77777777" w:rsidTr="004A25BE">
        <w:trPr>
          <w:trHeight w:val="290"/>
        </w:trPr>
        <w:tc>
          <w:tcPr>
            <w:tcW w:w="4957" w:type="dxa"/>
            <w:tcBorders>
              <w:top w:val="nil"/>
              <w:left w:val="single" w:sz="4" w:space="0" w:color="auto"/>
              <w:bottom w:val="nil"/>
              <w:right w:val="nil"/>
            </w:tcBorders>
            <w:shd w:val="clear" w:color="auto" w:fill="auto"/>
            <w:hideMark/>
          </w:tcPr>
          <w:p w14:paraId="134B8E2F" w14:textId="77777777" w:rsidR="004A25BE" w:rsidRPr="004A25BE" w:rsidRDefault="004A25BE" w:rsidP="0070459C">
            <w:pPr>
              <w:rPr>
                <w:rFonts w:cs="Arial"/>
                <w:lang w:eastAsia="en-GB"/>
              </w:rPr>
            </w:pPr>
            <w:r w:rsidRPr="004A25BE">
              <w:rPr>
                <w:rFonts w:cs="Arial"/>
                <w:lang w:eastAsia="en-GB"/>
              </w:rPr>
              <w:t>Financial liabilities - short term creditors</w:t>
            </w:r>
          </w:p>
        </w:tc>
        <w:tc>
          <w:tcPr>
            <w:tcW w:w="1162" w:type="dxa"/>
            <w:tcBorders>
              <w:top w:val="nil"/>
              <w:left w:val="nil"/>
              <w:bottom w:val="nil"/>
              <w:right w:val="nil"/>
            </w:tcBorders>
            <w:shd w:val="clear" w:color="auto" w:fill="auto"/>
            <w:hideMark/>
          </w:tcPr>
          <w:p w14:paraId="549A6675" w14:textId="77777777" w:rsidR="004A25BE" w:rsidRPr="004A25BE" w:rsidRDefault="004A25BE" w:rsidP="0070459C">
            <w:pPr>
              <w:rPr>
                <w:rFonts w:cs="Arial"/>
                <w:lang w:eastAsia="en-GB"/>
              </w:rPr>
            </w:pPr>
          </w:p>
        </w:tc>
        <w:tc>
          <w:tcPr>
            <w:tcW w:w="1258" w:type="dxa"/>
            <w:tcBorders>
              <w:top w:val="nil"/>
              <w:left w:val="nil"/>
              <w:bottom w:val="nil"/>
              <w:right w:val="nil"/>
            </w:tcBorders>
            <w:shd w:val="clear" w:color="auto" w:fill="auto"/>
            <w:hideMark/>
          </w:tcPr>
          <w:p w14:paraId="425977FC" w14:textId="77777777" w:rsidR="004A25BE" w:rsidRPr="004A25BE" w:rsidRDefault="004A25BE" w:rsidP="0070459C">
            <w:pPr>
              <w:jc w:val="center"/>
              <w:rPr>
                <w:rFonts w:ascii="Times New Roman" w:hAnsi="Times New Roman"/>
                <w:sz w:val="20"/>
                <w:szCs w:val="20"/>
                <w:lang w:eastAsia="en-GB"/>
              </w:rPr>
            </w:pPr>
          </w:p>
        </w:tc>
        <w:tc>
          <w:tcPr>
            <w:tcW w:w="1162" w:type="dxa"/>
            <w:tcBorders>
              <w:top w:val="nil"/>
              <w:left w:val="nil"/>
              <w:bottom w:val="nil"/>
              <w:right w:val="nil"/>
            </w:tcBorders>
            <w:shd w:val="clear" w:color="auto" w:fill="auto"/>
            <w:hideMark/>
          </w:tcPr>
          <w:p w14:paraId="7D5CE472" w14:textId="77777777" w:rsidR="004A25BE" w:rsidRPr="004A25BE" w:rsidRDefault="004A25BE" w:rsidP="0070459C">
            <w:pPr>
              <w:jc w:val="center"/>
              <w:rPr>
                <w:rFonts w:ascii="Times New Roman" w:hAnsi="Times New Roman"/>
                <w:sz w:val="20"/>
                <w:szCs w:val="20"/>
                <w:lang w:eastAsia="en-GB"/>
              </w:rPr>
            </w:pPr>
          </w:p>
        </w:tc>
        <w:tc>
          <w:tcPr>
            <w:tcW w:w="1018" w:type="dxa"/>
            <w:tcBorders>
              <w:top w:val="nil"/>
              <w:left w:val="nil"/>
              <w:bottom w:val="nil"/>
              <w:right w:val="single" w:sz="4" w:space="0" w:color="auto"/>
            </w:tcBorders>
            <w:shd w:val="clear" w:color="auto" w:fill="auto"/>
            <w:hideMark/>
          </w:tcPr>
          <w:p w14:paraId="6FB4EAD0" w14:textId="77777777" w:rsidR="004A25BE" w:rsidRPr="004A25BE" w:rsidRDefault="004A25BE" w:rsidP="0070459C">
            <w:pPr>
              <w:jc w:val="center"/>
              <w:rPr>
                <w:rFonts w:cs="Arial"/>
                <w:b/>
                <w:bCs/>
                <w:lang w:eastAsia="en-GB"/>
              </w:rPr>
            </w:pPr>
            <w:r w:rsidRPr="004A25BE">
              <w:rPr>
                <w:rFonts w:cs="Arial"/>
                <w:b/>
                <w:bCs/>
                <w:lang w:eastAsia="en-GB"/>
              </w:rPr>
              <w:t> </w:t>
            </w:r>
          </w:p>
        </w:tc>
      </w:tr>
      <w:tr w:rsidR="004A25BE" w:rsidRPr="004A25BE" w14:paraId="579B5516" w14:textId="77777777" w:rsidTr="004A25BE">
        <w:trPr>
          <w:trHeight w:val="315"/>
        </w:trPr>
        <w:tc>
          <w:tcPr>
            <w:tcW w:w="4957" w:type="dxa"/>
            <w:tcBorders>
              <w:top w:val="nil"/>
              <w:left w:val="single" w:sz="4" w:space="0" w:color="auto"/>
              <w:bottom w:val="nil"/>
              <w:right w:val="nil"/>
            </w:tcBorders>
            <w:shd w:val="clear" w:color="auto" w:fill="auto"/>
            <w:hideMark/>
          </w:tcPr>
          <w:p w14:paraId="62A51E1F" w14:textId="77777777" w:rsidR="004A25BE" w:rsidRPr="004A25BE" w:rsidRDefault="004A25BE" w:rsidP="0070459C">
            <w:pPr>
              <w:rPr>
                <w:rFonts w:cs="Arial"/>
                <w:lang w:eastAsia="en-GB"/>
              </w:rPr>
            </w:pPr>
            <w:r w:rsidRPr="004A25BE">
              <w:rPr>
                <w:rFonts w:cs="Arial"/>
                <w:lang w:eastAsia="en-GB"/>
              </w:rPr>
              <w:t>Financial liabilities carried at contract amount</w:t>
            </w:r>
          </w:p>
        </w:tc>
        <w:tc>
          <w:tcPr>
            <w:tcW w:w="1162" w:type="dxa"/>
            <w:tcBorders>
              <w:top w:val="nil"/>
              <w:left w:val="nil"/>
              <w:bottom w:val="nil"/>
              <w:right w:val="nil"/>
            </w:tcBorders>
            <w:shd w:val="clear" w:color="auto" w:fill="auto"/>
            <w:hideMark/>
          </w:tcPr>
          <w:p w14:paraId="738188B0" w14:textId="404DDD3F" w:rsidR="004A25BE" w:rsidRPr="004A25BE" w:rsidRDefault="000D3EB1" w:rsidP="0070459C">
            <w:pPr>
              <w:jc w:val="right"/>
              <w:rPr>
                <w:rFonts w:cs="Arial"/>
                <w:lang w:eastAsia="en-GB"/>
              </w:rPr>
            </w:pPr>
            <w:r>
              <w:rPr>
                <w:rFonts w:cs="Arial"/>
                <w:lang w:eastAsia="en-GB"/>
              </w:rPr>
              <w:t>741</w:t>
            </w:r>
          </w:p>
        </w:tc>
        <w:tc>
          <w:tcPr>
            <w:tcW w:w="1258" w:type="dxa"/>
            <w:tcBorders>
              <w:top w:val="nil"/>
              <w:left w:val="nil"/>
              <w:bottom w:val="single" w:sz="4" w:space="0" w:color="auto"/>
              <w:right w:val="nil"/>
            </w:tcBorders>
            <w:shd w:val="clear" w:color="auto" w:fill="auto"/>
            <w:hideMark/>
          </w:tcPr>
          <w:p w14:paraId="4B65CAB0" w14:textId="75CC0FE3" w:rsidR="004A25BE" w:rsidRPr="004A25BE" w:rsidRDefault="000D3EB1" w:rsidP="0003553D">
            <w:pPr>
              <w:jc w:val="center"/>
              <w:rPr>
                <w:rFonts w:cs="Arial"/>
                <w:lang w:eastAsia="en-GB"/>
              </w:rPr>
            </w:pPr>
            <w:r>
              <w:rPr>
                <w:rFonts w:cs="Arial"/>
                <w:lang w:eastAsia="en-GB"/>
              </w:rPr>
              <w:t xml:space="preserve">         741</w:t>
            </w:r>
          </w:p>
        </w:tc>
        <w:tc>
          <w:tcPr>
            <w:tcW w:w="1162" w:type="dxa"/>
            <w:tcBorders>
              <w:top w:val="nil"/>
              <w:left w:val="nil"/>
              <w:bottom w:val="nil"/>
              <w:right w:val="nil"/>
            </w:tcBorders>
            <w:shd w:val="clear" w:color="auto" w:fill="auto"/>
            <w:hideMark/>
          </w:tcPr>
          <w:p w14:paraId="1B1D9A6E" w14:textId="77777777" w:rsidR="004A25BE" w:rsidRPr="004A25BE" w:rsidRDefault="004A25BE" w:rsidP="0070459C">
            <w:pPr>
              <w:jc w:val="right"/>
              <w:rPr>
                <w:rFonts w:cs="Arial"/>
                <w:lang w:eastAsia="en-GB"/>
              </w:rPr>
            </w:pPr>
            <w:r w:rsidRPr="004A25BE">
              <w:rPr>
                <w:rFonts w:cs="Arial"/>
                <w:lang w:eastAsia="en-GB"/>
              </w:rPr>
              <w:t>911</w:t>
            </w:r>
          </w:p>
        </w:tc>
        <w:tc>
          <w:tcPr>
            <w:tcW w:w="1018" w:type="dxa"/>
            <w:tcBorders>
              <w:top w:val="nil"/>
              <w:left w:val="nil"/>
              <w:bottom w:val="single" w:sz="4" w:space="0" w:color="auto"/>
              <w:right w:val="single" w:sz="4" w:space="0" w:color="auto"/>
            </w:tcBorders>
            <w:shd w:val="clear" w:color="auto" w:fill="auto"/>
            <w:hideMark/>
          </w:tcPr>
          <w:p w14:paraId="59BA354B" w14:textId="77777777" w:rsidR="004A25BE" w:rsidRPr="004A25BE" w:rsidRDefault="004A25BE" w:rsidP="0070459C">
            <w:pPr>
              <w:jc w:val="right"/>
              <w:rPr>
                <w:rFonts w:cs="Arial"/>
                <w:lang w:eastAsia="en-GB"/>
              </w:rPr>
            </w:pPr>
            <w:r w:rsidRPr="004A25BE">
              <w:rPr>
                <w:rFonts w:cs="Arial"/>
                <w:lang w:eastAsia="en-GB"/>
              </w:rPr>
              <w:t>911</w:t>
            </w:r>
          </w:p>
        </w:tc>
      </w:tr>
      <w:tr w:rsidR="004A25BE" w:rsidRPr="004A25BE" w14:paraId="050CCC6C" w14:textId="77777777" w:rsidTr="004A25BE">
        <w:trPr>
          <w:trHeight w:val="300"/>
        </w:trPr>
        <w:tc>
          <w:tcPr>
            <w:tcW w:w="4957" w:type="dxa"/>
            <w:tcBorders>
              <w:top w:val="nil"/>
              <w:left w:val="single" w:sz="4" w:space="0" w:color="auto"/>
              <w:bottom w:val="nil"/>
              <w:right w:val="nil"/>
            </w:tcBorders>
            <w:shd w:val="clear" w:color="auto" w:fill="auto"/>
            <w:hideMark/>
          </w:tcPr>
          <w:p w14:paraId="7D1C1AD5" w14:textId="77777777" w:rsidR="004A25BE" w:rsidRPr="004A25BE" w:rsidRDefault="004A25BE" w:rsidP="0070459C">
            <w:pPr>
              <w:rPr>
                <w:rFonts w:cs="Arial"/>
                <w:b/>
                <w:bCs/>
                <w:lang w:eastAsia="en-GB"/>
              </w:rPr>
            </w:pPr>
            <w:r w:rsidRPr="004A25BE">
              <w:rPr>
                <w:rFonts w:cs="Arial"/>
                <w:b/>
                <w:bCs/>
                <w:lang w:eastAsia="en-GB"/>
              </w:rPr>
              <w:t>Total included in Creditors</w:t>
            </w:r>
          </w:p>
        </w:tc>
        <w:tc>
          <w:tcPr>
            <w:tcW w:w="1162" w:type="dxa"/>
            <w:tcBorders>
              <w:top w:val="single" w:sz="4" w:space="0" w:color="auto"/>
              <w:left w:val="nil"/>
              <w:bottom w:val="double" w:sz="6" w:space="0" w:color="auto"/>
              <w:right w:val="nil"/>
            </w:tcBorders>
            <w:shd w:val="clear" w:color="auto" w:fill="auto"/>
            <w:vAlign w:val="center"/>
            <w:hideMark/>
          </w:tcPr>
          <w:p w14:paraId="3A3E6885" w14:textId="4EFA22E5" w:rsidR="004A25BE" w:rsidRPr="004A25BE" w:rsidRDefault="000D3EB1" w:rsidP="0070459C">
            <w:pPr>
              <w:jc w:val="right"/>
              <w:rPr>
                <w:rFonts w:cs="Arial"/>
                <w:b/>
                <w:bCs/>
                <w:lang w:eastAsia="en-GB"/>
              </w:rPr>
            </w:pPr>
            <w:r>
              <w:rPr>
                <w:rFonts w:cs="Arial"/>
                <w:b/>
                <w:bCs/>
                <w:lang w:eastAsia="en-GB"/>
              </w:rPr>
              <w:t>741</w:t>
            </w:r>
          </w:p>
        </w:tc>
        <w:tc>
          <w:tcPr>
            <w:tcW w:w="1258" w:type="dxa"/>
            <w:tcBorders>
              <w:top w:val="nil"/>
              <w:left w:val="nil"/>
              <w:bottom w:val="double" w:sz="6" w:space="0" w:color="auto"/>
              <w:right w:val="nil"/>
            </w:tcBorders>
            <w:shd w:val="clear" w:color="auto" w:fill="auto"/>
            <w:vAlign w:val="center"/>
            <w:hideMark/>
          </w:tcPr>
          <w:p w14:paraId="073C9BFF" w14:textId="43E635F8" w:rsidR="004A25BE" w:rsidRPr="004A25BE" w:rsidRDefault="000D3EB1" w:rsidP="0070459C">
            <w:pPr>
              <w:jc w:val="right"/>
              <w:rPr>
                <w:rFonts w:cs="Arial"/>
                <w:b/>
                <w:bCs/>
                <w:lang w:eastAsia="en-GB"/>
              </w:rPr>
            </w:pPr>
            <w:r>
              <w:rPr>
                <w:rFonts w:cs="Arial"/>
                <w:b/>
                <w:bCs/>
                <w:lang w:eastAsia="en-GB"/>
              </w:rPr>
              <w:t>741</w:t>
            </w:r>
          </w:p>
        </w:tc>
        <w:tc>
          <w:tcPr>
            <w:tcW w:w="1162" w:type="dxa"/>
            <w:tcBorders>
              <w:top w:val="single" w:sz="4" w:space="0" w:color="auto"/>
              <w:left w:val="nil"/>
              <w:bottom w:val="double" w:sz="6" w:space="0" w:color="auto"/>
              <w:right w:val="nil"/>
            </w:tcBorders>
            <w:shd w:val="clear" w:color="auto" w:fill="auto"/>
            <w:vAlign w:val="center"/>
            <w:hideMark/>
          </w:tcPr>
          <w:p w14:paraId="3B394BC5" w14:textId="77777777" w:rsidR="004A25BE" w:rsidRPr="004A25BE" w:rsidRDefault="004A25BE" w:rsidP="0070459C">
            <w:pPr>
              <w:jc w:val="right"/>
              <w:rPr>
                <w:rFonts w:cs="Arial"/>
                <w:b/>
                <w:bCs/>
                <w:lang w:eastAsia="en-GB"/>
              </w:rPr>
            </w:pPr>
            <w:r w:rsidRPr="004A25BE">
              <w:rPr>
                <w:rFonts w:cs="Arial"/>
                <w:b/>
                <w:bCs/>
                <w:lang w:eastAsia="en-GB"/>
              </w:rPr>
              <w:t>911</w:t>
            </w:r>
          </w:p>
        </w:tc>
        <w:tc>
          <w:tcPr>
            <w:tcW w:w="1018" w:type="dxa"/>
            <w:tcBorders>
              <w:top w:val="nil"/>
              <w:left w:val="nil"/>
              <w:bottom w:val="double" w:sz="6" w:space="0" w:color="auto"/>
              <w:right w:val="single" w:sz="4" w:space="0" w:color="auto"/>
            </w:tcBorders>
            <w:shd w:val="clear" w:color="auto" w:fill="auto"/>
            <w:vAlign w:val="center"/>
            <w:hideMark/>
          </w:tcPr>
          <w:p w14:paraId="201C9F02" w14:textId="77777777" w:rsidR="004A25BE" w:rsidRPr="004A25BE" w:rsidRDefault="004A25BE" w:rsidP="0070459C">
            <w:pPr>
              <w:jc w:val="right"/>
              <w:rPr>
                <w:rFonts w:cs="Arial"/>
                <w:b/>
                <w:bCs/>
                <w:lang w:eastAsia="en-GB"/>
              </w:rPr>
            </w:pPr>
            <w:r w:rsidRPr="004A25BE">
              <w:rPr>
                <w:rFonts w:cs="Arial"/>
                <w:b/>
                <w:bCs/>
                <w:lang w:eastAsia="en-GB"/>
              </w:rPr>
              <w:t>911</w:t>
            </w:r>
          </w:p>
        </w:tc>
      </w:tr>
      <w:tr w:rsidR="004A25BE" w:rsidRPr="004A25BE" w14:paraId="05A8AB67" w14:textId="77777777" w:rsidTr="004A25BE">
        <w:trPr>
          <w:trHeight w:val="300"/>
        </w:trPr>
        <w:tc>
          <w:tcPr>
            <w:tcW w:w="4957" w:type="dxa"/>
            <w:tcBorders>
              <w:top w:val="nil"/>
              <w:left w:val="single" w:sz="4" w:space="0" w:color="auto"/>
              <w:bottom w:val="nil"/>
              <w:right w:val="nil"/>
            </w:tcBorders>
            <w:shd w:val="clear" w:color="auto" w:fill="auto"/>
            <w:hideMark/>
          </w:tcPr>
          <w:p w14:paraId="570B03A8" w14:textId="77777777" w:rsidR="004A25BE" w:rsidRPr="004A25BE" w:rsidRDefault="004A25BE" w:rsidP="0070459C">
            <w:pPr>
              <w:ind w:firstLineChars="100" w:firstLine="231"/>
              <w:rPr>
                <w:rFonts w:cs="Arial"/>
                <w:b/>
                <w:bCs/>
                <w:lang w:eastAsia="en-GB"/>
              </w:rPr>
            </w:pPr>
            <w:r w:rsidRPr="004A25BE">
              <w:rPr>
                <w:rFonts w:cs="Arial"/>
                <w:b/>
                <w:bCs/>
                <w:lang w:eastAsia="en-GB"/>
              </w:rPr>
              <w:t> </w:t>
            </w:r>
          </w:p>
        </w:tc>
        <w:tc>
          <w:tcPr>
            <w:tcW w:w="1162" w:type="dxa"/>
            <w:tcBorders>
              <w:top w:val="nil"/>
              <w:left w:val="nil"/>
              <w:bottom w:val="nil"/>
              <w:right w:val="nil"/>
            </w:tcBorders>
            <w:shd w:val="clear" w:color="auto" w:fill="auto"/>
            <w:hideMark/>
          </w:tcPr>
          <w:p w14:paraId="5C981541" w14:textId="77777777" w:rsidR="004A25BE" w:rsidRPr="004A25BE" w:rsidRDefault="004A25BE" w:rsidP="0070459C">
            <w:pPr>
              <w:ind w:firstLineChars="100" w:firstLine="231"/>
              <w:rPr>
                <w:rFonts w:cs="Arial"/>
                <w:b/>
                <w:bCs/>
                <w:lang w:eastAsia="en-GB"/>
              </w:rPr>
            </w:pPr>
          </w:p>
        </w:tc>
        <w:tc>
          <w:tcPr>
            <w:tcW w:w="1258" w:type="dxa"/>
            <w:tcBorders>
              <w:top w:val="nil"/>
              <w:left w:val="nil"/>
              <w:bottom w:val="nil"/>
              <w:right w:val="nil"/>
            </w:tcBorders>
            <w:shd w:val="clear" w:color="auto" w:fill="auto"/>
            <w:hideMark/>
          </w:tcPr>
          <w:p w14:paraId="5174348E" w14:textId="77777777" w:rsidR="004A25BE" w:rsidRPr="004A25BE" w:rsidRDefault="004A25BE" w:rsidP="0070459C">
            <w:pPr>
              <w:jc w:val="right"/>
              <w:rPr>
                <w:rFonts w:ascii="Times New Roman" w:hAnsi="Times New Roman"/>
                <w:sz w:val="20"/>
                <w:szCs w:val="20"/>
                <w:lang w:eastAsia="en-GB"/>
              </w:rPr>
            </w:pPr>
          </w:p>
        </w:tc>
        <w:tc>
          <w:tcPr>
            <w:tcW w:w="1162" w:type="dxa"/>
            <w:tcBorders>
              <w:top w:val="nil"/>
              <w:left w:val="nil"/>
              <w:bottom w:val="nil"/>
              <w:right w:val="nil"/>
            </w:tcBorders>
            <w:shd w:val="clear" w:color="auto" w:fill="auto"/>
            <w:hideMark/>
          </w:tcPr>
          <w:p w14:paraId="72111289" w14:textId="77777777" w:rsidR="004A25BE" w:rsidRPr="004A25BE" w:rsidRDefault="004A25BE" w:rsidP="0070459C">
            <w:pPr>
              <w:jc w:val="right"/>
              <w:rPr>
                <w:rFonts w:ascii="Times New Roman" w:hAnsi="Times New Roman"/>
                <w:sz w:val="20"/>
                <w:szCs w:val="20"/>
                <w:lang w:eastAsia="en-GB"/>
              </w:rPr>
            </w:pPr>
          </w:p>
        </w:tc>
        <w:tc>
          <w:tcPr>
            <w:tcW w:w="1018" w:type="dxa"/>
            <w:tcBorders>
              <w:top w:val="nil"/>
              <w:left w:val="nil"/>
              <w:bottom w:val="nil"/>
              <w:right w:val="single" w:sz="4" w:space="0" w:color="auto"/>
            </w:tcBorders>
            <w:shd w:val="clear" w:color="auto" w:fill="auto"/>
            <w:hideMark/>
          </w:tcPr>
          <w:p w14:paraId="140101A4" w14:textId="77777777" w:rsidR="004A25BE" w:rsidRPr="004A25BE" w:rsidRDefault="004A25BE" w:rsidP="0070459C">
            <w:pPr>
              <w:jc w:val="right"/>
              <w:rPr>
                <w:rFonts w:cs="Arial"/>
                <w:b/>
                <w:bCs/>
                <w:lang w:eastAsia="en-GB"/>
              </w:rPr>
            </w:pPr>
            <w:r w:rsidRPr="004A25BE">
              <w:rPr>
                <w:rFonts w:cs="Arial"/>
                <w:b/>
                <w:bCs/>
                <w:lang w:eastAsia="en-GB"/>
              </w:rPr>
              <w:t> </w:t>
            </w:r>
          </w:p>
        </w:tc>
      </w:tr>
      <w:tr w:rsidR="004A25BE" w:rsidRPr="004A25BE" w14:paraId="3FCDFCC0" w14:textId="77777777" w:rsidTr="004A25BE">
        <w:trPr>
          <w:trHeight w:val="290"/>
        </w:trPr>
        <w:tc>
          <w:tcPr>
            <w:tcW w:w="4957" w:type="dxa"/>
            <w:tcBorders>
              <w:top w:val="nil"/>
              <w:left w:val="single" w:sz="4" w:space="0" w:color="auto"/>
              <w:bottom w:val="nil"/>
              <w:right w:val="nil"/>
            </w:tcBorders>
            <w:shd w:val="clear" w:color="auto" w:fill="auto"/>
            <w:hideMark/>
          </w:tcPr>
          <w:p w14:paraId="32C43216" w14:textId="77777777" w:rsidR="004A25BE" w:rsidRPr="004A25BE" w:rsidRDefault="004A25BE" w:rsidP="0070459C">
            <w:pPr>
              <w:rPr>
                <w:rFonts w:cs="Arial"/>
                <w:lang w:eastAsia="en-GB"/>
              </w:rPr>
            </w:pPr>
            <w:r w:rsidRPr="004A25BE">
              <w:rPr>
                <w:rFonts w:cs="Arial"/>
                <w:lang w:eastAsia="en-GB"/>
              </w:rPr>
              <w:t>Financial assets - long term liabilities</w:t>
            </w:r>
          </w:p>
        </w:tc>
        <w:tc>
          <w:tcPr>
            <w:tcW w:w="1162" w:type="dxa"/>
            <w:tcBorders>
              <w:top w:val="nil"/>
              <w:left w:val="nil"/>
              <w:bottom w:val="nil"/>
              <w:right w:val="nil"/>
            </w:tcBorders>
            <w:shd w:val="clear" w:color="auto" w:fill="auto"/>
            <w:hideMark/>
          </w:tcPr>
          <w:p w14:paraId="2BC23B27" w14:textId="77777777" w:rsidR="004A25BE" w:rsidRPr="004A25BE" w:rsidRDefault="004A25BE" w:rsidP="0070459C">
            <w:pPr>
              <w:rPr>
                <w:rFonts w:cs="Arial"/>
                <w:lang w:eastAsia="en-GB"/>
              </w:rPr>
            </w:pPr>
          </w:p>
        </w:tc>
        <w:tc>
          <w:tcPr>
            <w:tcW w:w="1258" w:type="dxa"/>
            <w:tcBorders>
              <w:top w:val="nil"/>
              <w:left w:val="nil"/>
              <w:bottom w:val="nil"/>
              <w:right w:val="nil"/>
            </w:tcBorders>
            <w:shd w:val="clear" w:color="auto" w:fill="auto"/>
            <w:hideMark/>
          </w:tcPr>
          <w:p w14:paraId="556413BE" w14:textId="77777777" w:rsidR="004A25BE" w:rsidRPr="004A25BE" w:rsidRDefault="004A25BE" w:rsidP="0070459C">
            <w:pPr>
              <w:jc w:val="right"/>
              <w:rPr>
                <w:rFonts w:ascii="Times New Roman" w:hAnsi="Times New Roman"/>
                <w:sz w:val="20"/>
                <w:szCs w:val="20"/>
                <w:lang w:eastAsia="en-GB"/>
              </w:rPr>
            </w:pPr>
          </w:p>
        </w:tc>
        <w:tc>
          <w:tcPr>
            <w:tcW w:w="1162" w:type="dxa"/>
            <w:tcBorders>
              <w:top w:val="nil"/>
              <w:left w:val="nil"/>
              <w:bottom w:val="nil"/>
              <w:right w:val="nil"/>
            </w:tcBorders>
            <w:shd w:val="clear" w:color="auto" w:fill="auto"/>
            <w:hideMark/>
          </w:tcPr>
          <w:p w14:paraId="7B565249" w14:textId="77777777" w:rsidR="004A25BE" w:rsidRPr="004A25BE" w:rsidRDefault="004A25BE" w:rsidP="0070459C">
            <w:pPr>
              <w:jc w:val="right"/>
              <w:rPr>
                <w:rFonts w:ascii="Times New Roman" w:hAnsi="Times New Roman"/>
                <w:sz w:val="20"/>
                <w:szCs w:val="20"/>
                <w:lang w:eastAsia="en-GB"/>
              </w:rPr>
            </w:pPr>
          </w:p>
        </w:tc>
        <w:tc>
          <w:tcPr>
            <w:tcW w:w="1018" w:type="dxa"/>
            <w:tcBorders>
              <w:top w:val="nil"/>
              <w:left w:val="nil"/>
              <w:bottom w:val="nil"/>
              <w:right w:val="single" w:sz="4" w:space="0" w:color="auto"/>
            </w:tcBorders>
            <w:shd w:val="clear" w:color="auto" w:fill="auto"/>
            <w:hideMark/>
          </w:tcPr>
          <w:p w14:paraId="399FBACC" w14:textId="77777777" w:rsidR="004A25BE" w:rsidRPr="004A25BE" w:rsidRDefault="004A25BE" w:rsidP="0070459C">
            <w:pPr>
              <w:jc w:val="right"/>
              <w:rPr>
                <w:rFonts w:cs="Arial"/>
                <w:b/>
                <w:bCs/>
                <w:lang w:eastAsia="en-GB"/>
              </w:rPr>
            </w:pPr>
            <w:r w:rsidRPr="004A25BE">
              <w:rPr>
                <w:rFonts w:cs="Arial"/>
                <w:b/>
                <w:bCs/>
                <w:lang w:eastAsia="en-GB"/>
              </w:rPr>
              <w:t> </w:t>
            </w:r>
          </w:p>
        </w:tc>
      </w:tr>
      <w:tr w:rsidR="004A25BE" w:rsidRPr="004A25BE" w14:paraId="27395982" w14:textId="77777777" w:rsidTr="004A25BE">
        <w:trPr>
          <w:trHeight w:val="290"/>
        </w:trPr>
        <w:tc>
          <w:tcPr>
            <w:tcW w:w="4957" w:type="dxa"/>
            <w:tcBorders>
              <w:top w:val="nil"/>
              <w:left w:val="single" w:sz="4" w:space="0" w:color="auto"/>
              <w:bottom w:val="nil"/>
              <w:right w:val="nil"/>
            </w:tcBorders>
            <w:shd w:val="clear" w:color="auto" w:fill="auto"/>
            <w:hideMark/>
          </w:tcPr>
          <w:p w14:paraId="5C662704" w14:textId="77777777" w:rsidR="004A25BE" w:rsidRPr="004A25BE" w:rsidRDefault="004A25BE" w:rsidP="0070459C">
            <w:pPr>
              <w:rPr>
                <w:rFonts w:cs="Arial"/>
                <w:lang w:eastAsia="en-GB"/>
              </w:rPr>
            </w:pPr>
            <w:r w:rsidRPr="004A25BE">
              <w:rPr>
                <w:rFonts w:cs="Arial"/>
                <w:lang w:eastAsia="en-GB"/>
              </w:rPr>
              <w:t>Available for sale financial assets</w:t>
            </w:r>
          </w:p>
        </w:tc>
        <w:tc>
          <w:tcPr>
            <w:tcW w:w="1162" w:type="dxa"/>
            <w:tcBorders>
              <w:top w:val="nil"/>
              <w:left w:val="nil"/>
              <w:bottom w:val="nil"/>
              <w:right w:val="nil"/>
            </w:tcBorders>
            <w:shd w:val="clear" w:color="auto" w:fill="auto"/>
            <w:hideMark/>
          </w:tcPr>
          <w:p w14:paraId="55F3B96A" w14:textId="77777777" w:rsidR="004A25BE" w:rsidRPr="004A25BE" w:rsidRDefault="004A25BE" w:rsidP="0070459C">
            <w:pPr>
              <w:jc w:val="right"/>
              <w:rPr>
                <w:rFonts w:cs="Arial"/>
                <w:lang w:eastAsia="en-GB"/>
              </w:rPr>
            </w:pPr>
            <w:r w:rsidRPr="004A25BE">
              <w:rPr>
                <w:rFonts w:cs="Arial"/>
                <w:lang w:eastAsia="en-GB"/>
              </w:rPr>
              <w:t>0</w:t>
            </w:r>
          </w:p>
        </w:tc>
        <w:tc>
          <w:tcPr>
            <w:tcW w:w="1258" w:type="dxa"/>
            <w:tcBorders>
              <w:top w:val="nil"/>
              <w:left w:val="nil"/>
              <w:bottom w:val="nil"/>
              <w:right w:val="nil"/>
            </w:tcBorders>
            <w:shd w:val="clear" w:color="auto" w:fill="auto"/>
            <w:hideMark/>
          </w:tcPr>
          <w:p w14:paraId="021D061B" w14:textId="77777777" w:rsidR="004A25BE" w:rsidRPr="004A25BE" w:rsidRDefault="004A25BE" w:rsidP="0070459C">
            <w:pPr>
              <w:jc w:val="right"/>
              <w:rPr>
                <w:rFonts w:cs="Arial"/>
                <w:lang w:eastAsia="en-GB"/>
              </w:rPr>
            </w:pPr>
            <w:r w:rsidRPr="004A25BE">
              <w:rPr>
                <w:rFonts w:cs="Arial"/>
                <w:lang w:eastAsia="en-GB"/>
              </w:rPr>
              <w:t>0</w:t>
            </w:r>
          </w:p>
        </w:tc>
        <w:tc>
          <w:tcPr>
            <w:tcW w:w="1162" w:type="dxa"/>
            <w:tcBorders>
              <w:top w:val="nil"/>
              <w:left w:val="nil"/>
              <w:bottom w:val="nil"/>
              <w:right w:val="nil"/>
            </w:tcBorders>
            <w:shd w:val="clear" w:color="auto" w:fill="auto"/>
            <w:hideMark/>
          </w:tcPr>
          <w:p w14:paraId="2E7FF12F" w14:textId="77777777" w:rsidR="004A25BE" w:rsidRPr="004A25BE" w:rsidRDefault="004A25BE" w:rsidP="0070459C">
            <w:pPr>
              <w:jc w:val="right"/>
              <w:rPr>
                <w:rFonts w:cs="Arial"/>
                <w:lang w:eastAsia="en-GB"/>
              </w:rPr>
            </w:pPr>
            <w:r w:rsidRPr="004A25BE">
              <w:rPr>
                <w:rFonts w:cs="Arial"/>
                <w:lang w:eastAsia="en-GB"/>
              </w:rPr>
              <w:t>0</w:t>
            </w:r>
          </w:p>
        </w:tc>
        <w:tc>
          <w:tcPr>
            <w:tcW w:w="1018" w:type="dxa"/>
            <w:tcBorders>
              <w:top w:val="nil"/>
              <w:left w:val="nil"/>
              <w:bottom w:val="nil"/>
              <w:right w:val="single" w:sz="4" w:space="0" w:color="auto"/>
            </w:tcBorders>
            <w:shd w:val="clear" w:color="auto" w:fill="auto"/>
            <w:hideMark/>
          </w:tcPr>
          <w:p w14:paraId="7D545477" w14:textId="77777777" w:rsidR="004A25BE" w:rsidRPr="004A25BE" w:rsidRDefault="004A25BE" w:rsidP="0070459C">
            <w:pPr>
              <w:jc w:val="right"/>
              <w:rPr>
                <w:rFonts w:cs="Arial"/>
                <w:lang w:eastAsia="en-GB"/>
              </w:rPr>
            </w:pPr>
            <w:r w:rsidRPr="004A25BE">
              <w:rPr>
                <w:rFonts w:cs="Arial"/>
                <w:lang w:eastAsia="en-GB"/>
              </w:rPr>
              <w:t>0</w:t>
            </w:r>
          </w:p>
        </w:tc>
      </w:tr>
      <w:tr w:rsidR="004A25BE" w:rsidRPr="004A25BE" w14:paraId="7ED6B43D" w14:textId="77777777" w:rsidTr="004A25BE">
        <w:trPr>
          <w:trHeight w:val="300"/>
        </w:trPr>
        <w:tc>
          <w:tcPr>
            <w:tcW w:w="4957" w:type="dxa"/>
            <w:tcBorders>
              <w:top w:val="nil"/>
              <w:left w:val="single" w:sz="4" w:space="0" w:color="auto"/>
              <w:bottom w:val="nil"/>
              <w:right w:val="nil"/>
            </w:tcBorders>
            <w:shd w:val="clear" w:color="auto" w:fill="auto"/>
            <w:hideMark/>
          </w:tcPr>
          <w:p w14:paraId="5E2BA8DD" w14:textId="77777777" w:rsidR="004A25BE" w:rsidRPr="004A25BE" w:rsidRDefault="004A25BE" w:rsidP="0070459C">
            <w:pPr>
              <w:rPr>
                <w:rFonts w:cs="Arial"/>
                <w:b/>
                <w:bCs/>
                <w:lang w:eastAsia="en-GB"/>
              </w:rPr>
            </w:pPr>
            <w:r w:rsidRPr="004A25BE">
              <w:rPr>
                <w:rFonts w:cs="Arial"/>
                <w:b/>
                <w:bCs/>
                <w:lang w:eastAsia="en-GB"/>
              </w:rPr>
              <w:t>Total included in Long Term Assets</w:t>
            </w:r>
          </w:p>
        </w:tc>
        <w:tc>
          <w:tcPr>
            <w:tcW w:w="1162" w:type="dxa"/>
            <w:tcBorders>
              <w:top w:val="single" w:sz="4" w:space="0" w:color="auto"/>
              <w:left w:val="nil"/>
              <w:bottom w:val="double" w:sz="6" w:space="0" w:color="auto"/>
              <w:right w:val="nil"/>
            </w:tcBorders>
            <w:shd w:val="clear" w:color="auto" w:fill="auto"/>
            <w:hideMark/>
          </w:tcPr>
          <w:p w14:paraId="4BFA21EB" w14:textId="77777777" w:rsidR="004A25BE" w:rsidRPr="004A25BE" w:rsidRDefault="004A25BE" w:rsidP="0070459C">
            <w:pPr>
              <w:jc w:val="right"/>
              <w:rPr>
                <w:rFonts w:cs="Arial"/>
                <w:b/>
                <w:bCs/>
                <w:lang w:eastAsia="en-GB"/>
              </w:rPr>
            </w:pPr>
            <w:r w:rsidRPr="004A25BE">
              <w:rPr>
                <w:rFonts w:cs="Arial"/>
                <w:b/>
                <w:bCs/>
                <w:lang w:eastAsia="en-GB"/>
              </w:rPr>
              <w:t>0</w:t>
            </w:r>
          </w:p>
        </w:tc>
        <w:tc>
          <w:tcPr>
            <w:tcW w:w="1258" w:type="dxa"/>
            <w:tcBorders>
              <w:top w:val="single" w:sz="4" w:space="0" w:color="auto"/>
              <w:left w:val="nil"/>
              <w:bottom w:val="double" w:sz="6" w:space="0" w:color="auto"/>
              <w:right w:val="nil"/>
            </w:tcBorders>
            <w:shd w:val="clear" w:color="auto" w:fill="auto"/>
            <w:hideMark/>
          </w:tcPr>
          <w:p w14:paraId="55F402F8" w14:textId="77777777" w:rsidR="004A25BE" w:rsidRPr="004A25BE" w:rsidRDefault="004A25BE" w:rsidP="0070459C">
            <w:pPr>
              <w:jc w:val="right"/>
              <w:rPr>
                <w:rFonts w:cs="Arial"/>
                <w:b/>
                <w:bCs/>
                <w:lang w:eastAsia="en-GB"/>
              </w:rPr>
            </w:pPr>
            <w:r w:rsidRPr="004A25BE">
              <w:rPr>
                <w:rFonts w:cs="Arial"/>
                <w:b/>
                <w:bCs/>
                <w:lang w:eastAsia="en-GB"/>
              </w:rPr>
              <w:t>0</w:t>
            </w:r>
          </w:p>
        </w:tc>
        <w:tc>
          <w:tcPr>
            <w:tcW w:w="1162" w:type="dxa"/>
            <w:tcBorders>
              <w:top w:val="single" w:sz="4" w:space="0" w:color="auto"/>
              <w:left w:val="nil"/>
              <w:bottom w:val="double" w:sz="6" w:space="0" w:color="auto"/>
              <w:right w:val="nil"/>
            </w:tcBorders>
            <w:shd w:val="clear" w:color="auto" w:fill="auto"/>
            <w:hideMark/>
          </w:tcPr>
          <w:p w14:paraId="0D22D2B1" w14:textId="77777777" w:rsidR="004A25BE" w:rsidRPr="004A25BE" w:rsidRDefault="004A25BE" w:rsidP="0070459C">
            <w:pPr>
              <w:jc w:val="right"/>
              <w:rPr>
                <w:rFonts w:cs="Arial"/>
                <w:b/>
                <w:bCs/>
                <w:lang w:eastAsia="en-GB"/>
              </w:rPr>
            </w:pPr>
            <w:r w:rsidRPr="004A25BE">
              <w:rPr>
                <w:rFonts w:cs="Arial"/>
                <w:b/>
                <w:bCs/>
                <w:lang w:eastAsia="en-GB"/>
              </w:rPr>
              <w:t>0</w:t>
            </w:r>
          </w:p>
        </w:tc>
        <w:tc>
          <w:tcPr>
            <w:tcW w:w="1018" w:type="dxa"/>
            <w:tcBorders>
              <w:top w:val="single" w:sz="4" w:space="0" w:color="auto"/>
              <w:left w:val="nil"/>
              <w:bottom w:val="double" w:sz="6" w:space="0" w:color="auto"/>
              <w:right w:val="single" w:sz="4" w:space="0" w:color="auto"/>
            </w:tcBorders>
            <w:shd w:val="clear" w:color="auto" w:fill="auto"/>
            <w:hideMark/>
          </w:tcPr>
          <w:p w14:paraId="0BF987AD" w14:textId="77777777" w:rsidR="004A25BE" w:rsidRPr="004A25BE" w:rsidRDefault="004A25BE" w:rsidP="0070459C">
            <w:pPr>
              <w:jc w:val="right"/>
              <w:rPr>
                <w:rFonts w:cs="Arial"/>
                <w:b/>
                <w:bCs/>
                <w:lang w:eastAsia="en-GB"/>
              </w:rPr>
            </w:pPr>
            <w:r w:rsidRPr="004A25BE">
              <w:rPr>
                <w:rFonts w:cs="Arial"/>
                <w:b/>
                <w:bCs/>
                <w:lang w:eastAsia="en-GB"/>
              </w:rPr>
              <w:t>0</w:t>
            </w:r>
          </w:p>
        </w:tc>
      </w:tr>
      <w:tr w:rsidR="004A25BE" w:rsidRPr="004A25BE" w14:paraId="5D625D40" w14:textId="77777777" w:rsidTr="004A25BE">
        <w:trPr>
          <w:trHeight w:val="414"/>
        </w:trPr>
        <w:tc>
          <w:tcPr>
            <w:tcW w:w="4957" w:type="dxa"/>
            <w:tcBorders>
              <w:top w:val="nil"/>
              <w:left w:val="single" w:sz="4" w:space="0" w:color="auto"/>
              <w:bottom w:val="nil"/>
              <w:right w:val="nil"/>
            </w:tcBorders>
            <w:shd w:val="clear" w:color="auto" w:fill="auto"/>
            <w:hideMark/>
          </w:tcPr>
          <w:p w14:paraId="575B484C" w14:textId="77777777" w:rsidR="004A25BE" w:rsidRDefault="004A25BE" w:rsidP="0070459C">
            <w:pPr>
              <w:rPr>
                <w:rFonts w:cs="Arial"/>
                <w:lang w:eastAsia="en-GB"/>
              </w:rPr>
            </w:pPr>
          </w:p>
          <w:p w14:paraId="0DCD7170" w14:textId="29EBD51B" w:rsidR="004A25BE" w:rsidRPr="004A25BE" w:rsidRDefault="004A25BE" w:rsidP="0070459C">
            <w:pPr>
              <w:rPr>
                <w:rFonts w:cs="Arial"/>
                <w:lang w:eastAsia="en-GB"/>
              </w:rPr>
            </w:pPr>
            <w:r w:rsidRPr="004A25BE">
              <w:rPr>
                <w:rFonts w:cs="Arial"/>
                <w:lang w:eastAsia="en-GB"/>
              </w:rPr>
              <w:t>Financial assets - short term debtors and cash</w:t>
            </w:r>
          </w:p>
        </w:tc>
        <w:tc>
          <w:tcPr>
            <w:tcW w:w="1162" w:type="dxa"/>
            <w:tcBorders>
              <w:top w:val="nil"/>
              <w:left w:val="nil"/>
              <w:bottom w:val="nil"/>
              <w:right w:val="nil"/>
            </w:tcBorders>
            <w:shd w:val="clear" w:color="auto" w:fill="auto"/>
            <w:hideMark/>
          </w:tcPr>
          <w:p w14:paraId="1D85911C" w14:textId="77777777" w:rsidR="004A25BE" w:rsidRPr="004A25BE" w:rsidRDefault="004A25BE" w:rsidP="0070459C">
            <w:pPr>
              <w:rPr>
                <w:rFonts w:cs="Arial"/>
                <w:lang w:eastAsia="en-GB"/>
              </w:rPr>
            </w:pPr>
          </w:p>
        </w:tc>
        <w:tc>
          <w:tcPr>
            <w:tcW w:w="1258" w:type="dxa"/>
            <w:tcBorders>
              <w:top w:val="nil"/>
              <w:left w:val="nil"/>
              <w:bottom w:val="nil"/>
              <w:right w:val="nil"/>
            </w:tcBorders>
            <w:shd w:val="clear" w:color="auto" w:fill="auto"/>
            <w:hideMark/>
          </w:tcPr>
          <w:p w14:paraId="281C9439" w14:textId="77777777" w:rsidR="004A25BE" w:rsidRPr="004A25BE" w:rsidRDefault="004A25BE" w:rsidP="0070459C">
            <w:pPr>
              <w:ind w:firstLineChars="100" w:firstLine="200"/>
              <w:rPr>
                <w:rFonts w:ascii="Times New Roman" w:hAnsi="Times New Roman"/>
                <w:sz w:val="20"/>
                <w:szCs w:val="20"/>
                <w:lang w:eastAsia="en-GB"/>
              </w:rPr>
            </w:pPr>
          </w:p>
        </w:tc>
        <w:tc>
          <w:tcPr>
            <w:tcW w:w="1162" w:type="dxa"/>
            <w:tcBorders>
              <w:top w:val="nil"/>
              <w:left w:val="nil"/>
              <w:bottom w:val="nil"/>
              <w:right w:val="nil"/>
            </w:tcBorders>
            <w:shd w:val="clear" w:color="auto" w:fill="auto"/>
            <w:hideMark/>
          </w:tcPr>
          <w:p w14:paraId="6B6F1942" w14:textId="77777777" w:rsidR="004A25BE" w:rsidRPr="004A25BE" w:rsidRDefault="004A25BE" w:rsidP="0070459C">
            <w:pPr>
              <w:jc w:val="right"/>
              <w:rPr>
                <w:rFonts w:ascii="Times New Roman" w:hAnsi="Times New Roman"/>
                <w:sz w:val="20"/>
                <w:szCs w:val="20"/>
                <w:lang w:eastAsia="en-GB"/>
              </w:rPr>
            </w:pPr>
          </w:p>
        </w:tc>
        <w:tc>
          <w:tcPr>
            <w:tcW w:w="1018" w:type="dxa"/>
            <w:tcBorders>
              <w:top w:val="nil"/>
              <w:left w:val="nil"/>
              <w:bottom w:val="nil"/>
              <w:right w:val="single" w:sz="4" w:space="0" w:color="auto"/>
            </w:tcBorders>
            <w:shd w:val="clear" w:color="auto" w:fill="auto"/>
            <w:hideMark/>
          </w:tcPr>
          <w:p w14:paraId="2028EEEA" w14:textId="77777777" w:rsidR="004A25BE" w:rsidRPr="004A25BE" w:rsidRDefault="004A25BE" w:rsidP="0070459C">
            <w:pPr>
              <w:jc w:val="right"/>
              <w:rPr>
                <w:rFonts w:cs="Arial"/>
                <w:lang w:eastAsia="en-GB"/>
              </w:rPr>
            </w:pPr>
            <w:r w:rsidRPr="004A25BE">
              <w:rPr>
                <w:rFonts w:cs="Arial"/>
                <w:lang w:eastAsia="en-GB"/>
              </w:rPr>
              <w:t> </w:t>
            </w:r>
          </w:p>
        </w:tc>
      </w:tr>
      <w:tr w:rsidR="004A25BE" w:rsidRPr="004A25BE" w14:paraId="61F7C605" w14:textId="77777777" w:rsidTr="004A25BE">
        <w:trPr>
          <w:trHeight w:val="80"/>
        </w:trPr>
        <w:tc>
          <w:tcPr>
            <w:tcW w:w="4957" w:type="dxa"/>
            <w:tcBorders>
              <w:top w:val="nil"/>
              <w:left w:val="single" w:sz="4" w:space="0" w:color="auto"/>
              <w:bottom w:val="nil"/>
              <w:right w:val="nil"/>
            </w:tcBorders>
            <w:shd w:val="clear" w:color="auto" w:fill="auto"/>
            <w:hideMark/>
          </w:tcPr>
          <w:p w14:paraId="21A03CB7" w14:textId="77777777" w:rsidR="004A25BE" w:rsidRPr="004A25BE" w:rsidRDefault="004A25BE" w:rsidP="0070459C">
            <w:pPr>
              <w:rPr>
                <w:rFonts w:cs="Arial"/>
                <w:lang w:eastAsia="en-GB"/>
              </w:rPr>
            </w:pPr>
            <w:r w:rsidRPr="004A25BE">
              <w:rPr>
                <w:rFonts w:cs="Arial"/>
                <w:lang w:eastAsia="en-GB"/>
              </w:rPr>
              <w:t>Amortised cost</w:t>
            </w:r>
          </w:p>
        </w:tc>
        <w:tc>
          <w:tcPr>
            <w:tcW w:w="1162" w:type="dxa"/>
            <w:tcBorders>
              <w:top w:val="nil"/>
              <w:left w:val="nil"/>
              <w:bottom w:val="single" w:sz="4" w:space="0" w:color="auto"/>
              <w:right w:val="nil"/>
            </w:tcBorders>
            <w:shd w:val="clear" w:color="auto" w:fill="auto"/>
            <w:vAlign w:val="center"/>
            <w:hideMark/>
          </w:tcPr>
          <w:p w14:paraId="1B45F181" w14:textId="18E51524" w:rsidR="004A25BE" w:rsidRPr="004A25BE" w:rsidRDefault="000D3EB1" w:rsidP="0070459C">
            <w:pPr>
              <w:jc w:val="right"/>
              <w:rPr>
                <w:rFonts w:cs="Arial"/>
                <w:sz w:val="22"/>
                <w:szCs w:val="22"/>
                <w:lang w:eastAsia="en-GB"/>
              </w:rPr>
            </w:pPr>
            <w:r>
              <w:rPr>
                <w:rFonts w:cs="Arial"/>
                <w:sz w:val="22"/>
                <w:szCs w:val="22"/>
                <w:lang w:eastAsia="en-GB"/>
              </w:rPr>
              <w:t>4,964</w:t>
            </w:r>
          </w:p>
        </w:tc>
        <w:tc>
          <w:tcPr>
            <w:tcW w:w="1258" w:type="dxa"/>
            <w:tcBorders>
              <w:top w:val="nil"/>
              <w:left w:val="nil"/>
              <w:bottom w:val="single" w:sz="4" w:space="0" w:color="auto"/>
              <w:right w:val="nil"/>
            </w:tcBorders>
            <w:shd w:val="clear" w:color="auto" w:fill="auto"/>
            <w:vAlign w:val="center"/>
            <w:hideMark/>
          </w:tcPr>
          <w:p w14:paraId="654E9E1B" w14:textId="1CF7B894" w:rsidR="004A25BE" w:rsidRPr="004A25BE" w:rsidRDefault="000D3EB1" w:rsidP="0070459C">
            <w:pPr>
              <w:jc w:val="right"/>
              <w:rPr>
                <w:rFonts w:cs="Arial"/>
                <w:sz w:val="22"/>
                <w:szCs w:val="22"/>
                <w:lang w:eastAsia="en-GB"/>
              </w:rPr>
            </w:pPr>
            <w:r>
              <w:rPr>
                <w:rFonts w:cs="Arial"/>
                <w:sz w:val="22"/>
                <w:szCs w:val="22"/>
                <w:lang w:eastAsia="en-GB"/>
              </w:rPr>
              <w:t>4,964</w:t>
            </w:r>
          </w:p>
        </w:tc>
        <w:tc>
          <w:tcPr>
            <w:tcW w:w="1162" w:type="dxa"/>
            <w:tcBorders>
              <w:top w:val="nil"/>
              <w:left w:val="nil"/>
              <w:bottom w:val="single" w:sz="4" w:space="0" w:color="auto"/>
              <w:right w:val="nil"/>
            </w:tcBorders>
            <w:shd w:val="clear" w:color="auto" w:fill="auto"/>
            <w:vAlign w:val="center"/>
            <w:hideMark/>
          </w:tcPr>
          <w:p w14:paraId="14144D26" w14:textId="77777777" w:rsidR="004A25BE" w:rsidRPr="004A25BE" w:rsidRDefault="004A25BE" w:rsidP="0070459C">
            <w:pPr>
              <w:jc w:val="right"/>
              <w:rPr>
                <w:rFonts w:cs="Arial"/>
                <w:sz w:val="22"/>
                <w:szCs w:val="22"/>
                <w:lang w:eastAsia="en-GB"/>
              </w:rPr>
            </w:pPr>
            <w:r w:rsidRPr="004A25BE">
              <w:rPr>
                <w:rFonts w:cs="Arial"/>
                <w:sz w:val="22"/>
                <w:szCs w:val="22"/>
                <w:lang w:eastAsia="en-GB"/>
              </w:rPr>
              <w:t>5,131</w:t>
            </w:r>
          </w:p>
        </w:tc>
        <w:tc>
          <w:tcPr>
            <w:tcW w:w="1018" w:type="dxa"/>
            <w:tcBorders>
              <w:top w:val="nil"/>
              <w:left w:val="nil"/>
              <w:bottom w:val="single" w:sz="4" w:space="0" w:color="auto"/>
              <w:right w:val="single" w:sz="4" w:space="0" w:color="auto"/>
            </w:tcBorders>
            <w:shd w:val="clear" w:color="auto" w:fill="auto"/>
            <w:vAlign w:val="center"/>
            <w:hideMark/>
          </w:tcPr>
          <w:p w14:paraId="69E06E63" w14:textId="77777777" w:rsidR="004A25BE" w:rsidRPr="004A25BE" w:rsidRDefault="004A25BE" w:rsidP="0070459C">
            <w:pPr>
              <w:jc w:val="right"/>
              <w:rPr>
                <w:rFonts w:cs="Arial"/>
                <w:sz w:val="22"/>
                <w:szCs w:val="22"/>
                <w:lang w:eastAsia="en-GB"/>
              </w:rPr>
            </w:pPr>
            <w:r w:rsidRPr="004A25BE">
              <w:rPr>
                <w:rFonts w:cs="Arial"/>
                <w:sz w:val="22"/>
                <w:szCs w:val="22"/>
                <w:lang w:eastAsia="en-GB"/>
              </w:rPr>
              <w:t>5,131</w:t>
            </w:r>
          </w:p>
        </w:tc>
      </w:tr>
      <w:tr w:rsidR="004A25BE" w:rsidRPr="004A25BE" w14:paraId="7FE6ABFA" w14:textId="77777777" w:rsidTr="004A25BE">
        <w:trPr>
          <w:trHeight w:val="300"/>
        </w:trPr>
        <w:tc>
          <w:tcPr>
            <w:tcW w:w="4957" w:type="dxa"/>
            <w:tcBorders>
              <w:top w:val="nil"/>
              <w:left w:val="single" w:sz="4" w:space="0" w:color="auto"/>
              <w:bottom w:val="nil"/>
              <w:right w:val="nil"/>
            </w:tcBorders>
            <w:shd w:val="clear" w:color="auto" w:fill="auto"/>
            <w:hideMark/>
          </w:tcPr>
          <w:p w14:paraId="7974A9E5" w14:textId="77777777" w:rsidR="004A25BE" w:rsidRPr="004A25BE" w:rsidRDefault="004A25BE" w:rsidP="0070459C">
            <w:pPr>
              <w:rPr>
                <w:rFonts w:cs="Arial"/>
                <w:b/>
                <w:bCs/>
                <w:lang w:eastAsia="en-GB"/>
              </w:rPr>
            </w:pPr>
            <w:r w:rsidRPr="004A25BE">
              <w:rPr>
                <w:rFonts w:cs="Arial"/>
                <w:b/>
                <w:bCs/>
                <w:lang w:eastAsia="en-GB"/>
              </w:rPr>
              <w:t>Total included in Current Assets</w:t>
            </w:r>
          </w:p>
        </w:tc>
        <w:tc>
          <w:tcPr>
            <w:tcW w:w="1162" w:type="dxa"/>
            <w:tcBorders>
              <w:top w:val="nil"/>
              <w:left w:val="nil"/>
              <w:bottom w:val="double" w:sz="6" w:space="0" w:color="auto"/>
              <w:right w:val="nil"/>
            </w:tcBorders>
            <w:shd w:val="clear" w:color="auto" w:fill="auto"/>
            <w:vAlign w:val="center"/>
            <w:hideMark/>
          </w:tcPr>
          <w:p w14:paraId="0BA6AE9B" w14:textId="2EAC5B57" w:rsidR="004A25BE" w:rsidRPr="004A25BE" w:rsidRDefault="000D3EB1" w:rsidP="0070459C">
            <w:pPr>
              <w:jc w:val="right"/>
              <w:rPr>
                <w:rFonts w:cs="Arial"/>
                <w:b/>
                <w:bCs/>
                <w:lang w:eastAsia="en-GB"/>
              </w:rPr>
            </w:pPr>
            <w:r>
              <w:rPr>
                <w:rFonts w:cs="Arial"/>
                <w:b/>
                <w:bCs/>
                <w:lang w:eastAsia="en-GB"/>
              </w:rPr>
              <w:t>4,964</w:t>
            </w:r>
          </w:p>
        </w:tc>
        <w:tc>
          <w:tcPr>
            <w:tcW w:w="1258" w:type="dxa"/>
            <w:tcBorders>
              <w:top w:val="nil"/>
              <w:left w:val="nil"/>
              <w:bottom w:val="double" w:sz="6" w:space="0" w:color="auto"/>
              <w:right w:val="nil"/>
            </w:tcBorders>
            <w:shd w:val="clear" w:color="auto" w:fill="auto"/>
            <w:vAlign w:val="center"/>
            <w:hideMark/>
          </w:tcPr>
          <w:p w14:paraId="14851FE4" w14:textId="218423D1" w:rsidR="004A25BE" w:rsidRPr="004A25BE" w:rsidRDefault="000D3EB1" w:rsidP="0070459C">
            <w:pPr>
              <w:jc w:val="right"/>
              <w:rPr>
                <w:rFonts w:cs="Arial"/>
                <w:b/>
                <w:bCs/>
                <w:lang w:eastAsia="en-GB"/>
              </w:rPr>
            </w:pPr>
            <w:r>
              <w:rPr>
                <w:rFonts w:cs="Arial"/>
                <w:b/>
                <w:bCs/>
                <w:lang w:eastAsia="en-GB"/>
              </w:rPr>
              <w:t>4,964</w:t>
            </w:r>
          </w:p>
        </w:tc>
        <w:tc>
          <w:tcPr>
            <w:tcW w:w="1162" w:type="dxa"/>
            <w:tcBorders>
              <w:top w:val="nil"/>
              <w:left w:val="nil"/>
              <w:bottom w:val="double" w:sz="6" w:space="0" w:color="auto"/>
              <w:right w:val="nil"/>
            </w:tcBorders>
            <w:shd w:val="clear" w:color="auto" w:fill="auto"/>
            <w:vAlign w:val="center"/>
            <w:hideMark/>
          </w:tcPr>
          <w:p w14:paraId="52252E6A" w14:textId="77777777" w:rsidR="004A25BE" w:rsidRPr="004A25BE" w:rsidRDefault="004A25BE" w:rsidP="0070459C">
            <w:pPr>
              <w:jc w:val="right"/>
              <w:rPr>
                <w:rFonts w:cs="Arial"/>
                <w:b/>
                <w:bCs/>
                <w:lang w:eastAsia="en-GB"/>
              </w:rPr>
            </w:pPr>
            <w:r w:rsidRPr="004A25BE">
              <w:rPr>
                <w:rFonts w:cs="Arial"/>
                <w:b/>
                <w:bCs/>
                <w:lang w:eastAsia="en-GB"/>
              </w:rPr>
              <w:t>5,131</w:t>
            </w:r>
          </w:p>
        </w:tc>
        <w:tc>
          <w:tcPr>
            <w:tcW w:w="1018" w:type="dxa"/>
            <w:tcBorders>
              <w:top w:val="nil"/>
              <w:left w:val="nil"/>
              <w:bottom w:val="double" w:sz="6" w:space="0" w:color="auto"/>
              <w:right w:val="single" w:sz="4" w:space="0" w:color="auto"/>
            </w:tcBorders>
            <w:shd w:val="clear" w:color="auto" w:fill="auto"/>
            <w:vAlign w:val="center"/>
            <w:hideMark/>
          </w:tcPr>
          <w:p w14:paraId="7772885F" w14:textId="77777777" w:rsidR="004A25BE" w:rsidRPr="004A25BE" w:rsidRDefault="004A25BE" w:rsidP="0070459C">
            <w:pPr>
              <w:jc w:val="right"/>
              <w:rPr>
                <w:rFonts w:cs="Arial"/>
                <w:b/>
                <w:bCs/>
                <w:lang w:eastAsia="en-GB"/>
              </w:rPr>
            </w:pPr>
            <w:r w:rsidRPr="004A25BE">
              <w:rPr>
                <w:rFonts w:cs="Arial"/>
                <w:b/>
                <w:bCs/>
                <w:lang w:eastAsia="en-GB"/>
              </w:rPr>
              <w:t>5,131</w:t>
            </w:r>
          </w:p>
        </w:tc>
      </w:tr>
      <w:tr w:rsidR="004A25BE" w:rsidRPr="004A25BE" w14:paraId="1FBE7478" w14:textId="77777777" w:rsidTr="004A25BE">
        <w:trPr>
          <w:trHeight w:val="300"/>
        </w:trPr>
        <w:tc>
          <w:tcPr>
            <w:tcW w:w="4957" w:type="dxa"/>
            <w:tcBorders>
              <w:top w:val="nil"/>
              <w:left w:val="single" w:sz="4" w:space="0" w:color="auto"/>
              <w:bottom w:val="single" w:sz="4" w:space="0" w:color="auto"/>
              <w:right w:val="nil"/>
            </w:tcBorders>
            <w:shd w:val="clear" w:color="auto" w:fill="auto"/>
            <w:hideMark/>
          </w:tcPr>
          <w:p w14:paraId="4F60A59B" w14:textId="77777777" w:rsidR="004A25BE" w:rsidRPr="004A25BE" w:rsidRDefault="004A25BE" w:rsidP="0070459C">
            <w:pPr>
              <w:jc w:val="center"/>
              <w:rPr>
                <w:rFonts w:cs="Arial"/>
                <w:lang w:eastAsia="en-GB"/>
              </w:rPr>
            </w:pPr>
            <w:r w:rsidRPr="004A25BE">
              <w:rPr>
                <w:rFonts w:cs="Arial"/>
                <w:lang w:eastAsia="en-GB"/>
              </w:rPr>
              <w:t> </w:t>
            </w:r>
          </w:p>
        </w:tc>
        <w:tc>
          <w:tcPr>
            <w:tcW w:w="1162" w:type="dxa"/>
            <w:tcBorders>
              <w:top w:val="nil"/>
              <w:left w:val="nil"/>
              <w:bottom w:val="single" w:sz="4" w:space="0" w:color="auto"/>
              <w:right w:val="nil"/>
            </w:tcBorders>
            <w:shd w:val="clear" w:color="auto" w:fill="auto"/>
            <w:hideMark/>
          </w:tcPr>
          <w:p w14:paraId="49BE1B07" w14:textId="77777777" w:rsidR="004A25BE" w:rsidRPr="004A25BE" w:rsidRDefault="004A25BE" w:rsidP="0070459C">
            <w:pPr>
              <w:jc w:val="center"/>
              <w:rPr>
                <w:rFonts w:cs="Arial"/>
                <w:lang w:eastAsia="en-GB"/>
              </w:rPr>
            </w:pPr>
            <w:r w:rsidRPr="004A25BE">
              <w:rPr>
                <w:rFonts w:cs="Arial"/>
                <w:lang w:eastAsia="en-GB"/>
              </w:rPr>
              <w:t> </w:t>
            </w:r>
          </w:p>
        </w:tc>
        <w:tc>
          <w:tcPr>
            <w:tcW w:w="1258" w:type="dxa"/>
            <w:tcBorders>
              <w:top w:val="nil"/>
              <w:left w:val="nil"/>
              <w:bottom w:val="single" w:sz="4" w:space="0" w:color="auto"/>
              <w:right w:val="nil"/>
            </w:tcBorders>
            <w:shd w:val="clear" w:color="auto" w:fill="auto"/>
            <w:hideMark/>
          </w:tcPr>
          <w:p w14:paraId="1D1FAEB7" w14:textId="77777777" w:rsidR="004A25BE" w:rsidRPr="004A25BE" w:rsidRDefault="004A25BE" w:rsidP="0070459C">
            <w:pPr>
              <w:jc w:val="center"/>
              <w:rPr>
                <w:rFonts w:cs="Arial"/>
                <w:lang w:eastAsia="en-GB"/>
              </w:rPr>
            </w:pPr>
            <w:r w:rsidRPr="004A25BE">
              <w:rPr>
                <w:rFonts w:cs="Arial"/>
                <w:lang w:eastAsia="en-GB"/>
              </w:rPr>
              <w:t> </w:t>
            </w:r>
          </w:p>
        </w:tc>
        <w:tc>
          <w:tcPr>
            <w:tcW w:w="1162" w:type="dxa"/>
            <w:tcBorders>
              <w:top w:val="nil"/>
              <w:left w:val="nil"/>
              <w:bottom w:val="single" w:sz="4" w:space="0" w:color="auto"/>
              <w:right w:val="nil"/>
            </w:tcBorders>
            <w:shd w:val="clear" w:color="auto" w:fill="auto"/>
            <w:hideMark/>
          </w:tcPr>
          <w:p w14:paraId="637E6DC8" w14:textId="77777777" w:rsidR="004A25BE" w:rsidRPr="004A25BE" w:rsidRDefault="004A25BE" w:rsidP="0070459C">
            <w:pPr>
              <w:jc w:val="center"/>
              <w:rPr>
                <w:rFonts w:cs="Arial"/>
                <w:lang w:eastAsia="en-GB"/>
              </w:rPr>
            </w:pPr>
            <w:r w:rsidRPr="004A25BE">
              <w:rPr>
                <w:rFonts w:cs="Arial"/>
                <w:lang w:eastAsia="en-GB"/>
              </w:rPr>
              <w:t> </w:t>
            </w:r>
          </w:p>
        </w:tc>
        <w:tc>
          <w:tcPr>
            <w:tcW w:w="1018" w:type="dxa"/>
            <w:tcBorders>
              <w:top w:val="nil"/>
              <w:left w:val="nil"/>
              <w:bottom w:val="single" w:sz="4" w:space="0" w:color="auto"/>
              <w:right w:val="single" w:sz="4" w:space="0" w:color="auto"/>
            </w:tcBorders>
            <w:shd w:val="clear" w:color="auto" w:fill="auto"/>
            <w:hideMark/>
          </w:tcPr>
          <w:p w14:paraId="0446808E" w14:textId="77777777" w:rsidR="004A25BE" w:rsidRPr="004A25BE" w:rsidRDefault="004A25BE" w:rsidP="0070459C">
            <w:pPr>
              <w:jc w:val="center"/>
              <w:rPr>
                <w:rFonts w:cs="Arial"/>
                <w:lang w:eastAsia="en-GB"/>
              </w:rPr>
            </w:pPr>
            <w:r w:rsidRPr="004A25BE">
              <w:rPr>
                <w:rFonts w:cs="Arial"/>
                <w:lang w:eastAsia="en-GB"/>
              </w:rPr>
              <w:t> </w:t>
            </w:r>
          </w:p>
        </w:tc>
      </w:tr>
    </w:tbl>
    <w:p w14:paraId="485A4877" w14:textId="15C0D704" w:rsidR="00F07E20" w:rsidRPr="004D5CA8" w:rsidRDefault="00F07E20" w:rsidP="0070459C">
      <w:pPr>
        <w:rPr>
          <w:color w:val="FF0000"/>
          <w:highlight w:val="yellow"/>
        </w:rPr>
      </w:pPr>
    </w:p>
    <w:p w14:paraId="485A4878" w14:textId="34BB5CD5" w:rsidR="00E00863" w:rsidRPr="006C7E96" w:rsidRDefault="00E00863" w:rsidP="0070459C">
      <w:pPr>
        <w:pStyle w:val="ListParagraph"/>
        <w:numPr>
          <w:ilvl w:val="0"/>
          <w:numId w:val="47"/>
        </w:numPr>
        <w:ind w:left="0" w:firstLine="0"/>
        <w:rPr>
          <w:b/>
          <w:bCs/>
          <w:u w:val="none"/>
        </w:rPr>
      </w:pPr>
      <w:bookmarkStart w:id="373" w:name="_Toc167965818"/>
      <w:r w:rsidRPr="006C7E96">
        <w:rPr>
          <w:rStyle w:val="Heading2Char"/>
          <w:u w:val="none"/>
        </w:rPr>
        <w:t>Nature and extent of risks arising from Financial Instruments</w:t>
      </w:r>
      <w:bookmarkEnd w:id="373"/>
      <w:r w:rsidR="00AF4316" w:rsidRPr="006C7E96">
        <w:rPr>
          <w:rStyle w:val="Heading2Char"/>
          <w:u w:val="none"/>
        </w:rPr>
        <w:t xml:space="preserve"> </w:t>
      </w:r>
    </w:p>
    <w:p w14:paraId="485A4879" w14:textId="77777777" w:rsidR="00E00863" w:rsidRPr="006D71D1" w:rsidRDefault="00E00863" w:rsidP="0070459C">
      <w:pPr>
        <w:rPr>
          <w:b/>
          <w:bCs/>
        </w:rPr>
      </w:pPr>
    </w:p>
    <w:p w14:paraId="485A487A" w14:textId="77777777" w:rsidR="00E00863" w:rsidRPr="006D71D1" w:rsidRDefault="00E00863" w:rsidP="0070459C">
      <w:pPr>
        <w:rPr>
          <w:bCs/>
        </w:rPr>
      </w:pPr>
      <w:r w:rsidRPr="006D71D1">
        <w:rPr>
          <w:bCs/>
        </w:rPr>
        <w:t>The Authority’s activities expose it to a variety of financial risks</w:t>
      </w:r>
      <w:r w:rsidR="00C33ED6" w:rsidRPr="006D71D1">
        <w:rPr>
          <w:bCs/>
        </w:rPr>
        <w:t>:</w:t>
      </w:r>
    </w:p>
    <w:p w14:paraId="485A487B" w14:textId="77777777" w:rsidR="005F02ED" w:rsidRPr="006D71D1" w:rsidRDefault="005F02ED" w:rsidP="0070459C">
      <w:pPr>
        <w:rPr>
          <w:bCs/>
        </w:rPr>
      </w:pPr>
    </w:p>
    <w:p w14:paraId="485A487C" w14:textId="77777777" w:rsidR="00E00863" w:rsidRPr="006D71D1" w:rsidRDefault="005F02ED" w:rsidP="006C7E96">
      <w:pPr>
        <w:numPr>
          <w:ilvl w:val="0"/>
          <w:numId w:val="6"/>
        </w:numPr>
        <w:tabs>
          <w:tab w:val="clear" w:pos="1440"/>
          <w:tab w:val="num" w:pos="1134"/>
        </w:tabs>
        <w:ind w:left="1134" w:hanging="567"/>
        <w:rPr>
          <w:bCs/>
          <w:sz w:val="22"/>
          <w:szCs w:val="22"/>
        </w:rPr>
      </w:pPr>
      <w:r w:rsidRPr="006D71D1">
        <w:rPr>
          <w:bCs/>
          <w:sz w:val="22"/>
          <w:szCs w:val="22"/>
        </w:rPr>
        <w:t>C</w:t>
      </w:r>
      <w:r w:rsidR="00E00863" w:rsidRPr="006D71D1">
        <w:rPr>
          <w:bCs/>
          <w:sz w:val="22"/>
          <w:szCs w:val="22"/>
        </w:rPr>
        <w:t xml:space="preserve">redit risk – the possibility that other parties might fail to pay amounts due to the </w:t>
      </w:r>
      <w:r w:rsidR="003217C4" w:rsidRPr="006D71D1">
        <w:rPr>
          <w:bCs/>
          <w:sz w:val="22"/>
          <w:szCs w:val="22"/>
        </w:rPr>
        <w:t>A</w:t>
      </w:r>
      <w:r w:rsidR="00E00863" w:rsidRPr="006D71D1">
        <w:rPr>
          <w:bCs/>
          <w:sz w:val="22"/>
          <w:szCs w:val="22"/>
        </w:rPr>
        <w:t>uthority</w:t>
      </w:r>
    </w:p>
    <w:p w14:paraId="485A487D" w14:textId="77777777" w:rsidR="00E00863" w:rsidRPr="006D71D1" w:rsidRDefault="00E00863" w:rsidP="006C7E96">
      <w:pPr>
        <w:numPr>
          <w:ilvl w:val="0"/>
          <w:numId w:val="6"/>
        </w:numPr>
        <w:tabs>
          <w:tab w:val="clear" w:pos="1440"/>
          <w:tab w:val="num" w:pos="1134"/>
        </w:tabs>
        <w:ind w:left="1134" w:hanging="567"/>
        <w:rPr>
          <w:bCs/>
          <w:sz w:val="22"/>
          <w:szCs w:val="22"/>
        </w:rPr>
      </w:pPr>
      <w:r w:rsidRPr="006D71D1">
        <w:rPr>
          <w:bCs/>
          <w:sz w:val="22"/>
          <w:szCs w:val="22"/>
        </w:rPr>
        <w:t>liquidity risk – the possibility that the Authority might not have funds available to meet its commitments to make payments</w:t>
      </w:r>
    </w:p>
    <w:p w14:paraId="485A487E" w14:textId="77777777" w:rsidR="00E00863" w:rsidRPr="006D71D1" w:rsidRDefault="00E00863" w:rsidP="006C7E96">
      <w:pPr>
        <w:numPr>
          <w:ilvl w:val="0"/>
          <w:numId w:val="6"/>
        </w:numPr>
        <w:tabs>
          <w:tab w:val="clear" w:pos="1440"/>
          <w:tab w:val="num" w:pos="1134"/>
        </w:tabs>
        <w:ind w:left="1134" w:hanging="567"/>
        <w:rPr>
          <w:bCs/>
          <w:sz w:val="22"/>
          <w:szCs w:val="22"/>
        </w:rPr>
      </w:pPr>
      <w:r w:rsidRPr="006D71D1">
        <w:rPr>
          <w:bCs/>
          <w:sz w:val="22"/>
          <w:szCs w:val="22"/>
        </w:rPr>
        <w:t>market risk – the possibility that financial loss might arise for the Authority as a result of changes in such measures as interest rates and stock market investments.</w:t>
      </w:r>
    </w:p>
    <w:p w14:paraId="485A487F" w14:textId="77777777" w:rsidR="00E00863" w:rsidRPr="006D71D1" w:rsidRDefault="00E00863" w:rsidP="0070459C">
      <w:pPr>
        <w:rPr>
          <w:b/>
          <w:bCs/>
        </w:rPr>
      </w:pPr>
    </w:p>
    <w:p w14:paraId="485A4880" w14:textId="77777777" w:rsidR="00E00863" w:rsidRPr="006D71D1" w:rsidRDefault="00E00863" w:rsidP="0070459C">
      <w:pPr>
        <w:rPr>
          <w:bCs/>
        </w:rPr>
      </w:pPr>
      <w:r w:rsidRPr="006D71D1">
        <w:rPr>
          <w:bCs/>
        </w:rPr>
        <w:t>In order to minimise the risks</w:t>
      </w:r>
      <w:r w:rsidRPr="006D71D1">
        <w:rPr>
          <w:b/>
          <w:bCs/>
        </w:rPr>
        <w:t xml:space="preserve"> </w:t>
      </w:r>
      <w:r w:rsidRPr="006D71D1">
        <w:rPr>
          <w:bCs/>
        </w:rPr>
        <w:t xml:space="preserve">the Authority has adopted the CIPFA Code of Practice for Treasury Management. </w:t>
      </w:r>
      <w:r w:rsidR="00C33ED6" w:rsidRPr="006D71D1">
        <w:rPr>
          <w:bCs/>
        </w:rPr>
        <w:t>Accordingly</w:t>
      </w:r>
      <w:r w:rsidRPr="006D71D1">
        <w:rPr>
          <w:bCs/>
        </w:rPr>
        <w:t>, the Authority approves an annual Treasury Management Strategy which sets out policies on borrowing, investment, financing and interest rate exposure.</w:t>
      </w:r>
    </w:p>
    <w:p w14:paraId="61D22FD0" w14:textId="77777777" w:rsidR="00FC5A1D" w:rsidRDefault="00FC5A1D" w:rsidP="0070459C">
      <w:pPr>
        <w:rPr>
          <w:b/>
        </w:rPr>
      </w:pPr>
    </w:p>
    <w:p w14:paraId="485A4882" w14:textId="7A2468B7" w:rsidR="00E00863" w:rsidRPr="006D71D1" w:rsidRDefault="00E00863" w:rsidP="0070459C">
      <w:pPr>
        <w:rPr>
          <w:b/>
        </w:rPr>
      </w:pPr>
      <w:r w:rsidRPr="006D71D1">
        <w:rPr>
          <w:b/>
        </w:rPr>
        <w:t>Credit risk</w:t>
      </w:r>
    </w:p>
    <w:p w14:paraId="485A4883" w14:textId="77777777" w:rsidR="0022100A" w:rsidRPr="006D71D1" w:rsidRDefault="0022100A" w:rsidP="0070459C">
      <w:pPr>
        <w:rPr>
          <w:bCs/>
        </w:rPr>
      </w:pPr>
    </w:p>
    <w:p w14:paraId="485A4884" w14:textId="09059CA2" w:rsidR="00113660" w:rsidRPr="006D71D1" w:rsidRDefault="00E00863" w:rsidP="0070459C">
      <w:pPr>
        <w:rPr>
          <w:bCs/>
        </w:rPr>
      </w:pPr>
      <w:r w:rsidRPr="006D71D1">
        <w:rPr>
          <w:bCs/>
        </w:rPr>
        <w:t xml:space="preserve">Credit risk arises from deposits with banks and financial institutions, as well as credit exposures to customers. The Authority’s </w:t>
      </w:r>
      <w:r w:rsidR="00153056" w:rsidRPr="006D71D1">
        <w:rPr>
          <w:bCs/>
        </w:rPr>
        <w:t>T</w:t>
      </w:r>
      <w:r w:rsidRPr="006D71D1">
        <w:rPr>
          <w:bCs/>
        </w:rPr>
        <w:t xml:space="preserve">reasury </w:t>
      </w:r>
      <w:r w:rsidR="00153056" w:rsidRPr="006D71D1">
        <w:rPr>
          <w:bCs/>
        </w:rPr>
        <w:t>M</w:t>
      </w:r>
      <w:r w:rsidRPr="006D71D1">
        <w:rPr>
          <w:bCs/>
        </w:rPr>
        <w:t>anagement strategy</w:t>
      </w:r>
      <w:r w:rsidR="006D71D1" w:rsidRPr="006D71D1">
        <w:rPr>
          <w:bCs/>
        </w:rPr>
        <w:t xml:space="preserve"> for 202</w:t>
      </w:r>
      <w:r w:rsidR="00523188">
        <w:rPr>
          <w:bCs/>
        </w:rPr>
        <w:t>3</w:t>
      </w:r>
      <w:r w:rsidR="006D71D1" w:rsidRPr="006D71D1">
        <w:rPr>
          <w:bCs/>
        </w:rPr>
        <w:t>/2</w:t>
      </w:r>
      <w:r w:rsidR="00523188">
        <w:rPr>
          <w:bCs/>
        </w:rPr>
        <w:t>4</w:t>
      </w:r>
      <w:r w:rsidRPr="006D71D1">
        <w:rPr>
          <w:bCs/>
        </w:rPr>
        <w:t xml:space="preserve"> requires t</w:t>
      </w:r>
      <w:r w:rsidR="00110003" w:rsidRPr="006D71D1">
        <w:rPr>
          <w:bCs/>
        </w:rPr>
        <w:t>hat deposits are only made if the following criteria are met.</w:t>
      </w:r>
    </w:p>
    <w:p w14:paraId="485A4885" w14:textId="62CEDAF6" w:rsidR="00113660" w:rsidRPr="006D71D1" w:rsidRDefault="00113660" w:rsidP="0070459C">
      <w:pPr>
        <w:rPr>
          <w:bCs/>
        </w:rPr>
      </w:pP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268"/>
        <w:gridCol w:w="1276"/>
        <w:gridCol w:w="1205"/>
      </w:tblGrid>
      <w:tr w:rsidR="00113660" w:rsidRPr="006D71D1" w14:paraId="485A488B" w14:textId="77777777" w:rsidTr="00EF6C9E">
        <w:trPr>
          <w:jc w:val="center"/>
        </w:trPr>
        <w:tc>
          <w:tcPr>
            <w:tcW w:w="4252" w:type="dxa"/>
            <w:shd w:val="clear" w:color="auto" w:fill="auto"/>
          </w:tcPr>
          <w:p w14:paraId="485A4886" w14:textId="77777777" w:rsidR="00113660" w:rsidRPr="006D71D1" w:rsidRDefault="00113660" w:rsidP="0070459C">
            <w:pPr>
              <w:jc w:val="center"/>
              <w:rPr>
                <w:b/>
              </w:rPr>
            </w:pPr>
            <w:bookmarkStart w:id="374" w:name="_Hlk109645603"/>
          </w:p>
          <w:p w14:paraId="485A4887" w14:textId="77777777" w:rsidR="00113660" w:rsidRPr="006D71D1" w:rsidRDefault="00113660" w:rsidP="0070459C">
            <w:pPr>
              <w:jc w:val="center"/>
              <w:rPr>
                <w:b/>
              </w:rPr>
            </w:pPr>
            <w:r w:rsidRPr="006D71D1">
              <w:rPr>
                <w:b/>
              </w:rPr>
              <w:t>Institution type</w:t>
            </w:r>
          </w:p>
        </w:tc>
        <w:tc>
          <w:tcPr>
            <w:tcW w:w="2268" w:type="dxa"/>
          </w:tcPr>
          <w:p w14:paraId="485A4888" w14:textId="77777777" w:rsidR="00113660" w:rsidRPr="006D71D1" w:rsidRDefault="00113660" w:rsidP="0070459C">
            <w:pPr>
              <w:jc w:val="center"/>
              <w:rPr>
                <w:b/>
              </w:rPr>
            </w:pPr>
            <w:r w:rsidRPr="006D71D1">
              <w:rPr>
                <w:b/>
              </w:rPr>
              <w:t>Minimum Fitch Long Term Rating / Fund Rating</w:t>
            </w:r>
          </w:p>
        </w:tc>
        <w:tc>
          <w:tcPr>
            <w:tcW w:w="1276" w:type="dxa"/>
            <w:shd w:val="clear" w:color="auto" w:fill="auto"/>
          </w:tcPr>
          <w:p w14:paraId="485A4889" w14:textId="77777777" w:rsidR="00113660" w:rsidRPr="006D71D1" w:rsidRDefault="00113660" w:rsidP="0070459C">
            <w:pPr>
              <w:jc w:val="center"/>
              <w:rPr>
                <w:b/>
              </w:rPr>
            </w:pPr>
            <w:r w:rsidRPr="006D71D1">
              <w:rPr>
                <w:b/>
              </w:rPr>
              <w:t>Time Limit</w:t>
            </w:r>
          </w:p>
        </w:tc>
        <w:tc>
          <w:tcPr>
            <w:tcW w:w="1205" w:type="dxa"/>
            <w:shd w:val="clear" w:color="auto" w:fill="auto"/>
          </w:tcPr>
          <w:p w14:paraId="485A488A" w14:textId="77777777" w:rsidR="00113660" w:rsidRPr="006D71D1" w:rsidRDefault="00113660" w:rsidP="0070459C">
            <w:pPr>
              <w:jc w:val="center"/>
              <w:rPr>
                <w:b/>
              </w:rPr>
            </w:pPr>
            <w:r w:rsidRPr="006D71D1">
              <w:rPr>
                <w:b/>
              </w:rPr>
              <w:t>Money Limit (£m)</w:t>
            </w:r>
          </w:p>
        </w:tc>
      </w:tr>
      <w:tr w:rsidR="00113660" w:rsidRPr="006D71D1" w14:paraId="485A4890" w14:textId="77777777" w:rsidTr="00EF6C9E">
        <w:trPr>
          <w:jc w:val="center"/>
        </w:trPr>
        <w:tc>
          <w:tcPr>
            <w:tcW w:w="4252" w:type="dxa"/>
            <w:shd w:val="clear" w:color="auto" w:fill="auto"/>
          </w:tcPr>
          <w:p w14:paraId="485A488C" w14:textId="77777777" w:rsidR="00113660" w:rsidRPr="006D71D1" w:rsidRDefault="00113660" w:rsidP="0070459C">
            <w:r w:rsidRPr="006D71D1">
              <w:t>Major UK Banks</w:t>
            </w:r>
          </w:p>
        </w:tc>
        <w:tc>
          <w:tcPr>
            <w:tcW w:w="2268" w:type="dxa"/>
          </w:tcPr>
          <w:p w14:paraId="485A488D" w14:textId="77777777" w:rsidR="00113660" w:rsidRPr="006D71D1" w:rsidRDefault="00113660" w:rsidP="0070459C">
            <w:pPr>
              <w:jc w:val="center"/>
            </w:pPr>
            <w:r w:rsidRPr="006D71D1">
              <w:t>A</w:t>
            </w:r>
          </w:p>
        </w:tc>
        <w:tc>
          <w:tcPr>
            <w:tcW w:w="1276" w:type="dxa"/>
            <w:shd w:val="clear" w:color="auto" w:fill="auto"/>
          </w:tcPr>
          <w:p w14:paraId="485A488E" w14:textId="77777777" w:rsidR="00113660" w:rsidRPr="006D71D1" w:rsidRDefault="00113660" w:rsidP="0070459C">
            <w:pPr>
              <w:jc w:val="center"/>
            </w:pPr>
            <w:r w:rsidRPr="006D71D1">
              <w:t>364 days</w:t>
            </w:r>
          </w:p>
        </w:tc>
        <w:tc>
          <w:tcPr>
            <w:tcW w:w="1205" w:type="dxa"/>
            <w:shd w:val="clear" w:color="auto" w:fill="auto"/>
          </w:tcPr>
          <w:p w14:paraId="485A488F" w14:textId="77777777" w:rsidR="00113660" w:rsidRPr="006D71D1" w:rsidRDefault="00113660" w:rsidP="0070459C">
            <w:pPr>
              <w:jc w:val="center"/>
            </w:pPr>
            <w:r w:rsidRPr="006D71D1">
              <w:t>2</w:t>
            </w:r>
          </w:p>
        </w:tc>
      </w:tr>
      <w:tr w:rsidR="00113660" w:rsidRPr="006D71D1" w14:paraId="485A489A" w14:textId="77777777" w:rsidTr="00EF6C9E">
        <w:trPr>
          <w:jc w:val="center"/>
        </w:trPr>
        <w:tc>
          <w:tcPr>
            <w:tcW w:w="4252" w:type="dxa"/>
            <w:shd w:val="clear" w:color="auto" w:fill="auto"/>
          </w:tcPr>
          <w:p w14:paraId="485A4896" w14:textId="77777777" w:rsidR="00113660" w:rsidRPr="006D71D1" w:rsidRDefault="00113660" w:rsidP="0070459C">
            <w:r w:rsidRPr="006D71D1">
              <w:t>Major Building Societies</w:t>
            </w:r>
          </w:p>
        </w:tc>
        <w:tc>
          <w:tcPr>
            <w:tcW w:w="2268" w:type="dxa"/>
          </w:tcPr>
          <w:p w14:paraId="485A4897" w14:textId="77777777" w:rsidR="00113660" w:rsidRPr="006D71D1" w:rsidRDefault="00113660" w:rsidP="0070459C">
            <w:pPr>
              <w:jc w:val="center"/>
            </w:pPr>
            <w:r w:rsidRPr="006D71D1">
              <w:t>A</w:t>
            </w:r>
          </w:p>
        </w:tc>
        <w:tc>
          <w:tcPr>
            <w:tcW w:w="1276" w:type="dxa"/>
            <w:shd w:val="clear" w:color="auto" w:fill="auto"/>
          </w:tcPr>
          <w:p w14:paraId="485A4898" w14:textId="77777777" w:rsidR="00113660" w:rsidRPr="006D71D1" w:rsidRDefault="00113660" w:rsidP="0070459C">
            <w:pPr>
              <w:jc w:val="center"/>
            </w:pPr>
            <w:r w:rsidRPr="006D71D1">
              <w:t>364 days</w:t>
            </w:r>
          </w:p>
        </w:tc>
        <w:tc>
          <w:tcPr>
            <w:tcW w:w="1205" w:type="dxa"/>
            <w:shd w:val="clear" w:color="auto" w:fill="auto"/>
          </w:tcPr>
          <w:p w14:paraId="485A4899" w14:textId="77777777" w:rsidR="00113660" w:rsidRPr="006D71D1" w:rsidRDefault="00113660" w:rsidP="0070459C">
            <w:pPr>
              <w:jc w:val="center"/>
            </w:pPr>
            <w:r w:rsidRPr="006D71D1">
              <w:t>1</w:t>
            </w:r>
          </w:p>
        </w:tc>
      </w:tr>
      <w:tr w:rsidR="00113660" w:rsidRPr="006D71D1" w14:paraId="485A489F" w14:textId="77777777" w:rsidTr="00EF6C9E">
        <w:trPr>
          <w:jc w:val="center"/>
        </w:trPr>
        <w:tc>
          <w:tcPr>
            <w:tcW w:w="4252" w:type="dxa"/>
            <w:shd w:val="clear" w:color="auto" w:fill="auto"/>
          </w:tcPr>
          <w:p w14:paraId="485A489B" w14:textId="77777777" w:rsidR="00113660" w:rsidRPr="006D71D1" w:rsidRDefault="00113660" w:rsidP="0070459C">
            <w:r w:rsidRPr="006D71D1">
              <w:t>Money Market Funds</w:t>
            </w:r>
          </w:p>
        </w:tc>
        <w:tc>
          <w:tcPr>
            <w:tcW w:w="2268" w:type="dxa"/>
          </w:tcPr>
          <w:p w14:paraId="485A489C" w14:textId="77777777" w:rsidR="00113660" w:rsidRPr="006D71D1" w:rsidRDefault="00113660" w:rsidP="0070459C">
            <w:pPr>
              <w:jc w:val="center"/>
            </w:pPr>
            <w:r w:rsidRPr="006D71D1">
              <w:t>AAA</w:t>
            </w:r>
          </w:p>
        </w:tc>
        <w:tc>
          <w:tcPr>
            <w:tcW w:w="1276" w:type="dxa"/>
            <w:shd w:val="clear" w:color="auto" w:fill="auto"/>
          </w:tcPr>
          <w:p w14:paraId="485A489D" w14:textId="77777777" w:rsidR="00113660" w:rsidRPr="006D71D1" w:rsidRDefault="00113660" w:rsidP="0070459C">
            <w:pPr>
              <w:jc w:val="center"/>
            </w:pPr>
            <w:r w:rsidRPr="006D71D1">
              <w:t>N/A</w:t>
            </w:r>
          </w:p>
        </w:tc>
        <w:tc>
          <w:tcPr>
            <w:tcW w:w="1205" w:type="dxa"/>
            <w:shd w:val="clear" w:color="auto" w:fill="auto"/>
          </w:tcPr>
          <w:p w14:paraId="485A489E" w14:textId="77777777" w:rsidR="00113660" w:rsidRPr="006D71D1" w:rsidRDefault="00113660" w:rsidP="0070459C">
            <w:pPr>
              <w:jc w:val="center"/>
            </w:pPr>
            <w:r w:rsidRPr="006D71D1">
              <w:t>5</w:t>
            </w:r>
          </w:p>
        </w:tc>
      </w:tr>
      <w:tr w:rsidR="00113660" w:rsidRPr="006D71D1" w14:paraId="485A48A4" w14:textId="77777777" w:rsidTr="00EF6C9E">
        <w:trPr>
          <w:jc w:val="center"/>
        </w:trPr>
        <w:tc>
          <w:tcPr>
            <w:tcW w:w="4252" w:type="dxa"/>
            <w:shd w:val="clear" w:color="auto" w:fill="auto"/>
          </w:tcPr>
          <w:p w14:paraId="485A48A0" w14:textId="77777777" w:rsidR="00113660" w:rsidRPr="006D71D1" w:rsidRDefault="00113660" w:rsidP="0070459C">
            <w:r w:rsidRPr="006D71D1">
              <w:t>UK Gilts and Debt Management Office</w:t>
            </w:r>
          </w:p>
        </w:tc>
        <w:tc>
          <w:tcPr>
            <w:tcW w:w="2268" w:type="dxa"/>
          </w:tcPr>
          <w:p w14:paraId="485A48A1" w14:textId="07B3B229" w:rsidR="00113660" w:rsidRPr="006D71D1" w:rsidRDefault="00283FA6" w:rsidP="0070459C">
            <w:pPr>
              <w:jc w:val="center"/>
            </w:pPr>
            <w:r w:rsidRPr="006D71D1">
              <w:t>n/a</w:t>
            </w:r>
          </w:p>
        </w:tc>
        <w:tc>
          <w:tcPr>
            <w:tcW w:w="1276" w:type="dxa"/>
            <w:shd w:val="clear" w:color="auto" w:fill="auto"/>
          </w:tcPr>
          <w:p w14:paraId="485A48A2" w14:textId="77777777" w:rsidR="00113660" w:rsidRPr="006D71D1" w:rsidRDefault="00113660" w:rsidP="0070459C">
            <w:pPr>
              <w:jc w:val="center"/>
            </w:pPr>
            <w:r w:rsidRPr="006D71D1">
              <w:t>364 days</w:t>
            </w:r>
          </w:p>
        </w:tc>
        <w:tc>
          <w:tcPr>
            <w:tcW w:w="1205" w:type="dxa"/>
            <w:shd w:val="clear" w:color="auto" w:fill="auto"/>
          </w:tcPr>
          <w:p w14:paraId="485A48A3" w14:textId="77777777" w:rsidR="00113660" w:rsidRPr="006D71D1" w:rsidRDefault="00113660" w:rsidP="0070459C">
            <w:pPr>
              <w:jc w:val="center"/>
            </w:pPr>
            <w:r w:rsidRPr="006D71D1">
              <w:t>5</w:t>
            </w:r>
          </w:p>
        </w:tc>
      </w:tr>
      <w:tr w:rsidR="00113660" w:rsidRPr="006D71D1" w14:paraId="485A48A9" w14:textId="77777777" w:rsidTr="00EF6C9E">
        <w:trPr>
          <w:jc w:val="center"/>
        </w:trPr>
        <w:tc>
          <w:tcPr>
            <w:tcW w:w="4252" w:type="dxa"/>
            <w:shd w:val="clear" w:color="auto" w:fill="auto"/>
          </w:tcPr>
          <w:p w14:paraId="485A48A5" w14:textId="77777777" w:rsidR="00113660" w:rsidRPr="006D71D1" w:rsidRDefault="00113660" w:rsidP="0070459C">
            <w:r w:rsidRPr="006D71D1">
              <w:t>Local Authorities</w:t>
            </w:r>
          </w:p>
        </w:tc>
        <w:tc>
          <w:tcPr>
            <w:tcW w:w="2268" w:type="dxa"/>
          </w:tcPr>
          <w:p w14:paraId="485A48A6" w14:textId="77777777" w:rsidR="00113660" w:rsidRPr="006D71D1" w:rsidRDefault="00113660" w:rsidP="0070459C">
            <w:pPr>
              <w:jc w:val="center"/>
            </w:pPr>
            <w:r w:rsidRPr="006D71D1">
              <w:t>n/a</w:t>
            </w:r>
          </w:p>
        </w:tc>
        <w:tc>
          <w:tcPr>
            <w:tcW w:w="1276" w:type="dxa"/>
            <w:shd w:val="clear" w:color="auto" w:fill="auto"/>
          </w:tcPr>
          <w:p w14:paraId="485A48A7" w14:textId="77777777" w:rsidR="00113660" w:rsidRPr="006D71D1" w:rsidRDefault="00113660" w:rsidP="0070459C">
            <w:pPr>
              <w:jc w:val="center"/>
            </w:pPr>
            <w:r w:rsidRPr="006D71D1">
              <w:t>364 days</w:t>
            </w:r>
          </w:p>
        </w:tc>
        <w:tc>
          <w:tcPr>
            <w:tcW w:w="1205" w:type="dxa"/>
            <w:shd w:val="clear" w:color="auto" w:fill="auto"/>
          </w:tcPr>
          <w:p w14:paraId="485A48A8" w14:textId="77777777" w:rsidR="00113660" w:rsidRPr="006D71D1" w:rsidRDefault="00113660" w:rsidP="0070459C">
            <w:pPr>
              <w:jc w:val="center"/>
            </w:pPr>
            <w:r w:rsidRPr="006D71D1">
              <w:t>1</w:t>
            </w:r>
          </w:p>
        </w:tc>
      </w:tr>
      <w:bookmarkEnd w:id="374"/>
    </w:tbl>
    <w:p w14:paraId="485A48AA" w14:textId="77777777" w:rsidR="00110003" w:rsidRPr="006D71D1" w:rsidRDefault="00110003" w:rsidP="0070459C">
      <w:pPr>
        <w:rPr>
          <w:bCs/>
        </w:rPr>
      </w:pPr>
    </w:p>
    <w:p w14:paraId="485A48AB" w14:textId="469DEA2B" w:rsidR="00E00863" w:rsidRPr="004D5CA8" w:rsidRDefault="00E00863" w:rsidP="0070459C">
      <w:pPr>
        <w:rPr>
          <w:bCs/>
          <w:highlight w:val="yellow"/>
        </w:rPr>
      </w:pPr>
      <w:r w:rsidRPr="006D71D1">
        <w:rPr>
          <w:bCs/>
        </w:rPr>
        <w:t>These ratings are c</w:t>
      </w:r>
      <w:r w:rsidR="00523188">
        <w:rPr>
          <w:bCs/>
        </w:rPr>
        <w:t>onfirmed</w:t>
      </w:r>
      <w:r w:rsidRPr="006D71D1">
        <w:rPr>
          <w:bCs/>
        </w:rPr>
        <w:t xml:space="preserve"> </w:t>
      </w:r>
      <w:r w:rsidR="00523188">
        <w:rPr>
          <w:bCs/>
        </w:rPr>
        <w:t>at the point of deposit and kept under review</w:t>
      </w:r>
      <w:r w:rsidRPr="006D71D1">
        <w:rPr>
          <w:bCs/>
        </w:rPr>
        <w:t xml:space="preserve">. Principal investments are limited to a maximum of £2m with any one financial institution. The rating requirements and investment limits for financial institutions </w:t>
      </w:r>
      <w:r w:rsidR="009440D5" w:rsidRPr="006D71D1">
        <w:rPr>
          <w:bCs/>
        </w:rPr>
        <w:t xml:space="preserve">are </w:t>
      </w:r>
      <w:r w:rsidR="00E877E5" w:rsidRPr="006D71D1">
        <w:rPr>
          <w:bCs/>
        </w:rPr>
        <w:t xml:space="preserve">reviewed annually </w:t>
      </w:r>
      <w:r w:rsidRPr="006D71D1">
        <w:rPr>
          <w:bCs/>
        </w:rPr>
        <w:t>to reduce the financial exposure with individual banks.</w:t>
      </w:r>
      <w:r w:rsidR="00E223C7" w:rsidRPr="006D71D1">
        <w:rPr>
          <w:bCs/>
        </w:rPr>
        <w:t xml:space="preserve"> The maximum invested at any one time during 20</w:t>
      </w:r>
      <w:r w:rsidR="002E634F" w:rsidRPr="006D71D1">
        <w:rPr>
          <w:bCs/>
        </w:rPr>
        <w:t>2</w:t>
      </w:r>
      <w:r w:rsidR="00523188">
        <w:rPr>
          <w:bCs/>
        </w:rPr>
        <w:t>3</w:t>
      </w:r>
      <w:r w:rsidR="002E634F" w:rsidRPr="006D71D1">
        <w:rPr>
          <w:bCs/>
        </w:rPr>
        <w:t>/2</w:t>
      </w:r>
      <w:r w:rsidR="00523188">
        <w:rPr>
          <w:bCs/>
        </w:rPr>
        <w:t>4</w:t>
      </w:r>
      <w:r w:rsidR="002E634F" w:rsidRPr="006D71D1">
        <w:rPr>
          <w:bCs/>
        </w:rPr>
        <w:t xml:space="preserve"> </w:t>
      </w:r>
      <w:r w:rsidR="002E634F" w:rsidRPr="00F25792">
        <w:rPr>
          <w:bCs/>
        </w:rPr>
        <w:t>was £</w:t>
      </w:r>
      <w:r w:rsidR="006D71D1" w:rsidRPr="00F25792">
        <w:rPr>
          <w:bCs/>
        </w:rPr>
        <w:t>5,</w:t>
      </w:r>
      <w:r w:rsidR="00F25792" w:rsidRPr="00F25792">
        <w:rPr>
          <w:bCs/>
        </w:rPr>
        <w:t>8</w:t>
      </w:r>
      <w:r w:rsidR="006D71D1" w:rsidRPr="00F25792">
        <w:rPr>
          <w:bCs/>
        </w:rPr>
        <w:t>09</w:t>
      </w:r>
      <w:r w:rsidR="005B704D" w:rsidRPr="00F25792">
        <w:rPr>
          <w:bCs/>
        </w:rPr>
        <w:t>k</w:t>
      </w:r>
      <w:r w:rsidR="00E877E5" w:rsidRPr="006D71D1">
        <w:rPr>
          <w:bCs/>
        </w:rPr>
        <w:t xml:space="preserve"> (</w:t>
      </w:r>
      <w:r w:rsidR="000A6088" w:rsidRPr="006D71D1">
        <w:rPr>
          <w:bCs/>
        </w:rPr>
        <w:t>20</w:t>
      </w:r>
      <w:r w:rsidR="00283FA6" w:rsidRPr="006D71D1">
        <w:rPr>
          <w:bCs/>
        </w:rPr>
        <w:t>2</w:t>
      </w:r>
      <w:r w:rsidR="00523188">
        <w:rPr>
          <w:bCs/>
        </w:rPr>
        <w:t>3</w:t>
      </w:r>
      <w:r w:rsidR="00283FA6" w:rsidRPr="006D71D1">
        <w:rPr>
          <w:bCs/>
        </w:rPr>
        <w:t>/2</w:t>
      </w:r>
      <w:r w:rsidR="00523188">
        <w:rPr>
          <w:bCs/>
        </w:rPr>
        <w:t>3</w:t>
      </w:r>
      <w:r w:rsidR="002E634F" w:rsidRPr="006D71D1">
        <w:rPr>
          <w:bCs/>
        </w:rPr>
        <w:t xml:space="preserve"> £</w:t>
      </w:r>
      <w:r w:rsidR="00523188">
        <w:rPr>
          <w:bCs/>
        </w:rPr>
        <w:t>5,509</w:t>
      </w:r>
      <w:r w:rsidR="00283FA6" w:rsidRPr="006D71D1">
        <w:rPr>
          <w:bCs/>
        </w:rPr>
        <w:t>k</w:t>
      </w:r>
      <w:r w:rsidR="002E634F" w:rsidRPr="006D71D1">
        <w:rPr>
          <w:bCs/>
        </w:rPr>
        <w:t>)</w:t>
      </w:r>
      <w:r w:rsidR="00E877E5" w:rsidRPr="006D71D1">
        <w:rPr>
          <w:bCs/>
        </w:rPr>
        <w:t>.</w:t>
      </w:r>
    </w:p>
    <w:p w14:paraId="485A48AC" w14:textId="77777777" w:rsidR="004B2F41" w:rsidRPr="004D5CA8" w:rsidRDefault="004B2F41" w:rsidP="0070459C">
      <w:pPr>
        <w:rPr>
          <w:bCs/>
          <w:highlight w:val="yellow"/>
        </w:rPr>
      </w:pPr>
    </w:p>
    <w:p w14:paraId="485A48AD" w14:textId="5398CA73" w:rsidR="00E00863" w:rsidRPr="005C171C" w:rsidRDefault="00E00863" w:rsidP="0070459C">
      <w:pPr>
        <w:rPr>
          <w:bCs/>
        </w:rPr>
      </w:pPr>
      <w:r w:rsidRPr="005C171C">
        <w:rPr>
          <w:bCs/>
        </w:rPr>
        <w:t xml:space="preserve">The Authority’s standard terms and conditions for payment of invoices are 30 days from the invoice date. The Authority does not generally allow credit for </w:t>
      </w:r>
      <w:r w:rsidR="001A5EEA" w:rsidRPr="005C171C">
        <w:rPr>
          <w:bCs/>
        </w:rPr>
        <w:t>customers;</w:t>
      </w:r>
      <w:r w:rsidRPr="005C171C">
        <w:rPr>
          <w:bCs/>
        </w:rPr>
        <w:t xml:space="preserve"> </w:t>
      </w:r>
      <w:r w:rsidR="00074619" w:rsidRPr="005C171C">
        <w:rPr>
          <w:bCs/>
        </w:rPr>
        <w:t>however,</w:t>
      </w:r>
      <w:r w:rsidRPr="005C171C">
        <w:rPr>
          <w:bCs/>
        </w:rPr>
        <w:t xml:space="preserve"> £</w:t>
      </w:r>
      <w:r w:rsidR="00F25792">
        <w:rPr>
          <w:bCs/>
        </w:rPr>
        <w:t>63</w:t>
      </w:r>
      <w:r w:rsidR="005C171C" w:rsidRPr="005C171C">
        <w:rPr>
          <w:bCs/>
        </w:rPr>
        <w:t>k</w:t>
      </w:r>
      <w:r w:rsidR="002E634F" w:rsidRPr="005C171C">
        <w:rPr>
          <w:bCs/>
        </w:rPr>
        <w:t xml:space="preserve"> </w:t>
      </w:r>
      <w:r w:rsidRPr="005C171C">
        <w:rPr>
          <w:bCs/>
        </w:rPr>
        <w:t>of the</w:t>
      </w:r>
      <w:r w:rsidR="002E634F" w:rsidRPr="005C171C">
        <w:rPr>
          <w:bCs/>
        </w:rPr>
        <w:t xml:space="preserve"> £</w:t>
      </w:r>
      <w:r w:rsidR="00F25792">
        <w:rPr>
          <w:bCs/>
        </w:rPr>
        <w:t>475</w:t>
      </w:r>
      <w:r w:rsidR="005C171C" w:rsidRPr="005C171C">
        <w:rPr>
          <w:bCs/>
        </w:rPr>
        <w:t>k</w:t>
      </w:r>
      <w:r w:rsidR="002E634F" w:rsidRPr="005C171C">
        <w:rPr>
          <w:bCs/>
        </w:rPr>
        <w:t xml:space="preserve"> </w:t>
      </w:r>
      <w:r w:rsidRPr="005C171C">
        <w:rPr>
          <w:bCs/>
        </w:rPr>
        <w:t>customer balances at 31 March 20</w:t>
      </w:r>
      <w:r w:rsidR="002E634F" w:rsidRPr="005C171C">
        <w:rPr>
          <w:bCs/>
        </w:rPr>
        <w:t>2</w:t>
      </w:r>
      <w:r w:rsidR="00F25792">
        <w:rPr>
          <w:bCs/>
        </w:rPr>
        <w:t>4</w:t>
      </w:r>
      <w:r w:rsidRPr="005C171C">
        <w:rPr>
          <w:bCs/>
        </w:rPr>
        <w:t xml:space="preserve"> was past due. The past due element can be analysed as follows:</w:t>
      </w:r>
    </w:p>
    <w:p w14:paraId="485A48AE" w14:textId="77777777" w:rsidR="00E00863" w:rsidRPr="004D5CA8" w:rsidRDefault="00E00863" w:rsidP="0070459C">
      <w:pPr>
        <w:rPr>
          <w:bCs/>
          <w:highlight w:val="yellow"/>
        </w:rPr>
      </w:pPr>
    </w:p>
    <w:tbl>
      <w:tblPr>
        <w:tblW w:w="4340" w:type="dxa"/>
        <w:jc w:val="center"/>
        <w:tblLook w:val="04A0" w:firstRow="1" w:lastRow="0" w:firstColumn="1" w:lastColumn="0" w:noHBand="0" w:noVBand="1"/>
      </w:tblPr>
      <w:tblGrid>
        <w:gridCol w:w="1360"/>
        <w:gridCol w:w="1820"/>
        <w:gridCol w:w="1160"/>
      </w:tblGrid>
      <w:tr w:rsidR="005C171C" w:rsidRPr="005C171C" w14:paraId="4590C192" w14:textId="77777777" w:rsidTr="005C171C">
        <w:trPr>
          <w:trHeight w:val="260"/>
          <w:jc w:val="center"/>
        </w:trPr>
        <w:tc>
          <w:tcPr>
            <w:tcW w:w="1360" w:type="dxa"/>
            <w:tcBorders>
              <w:top w:val="single" w:sz="4" w:space="0" w:color="auto"/>
              <w:left w:val="single" w:sz="4" w:space="0" w:color="auto"/>
              <w:bottom w:val="nil"/>
              <w:right w:val="nil"/>
            </w:tcBorders>
            <w:shd w:val="clear" w:color="000000" w:fill="000000"/>
            <w:noWrap/>
            <w:vAlign w:val="bottom"/>
            <w:hideMark/>
          </w:tcPr>
          <w:p w14:paraId="23EA1B08" w14:textId="3884C0E1" w:rsidR="005C171C" w:rsidRPr="005C171C" w:rsidRDefault="005C171C" w:rsidP="0070459C">
            <w:pPr>
              <w:jc w:val="center"/>
              <w:rPr>
                <w:rFonts w:cs="Arial"/>
                <w:b/>
                <w:bCs/>
                <w:color w:val="FFFFFF"/>
                <w:sz w:val="20"/>
                <w:szCs w:val="20"/>
                <w:lang w:eastAsia="en-GB"/>
              </w:rPr>
            </w:pPr>
            <w:bookmarkStart w:id="375" w:name="_MON_1369553340"/>
            <w:bookmarkStart w:id="376" w:name="_MON_1369553348"/>
            <w:bookmarkStart w:id="377" w:name="_MON_1369553354"/>
            <w:bookmarkStart w:id="378" w:name="_MON_1369727972"/>
            <w:bookmarkStart w:id="379" w:name="_MON_1369727977"/>
            <w:bookmarkStart w:id="380" w:name="_MON_1369727990"/>
            <w:bookmarkStart w:id="381" w:name="_MON_1369727999"/>
            <w:bookmarkStart w:id="382" w:name="_MON_1395564308"/>
            <w:bookmarkStart w:id="383" w:name="_MON_1401183708"/>
            <w:bookmarkStart w:id="384" w:name="_MON_1401539372"/>
            <w:bookmarkStart w:id="385" w:name="_MON_1402138556"/>
            <w:bookmarkStart w:id="386" w:name="_MON_1406031737"/>
            <w:bookmarkStart w:id="387" w:name="_MON_1406031801"/>
            <w:bookmarkStart w:id="388" w:name="_MON_1429982394"/>
            <w:bookmarkStart w:id="389" w:name="_MON_1431796662"/>
            <w:bookmarkStart w:id="390" w:name="_MON_1362489985"/>
            <w:bookmarkStart w:id="391" w:name="_MON_1368536747"/>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5C171C">
              <w:rPr>
                <w:rFonts w:cs="Arial"/>
                <w:b/>
                <w:bCs/>
                <w:color w:val="FFFFFF"/>
                <w:sz w:val="20"/>
                <w:szCs w:val="20"/>
                <w:lang w:eastAsia="en-GB"/>
              </w:rPr>
              <w:t>31-Mar-2</w:t>
            </w:r>
            <w:r w:rsidR="00F25792">
              <w:rPr>
                <w:rFonts w:cs="Arial"/>
                <w:b/>
                <w:bCs/>
                <w:color w:val="FFFFFF"/>
                <w:sz w:val="20"/>
                <w:szCs w:val="20"/>
                <w:lang w:eastAsia="en-GB"/>
              </w:rPr>
              <w:t>3</w:t>
            </w:r>
          </w:p>
        </w:tc>
        <w:tc>
          <w:tcPr>
            <w:tcW w:w="1820" w:type="dxa"/>
            <w:tcBorders>
              <w:top w:val="single" w:sz="4" w:space="0" w:color="auto"/>
              <w:left w:val="nil"/>
              <w:bottom w:val="nil"/>
              <w:right w:val="nil"/>
            </w:tcBorders>
            <w:shd w:val="clear" w:color="000000" w:fill="000000"/>
            <w:noWrap/>
            <w:vAlign w:val="bottom"/>
            <w:hideMark/>
          </w:tcPr>
          <w:p w14:paraId="671BD9DF" w14:textId="77777777" w:rsidR="005C171C" w:rsidRPr="005C171C" w:rsidRDefault="005C171C" w:rsidP="0070459C">
            <w:pPr>
              <w:jc w:val="center"/>
              <w:rPr>
                <w:rFonts w:cs="Arial"/>
                <w:b/>
                <w:bCs/>
                <w:color w:val="FFFFFF"/>
                <w:sz w:val="20"/>
                <w:szCs w:val="20"/>
                <w:lang w:eastAsia="en-GB"/>
              </w:rPr>
            </w:pPr>
            <w:r w:rsidRPr="005C171C">
              <w:rPr>
                <w:rFonts w:cs="Arial"/>
                <w:b/>
                <w:bCs/>
                <w:color w:val="FFFFFF"/>
                <w:sz w:val="20"/>
                <w:szCs w:val="20"/>
                <w:lang w:eastAsia="en-GB"/>
              </w:rPr>
              <w:t>Days past due</w:t>
            </w:r>
          </w:p>
        </w:tc>
        <w:tc>
          <w:tcPr>
            <w:tcW w:w="1160" w:type="dxa"/>
            <w:tcBorders>
              <w:top w:val="single" w:sz="4" w:space="0" w:color="auto"/>
              <w:left w:val="nil"/>
              <w:bottom w:val="nil"/>
              <w:right w:val="single" w:sz="4" w:space="0" w:color="auto"/>
            </w:tcBorders>
            <w:shd w:val="clear" w:color="000000" w:fill="000000"/>
            <w:noWrap/>
            <w:vAlign w:val="bottom"/>
            <w:hideMark/>
          </w:tcPr>
          <w:p w14:paraId="3282234B" w14:textId="078B6110" w:rsidR="005C171C" w:rsidRPr="005C171C" w:rsidRDefault="005C171C" w:rsidP="0070459C">
            <w:pPr>
              <w:jc w:val="center"/>
              <w:rPr>
                <w:rFonts w:cs="Arial"/>
                <w:b/>
                <w:bCs/>
                <w:color w:val="FFFFFF"/>
                <w:sz w:val="20"/>
                <w:szCs w:val="20"/>
                <w:lang w:eastAsia="en-GB"/>
              </w:rPr>
            </w:pPr>
            <w:r w:rsidRPr="005C171C">
              <w:rPr>
                <w:rFonts w:cs="Arial"/>
                <w:b/>
                <w:bCs/>
                <w:color w:val="FFFFFF"/>
                <w:sz w:val="20"/>
                <w:szCs w:val="20"/>
                <w:lang w:eastAsia="en-GB"/>
              </w:rPr>
              <w:t>31-Mar-2</w:t>
            </w:r>
            <w:r w:rsidR="00F25792">
              <w:rPr>
                <w:rFonts w:cs="Arial"/>
                <w:b/>
                <w:bCs/>
                <w:color w:val="FFFFFF"/>
                <w:sz w:val="20"/>
                <w:szCs w:val="20"/>
                <w:lang w:eastAsia="en-GB"/>
              </w:rPr>
              <w:t>4</w:t>
            </w:r>
          </w:p>
        </w:tc>
      </w:tr>
      <w:tr w:rsidR="005C171C" w:rsidRPr="005C171C" w14:paraId="394AEA0A" w14:textId="77777777" w:rsidTr="005C171C">
        <w:trPr>
          <w:trHeight w:val="260"/>
          <w:jc w:val="center"/>
        </w:trPr>
        <w:tc>
          <w:tcPr>
            <w:tcW w:w="1360" w:type="dxa"/>
            <w:tcBorders>
              <w:top w:val="nil"/>
              <w:left w:val="single" w:sz="4" w:space="0" w:color="auto"/>
              <w:bottom w:val="nil"/>
              <w:right w:val="nil"/>
            </w:tcBorders>
            <w:shd w:val="clear" w:color="000000" w:fill="000000"/>
            <w:noWrap/>
            <w:vAlign w:val="bottom"/>
            <w:hideMark/>
          </w:tcPr>
          <w:p w14:paraId="5D5EE943" w14:textId="77777777" w:rsidR="005C171C" w:rsidRPr="005C171C" w:rsidRDefault="005C171C" w:rsidP="0070459C">
            <w:pPr>
              <w:jc w:val="center"/>
              <w:rPr>
                <w:rFonts w:cs="Arial"/>
                <w:b/>
                <w:bCs/>
                <w:color w:val="FFFFFF"/>
                <w:sz w:val="20"/>
                <w:szCs w:val="20"/>
                <w:lang w:eastAsia="en-GB"/>
              </w:rPr>
            </w:pPr>
            <w:r w:rsidRPr="005C171C">
              <w:rPr>
                <w:rFonts w:cs="Arial"/>
                <w:b/>
                <w:bCs/>
                <w:color w:val="FFFFFF"/>
                <w:sz w:val="20"/>
                <w:szCs w:val="20"/>
                <w:lang w:eastAsia="en-GB"/>
              </w:rPr>
              <w:t>£000</w:t>
            </w:r>
          </w:p>
        </w:tc>
        <w:tc>
          <w:tcPr>
            <w:tcW w:w="1820" w:type="dxa"/>
            <w:tcBorders>
              <w:top w:val="nil"/>
              <w:left w:val="nil"/>
              <w:bottom w:val="nil"/>
              <w:right w:val="nil"/>
            </w:tcBorders>
            <w:shd w:val="clear" w:color="000000" w:fill="000000"/>
            <w:noWrap/>
            <w:vAlign w:val="bottom"/>
            <w:hideMark/>
          </w:tcPr>
          <w:p w14:paraId="1D278669" w14:textId="77777777" w:rsidR="005C171C" w:rsidRPr="005C171C" w:rsidRDefault="005C171C" w:rsidP="0070459C">
            <w:pPr>
              <w:jc w:val="center"/>
              <w:rPr>
                <w:rFonts w:cs="Arial"/>
                <w:b/>
                <w:bCs/>
                <w:color w:val="FFFFFF"/>
                <w:sz w:val="20"/>
                <w:szCs w:val="20"/>
                <w:lang w:eastAsia="en-GB"/>
              </w:rPr>
            </w:pPr>
            <w:r w:rsidRPr="005C171C">
              <w:rPr>
                <w:rFonts w:cs="Arial"/>
                <w:b/>
                <w:bCs/>
                <w:color w:val="FFFFFF"/>
                <w:sz w:val="20"/>
                <w:szCs w:val="20"/>
                <w:lang w:eastAsia="en-GB"/>
              </w:rPr>
              <w:t> </w:t>
            </w:r>
          </w:p>
        </w:tc>
        <w:tc>
          <w:tcPr>
            <w:tcW w:w="1160" w:type="dxa"/>
            <w:tcBorders>
              <w:top w:val="nil"/>
              <w:left w:val="nil"/>
              <w:bottom w:val="nil"/>
              <w:right w:val="single" w:sz="4" w:space="0" w:color="auto"/>
            </w:tcBorders>
            <w:shd w:val="clear" w:color="000000" w:fill="000000"/>
            <w:noWrap/>
            <w:vAlign w:val="bottom"/>
            <w:hideMark/>
          </w:tcPr>
          <w:p w14:paraId="105C202C" w14:textId="77777777" w:rsidR="005C171C" w:rsidRPr="005C171C" w:rsidRDefault="005C171C" w:rsidP="0070459C">
            <w:pPr>
              <w:jc w:val="center"/>
              <w:rPr>
                <w:rFonts w:cs="Arial"/>
                <w:b/>
                <w:bCs/>
                <w:color w:val="FFFFFF"/>
                <w:sz w:val="20"/>
                <w:szCs w:val="20"/>
                <w:lang w:eastAsia="en-GB"/>
              </w:rPr>
            </w:pPr>
            <w:r w:rsidRPr="005C171C">
              <w:rPr>
                <w:rFonts w:cs="Arial"/>
                <w:b/>
                <w:bCs/>
                <w:color w:val="FFFFFF"/>
                <w:sz w:val="20"/>
                <w:szCs w:val="20"/>
                <w:lang w:eastAsia="en-GB"/>
              </w:rPr>
              <w:t>£000</w:t>
            </w:r>
          </w:p>
        </w:tc>
      </w:tr>
      <w:tr w:rsidR="005C171C" w:rsidRPr="005C171C" w14:paraId="470B0819" w14:textId="77777777" w:rsidTr="005C171C">
        <w:trPr>
          <w:trHeight w:val="250"/>
          <w:jc w:val="center"/>
        </w:trPr>
        <w:tc>
          <w:tcPr>
            <w:tcW w:w="1360" w:type="dxa"/>
            <w:tcBorders>
              <w:top w:val="nil"/>
              <w:left w:val="single" w:sz="4" w:space="0" w:color="auto"/>
              <w:bottom w:val="nil"/>
              <w:right w:val="nil"/>
            </w:tcBorders>
            <w:shd w:val="clear" w:color="auto" w:fill="auto"/>
            <w:noWrap/>
            <w:vAlign w:val="bottom"/>
            <w:hideMark/>
          </w:tcPr>
          <w:p w14:paraId="0A014200" w14:textId="77777777" w:rsidR="005C171C" w:rsidRPr="005C171C" w:rsidRDefault="005C171C" w:rsidP="0070459C">
            <w:pPr>
              <w:rPr>
                <w:rFonts w:cs="Arial"/>
                <w:sz w:val="20"/>
                <w:szCs w:val="20"/>
                <w:lang w:eastAsia="en-GB"/>
              </w:rPr>
            </w:pPr>
            <w:r w:rsidRPr="005C171C">
              <w:rPr>
                <w:rFonts w:cs="Arial"/>
                <w:sz w:val="20"/>
                <w:szCs w:val="20"/>
                <w:lang w:eastAsia="en-GB"/>
              </w:rPr>
              <w:t> </w:t>
            </w:r>
          </w:p>
        </w:tc>
        <w:tc>
          <w:tcPr>
            <w:tcW w:w="1820" w:type="dxa"/>
            <w:tcBorders>
              <w:top w:val="nil"/>
              <w:left w:val="nil"/>
              <w:bottom w:val="nil"/>
              <w:right w:val="nil"/>
            </w:tcBorders>
            <w:shd w:val="clear" w:color="auto" w:fill="auto"/>
            <w:noWrap/>
            <w:vAlign w:val="bottom"/>
            <w:hideMark/>
          </w:tcPr>
          <w:p w14:paraId="6D4DAE99" w14:textId="77777777" w:rsidR="005C171C" w:rsidRPr="005C171C" w:rsidRDefault="005C171C" w:rsidP="0070459C">
            <w:pPr>
              <w:rPr>
                <w:rFonts w:cs="Arial"/>
                <w:sz w:val="20"/>
                <w:szCs w:val="20"/>
                <w:lang w:eastAsia="en-GB"/>
              </w:rPr>
            </w:pPr>
          </w:p>
        </w:tc>
        <w:tc>
          <w:tcPr>
            <w:tcW w:w="1160" w:type="dxa"/>
            <w:tcBorders>
              <w:top w:val="nil"/>
              <w:left w:val="nil"/>
              <w:bottom w:val="nil"/>
              <w:right w:val="single" w:sz="4" w:space="0" w:color="auto"/>
            </w:tcBorders>
            <w:shd w:val="clear" w:color="auto" w:fill="auto"/>
            <w:noWrap/>
            <w:vAlign w:val="bottom"/>
            <w:hideMark/>
          </w:tcPr>
          <w:p w14:paraId="5830110D" w14:textId="77777777" w:rsidR="005C171C" w:rsidRPr="005C171C" w:rsidRDefault="005C171C" w:rsidP="0070459C">
            <w:pPr>
              <w:rPr>
                <w:rFonts w:cs="Arial"/>
                <w:sz w:val="20"/>
                <w:szCs w:val="20"/>
                <w:lang w:eastAsia="en-GB"/>
              </w:rPr>
            </w:pPr>
            <w:r w:rsidRPr="005C171C">
              <w:rPr>
                <w:rFonts w:cs="Arial"/>
                <w:sz w:val="20"/>
                <w:szCs w:val="20"/>
                <w:lang w:eastAsia="en-GB"/>
              </w:rPr>
              <w:t> </w:t>
            </w:r>
          </w:p>
        </w:tc>
      </w:tr>
      <w:tr w:rsidR="005C171C" w:rsidRPr="005C171C" w14:paraId="0A9632D9" w14:textId="77777777" w:rsidTr="005C171C">
        <w:trPr>
          <w:trHeight w:val="250"/>
          <w:jc w:val="center"/>
        </w:trPr>
        <w:tc>
          <w:tcPr>
            <w:tcW w:w="1360" w:type="dxa"/>
            <w:tcBorders>
              <w:top w:val="nil"/>
              <w:left w:val="single" w:sz="4" w:space="0" w:color="auto"/>
              <w:bottom w:val="nil"/>
              <w:right w:val="nil"/>
            </w:tcBorders>
            <w:shd w:val="clear" w:color="auto" w:fill="auto"/>
            <w:noWrap/>
            <w:vAlign w:val="bottom"/>
            <w:hideMark/>
          </w:tcPr>
          <w:p w14:paraId="0D4281E6" w14:textId="52A9F5D2" w:rsidR="005C171C" w:rsidRPr="005C171C" w:rsidRDefault="00F25792" w:rsidP="0070459C">
            <w:pPr>
              <w:jc w:val="center"/>
              <w:rPr>
                <w:rFonts w:cs="Arial"/>
                <w:sz w:val="20"/>
                <w:szCs w:val="20"/>
                <w:lang w:eastAsia="en-GB"/>
              </w:rPr>
            </w:pPr>
            <w:r>
              <w:rPr>
                <w:rFonts w:cs="Arial"/>
                <w:sz w:val="20"/>
                <w:szCs w:val="20"/>
                <w:lang w:eastAsia="en-GB"/>
              </w:rPr>
              <w:t xml:space="preserve">  0</w:t>
            </w:r>
          </w:p>
        </w:tc>
        <w:tc>
          <w:tcPr>
            <w:tcW w:w="1820" w:type="dxa"/>
            <w:tcBorders>
              <w:top w:val="nil"/>
              <w:left w:val="nil"/>
              <w:bottom w:val="nil"/>
              <w:right w:val="nil"/>
            </w:tcBorders>
            <w:shd w:val="clear" w:color="auto" w:fill="auto"/>
            <w:noWrap/>
            <w:vAlign w:val="bottom"/>
            <w:hideMark/>
          </w:tcPr>
          <w:p w14:paraId="4B7E0DB9" w14:textId="77777777" w:rsidR="005C171C" w:rsidRPr="005C171C" w:rsidRDefault="005C171C" w:rsidP="0070459C">
            <w:pPr>
              <w:jc w:val="center"/>
              <w:rPr>
                <w:rFonts w:cs="Arial"/>
                <w:sz w:val="20"/>
                <w:szCs w:val="20"/>
                <w:lang w:eastAsia="en-GB"/>
              </w:rPr>
            </w:pPr>
            <w:r w:rsidRPr="005C171C">
              <w:rPr>
                <w:rFonts w:cs="Arial"/>
                <w:sz w:val="20"/>
                <w:szCs w:val="20"/>
                <w:lang w:eastAsia="en-GB"/>
              </w:rPr>
              <w:t>31-60 days</w:t>
            </w:r>
          </w:p>
        </w:tc>
        <w:tc>
          <w:tcPr>
            <w:tcW w:w="1160" w:type="dxa"/>
            <w:tcBorders>
              <w:top w:val="nil"/>
              <w:left w:val="nil"/>
              <w:bottom w:val="nil"/>
              <w:right w:val="single" w:sz="4" w:space="0" w:color="auto"/>
            </w:tcBorders>
            <w:shd w:val="clear" w:color="auto" w:fill="auto"/>
            <w:noWrap/>
            <w:vAlign w:val="bottom"/>
            <w:hideMark/>
          </w:tcPr>
          <w:p w14:paraId="3DE162C0" w14:textId="4977F92A" w:rsidR="005C171C" w:rsidRPr="005C171C" w:rsidRDefault="00F25792" w:rsidP="0070459C">
            <w:pPr>
              <w:jc w:val="center"/>
              <w:rPr>
                <w:rFonts w:cs="Arial"/>
                <w:sz w:val="20"/>
                <w:szCs w:val="20"/>
                <w:lang w:eastAsia="en-GB"/>
              </w:rPr>
            </w:pPr>
            <w:r>
              <w:rPr>
                <w:rFonts w:cs="Arial"/>
                <w:sz w:val="20"/>
                <w:szCs w:val="20"/>
                <w:lang w:eastAsia="en-GB"/>
              </w:rPr>
              <w:t xml:space="preserve">  8</w:t>
            </w:r>
          </w:p>
        </w:tc>
      </w:tr>
      <w:tr w:rsidR="005C171C" w:rsidRPr="005C171C" w14:paraId="07F95CC5" w14:textId="77777777" w:rsidTr="005C171C">
        <w:trPr>
          <w:trHeight w:val="250"/>
          <w:jc w:val="center"/>
        </w:trPr>
        <w:tc>
          <w:tcPr>
            <w:tcW w:w="1360" w:type="dxa"/>
            <w:tcBorders>
              <w:top w:val="nil"/>
              <w:left w:val="single" w:sz="4" w:space="0" w:color="auto"/>
              <w:bottom w:val="nil"/>
              <w:right w:val="nil"/>
            </w:tcBorders>
            <w:shd w:val="clear" w:color="auto" w:fill="auto"/>
            <w:noWrap/>
            <w:vAlign w:val="bottom"/>
            <w:hideMark/>
          </w:tcPr>
          <w:p w14:paraId="3F29732B" w14:textId="24D14D4B" w:rsidR="005C171C" w:rsidRPr="005C171C" w:rsidRDefault="00F25792" w:rsidP="0070459C">
            <w:pPr>
              <w:jc w:val="center"/>
              <w:rPr>
                <w:rFonts w:cs="Arial"/>
                <w:sz w:val="20"/>
                <w:szCs w:val="20"/>
                <w:lang w:eastAsia="en-GB"/>
              </w:rPr>
            </w:pPr>
            <w:r>
              <w:rPr>
                <w:rFonts w:cs="Arial"/>
                <w:sz w:val="20"/>
                <w:szCs w:val="20"/>
                <w:lang w:eastAsia="en-GB"/>
              </w:rPr>
              <w:t>42</w:t>
            </w:r>
          </w:p>
        </w:tc>
        <w:tc>
          <w:tcPr>
            <w:tcW w:w="1820" w:type="dxa"/>
            <w:tcBorders>
              <w:top w:val="nil"/>
              <w:left w:val="nil"/>
              <w:bottom w:val="nil"/>
              <w:right w:val="nil"/>
            </w:tcBorders>
            <w:shd w:val="clear" w:color="auto" w:fill="auto"/>
            <w:noWrap/>
            <w:vAlign w:val="bottom"/>
            <w:hideMark/>
          </w:tcPr>
          <w:p w14:paraId="34340546" w14:textId="77777777" w:rsidR="005C171C" w:rsidRPr="005C171C" w:rsidRDefault="005C171C" w:rsidP="0070459C">
            <w:pPr>
              <w:jc w:val="center"/>
              <w:rPr>
                <w:rFonts w:cs="Arial"/>
                <w:sz w:val="20"/>
                <w:szCs w:val="20"/>
                <w:lang w:eastAsia="en-GB"/>
              </w:rPr>
            </w:pPr>
            <w:r w:rsidRPr="005C171C">
              <w:rPr>
                <w:rFonts w:cs="Arial"/>
                <w:sz w:val="20"/>
                <w:szCs w:val="20"/>
                <w:lang w:eastAsia="en-GB"/>
              </w:rPr>
              <w:t>61-90 days</w:t>
            </w:r>
          </w:p>
        </w:tc>
        <w:tc>
          <w:tcPr>
            <w:tcW w:w="1160" w:type="dxa"/>
            <w:tcBorders>
              <w:top w:val="nil"/>
              <w:left w:val="nil"/>
              <w:bottom w:val="nil"/>
              <w:right w:val="single" w:sz="4" w:space="0" w:color="auto"/>
            </w:tcBorders>
            <w:shd w:val="clear" w:color="auto" w:fill="auto"/>
            <w:noWrap/>
            <w:vAlign w:val="bottom"/>
            <w:hideMark/>
          </w:tcPr>
          <w:p w14:paraId="4ABB214D" w14:textId="691C0008" w:rsidR="005C171C" w:rsidRPr="005C171C" w:rsidRDefault="00F25792" w:rsidP="0070459C">
            <w:pPr>
              <w:jc w:val="center"/>
              <w:rPr>
                <w:rFonts w:cs="Arial"/>
                <w:sz w:val="20"/>
                <w:szCs w:val="20"/>
                <w:lang w:eastAsia="en-GB"/>
              </w:rPr>
            </w:pPr>
            <w:r>
              <w:rPr>
                <w:rFonts w:cs="Arial"/>
                <w:sz w:val="20"/>
                <w:szCs w:val="20"/>
                <w:lang w:eastAsia="en-GB"/>
              </w:rPr>
              <w:t>19</w:t>
            </w:r>
          </w:p>
        </w:tc>
      </w:tr>
      <w:tr w:rsidR="005C171C" w:rsidRPr="005C171C" w14:paraId="14F29A96" w14:textId="77777777" w:rsidTr="005C171C">
        <w:trPr>
          <w:trHeight w:val="250"/>
          <w:jc w:val="center"/>
        </w:trPr>
        <w:tc>
          <w:tcPr>
            <w:tcW w:w="1360" w:type="dxa"/>
            <w:tcBorders>
              <w:top w:val="nil"/>
              <w:left w:val="single" w:sz="4" w:space="0" w:color="auto"/>
              <w:bottom w:val="nil"/>
              <w:right w:val="nil"/>
            </w:tcBorders>
            <w:shd w:val="clear" w:color="auto" w:fill="auto"/>
            <w:noWrap/>
            <w:vAlign w:val="bottom"/>
            <w:hideMark/>
          </w:tcPr>
          <w:p w14:paraId="0468A439" w14:textId="6AFD9D0C" w:rsidR="005C171C" w:rsidRPr="005C171C" w:rsidRDefault="00F25792" w:rsidP="0070459C">
            <w:pPr>
              <w:jc w:val="center"/>
              <w:rPr>
                <w:rFonts w:cs="Arial"/>
                <w:sz w:val="20"/>
                <w:szCs w:val="20"/>
                <w:lang w:eastAsia="en-GB"/>
              </w:rPr>
            </w:pPr>
            <w:r>
              <w:rPr>
                <w:rFonts w:cs="Arial"/>
                <w:sz w:val="20"/>
                <w:szCs w:val="20"/>
                <w:lang w:eastAsia="en-GB"/>
              </w:rPr>
              <w:t>66</w:t>
            </w:r>
          </w:p>
        </w:tc>
        <w:tc>
          <w:tcPr>
            <w:tcW w:w="1820" w:type="dxa"/>
            <w:tcBorders>
              <w:top w:val="nil"/>
              <w:left w:val="nil"/>
              <w:bottom w:val="nil"/>
              <w:right w:val="nil"/>
            </w:tcBorders>
            <w:shd w:val="clear" w:color="auto" w:fill="auto"/>
            <w:noWrap/>
            <w:vAlign w:val="bottom"/>
            <w:hideMark/>
          </w:tcPr>
          <w:p w14:paraId="3D70CA17" w14:textId="77777777" w:rsidR="005C171C" w:rsidRPr="005C171C" w:rsidRDefault="005C171C" w:rsidP="0070459C">
            <w:pPr>
              <w:jc w:val="center"/>
              <w:rPr>
                <w:rFonts w:cs="Arial"/>
                <w:sz w:val="20"/>
                <w:szCs w:val="20"/>
                <w:lang w:eastAsia="en-GB"/>
              </w:rPr>
            </w:pPr>
            <w:r w:rsidRPr="005C171C">
              <w:rPr>
                <w:rFonts w:cs="Arial"/>
                <w:sz w:val="20"/>
                <w:szCs w:val="20"/>
                <w:lang w:eastAsia="en-GB"/>
              </w:rPr>
              <w:t>91-120 days</w:t>
            </w:r>
          </w:p>
        </w:tc>
        <w:tc>
          <w:tcPr>
            <w:tcW w:w="1160" w:type="dxa"/>
            <w:tcBorders>
              <w:top w:val="nil"/>
              <w:left w:val="nil"/>
              <w:bottom w:val="nil"/>
              <w:right w:val="single" w:sz="4" w:space="0" w:color="auto"/>
            </w:tcBorders>
            <w:shd w:val="clear" w:color="auto" w:fill="auto"/>
            <w:noWrap/>
            <w:vAlign w:val="bottom"/>
            <w:hideMark/>
          </w:tcPr>
          <w:p w14:paraId="2B05B4B7" w14:textId="20C04FC1" w:rsidR="005C171C" w:rsidRPr="005C171C" w:rsidRDefault="00F25792" w:rsidP="0070459C">
            <w:pPr>
              <w:jc w:val="center"/>
              <w:rPr>
                <w:rFonts w:cs="Arial"/>
                <w:sz w:val="20"/>
                <w:szCs w:val="20"/>
                <w:lang w:eastAsia="en-GB"/>
              </w:rPr>
            </w:pPr>
            <w:r>
              <w:rPr>
                <w:rFonts w:cs="Arial"/>
                <w:sz w:val="20"/>
                <w:szCs w:val="20"/>
                <w:lang w:eastAsia="en-GB"/>
              </w:rPr>
              <w:t xml:space="preserve">  1</w:t>
            </w:r>
          </w:p>
        </w:tc>
      </w:tr>
      <w:tr w:rsidR="005C171C" w:rsidRPr="005C171C" w14:paraId="1047AE28" w14:textId="77777777" w:rsidTr="005C171C">
        <w:trPr>
          <w:trHeight w:val="250"/>
          <w:jc w:val="center"/>
        </w:trPr>
        <w:tc>
          <w:tcPr>
            <w:tcW w:w="1360" w:type="dxa"/>
            <w:tcBorders>
              <w:top w:val="nil"/>
              <w:left w:val="single" w:sz="4" w:space="0" w:color="auto"/>
              <w:bottom w:val="single" w:sz="4" w:space="0" w:color="auto"/>
              <w:right w:val="nil"/>
            </w:tcBorders>
            <w:shd w:val="clear" w:color="auto" w:fill="auto"/>
            <w:noWrap/>
            <w:vAlign w:val="bottom"/>
            <w:hideMark/>
          </w:tcPr>
          <w:p w14:paraId="3A21389F" w14:textId="2747BBF4" w:rsidR="005C171C" w:rsidRPr="005C171C" w:rsidRDefault="00F25792" w:rsidP="0070459C">
            <w:pPr>
              <w:jc w:val="center"/>
              <w:rPr>
                <w:rFonts w:cs="Arial"/>
                <w:sz w:val="20"/>
                <w:szCs w:val="20"/>
                <w:lang w:eastAsia="en-GB"/>
              </w:rPr>
            </w:pPr>
            <w:r>
              <w:rPr>
                <w:rFonts w:cs="Arial"/>
                <w:sz w:val="20"/>
                <w:szCs w:val="20"/>
                <w:lang w:eastAsia="en-GB"/>
              </w:rPr>
              <w:t>28</w:t>
            </w:r>
          </w:p>
        </w:tc>
        <w:tc>
          <w:tcPr>
            <w:tcW w:w="1820" w:type="dxa"/>
            <w:tcBorders>
              <w:top w:val="nil"/>
              <w:left w:val="nil"/>
              <w:bottom w:val="single" w:sz="4" w:space="0" w:color="auto"/>
              <w:right w:val="nil"/>
            </w:tcBorders>
            <w:shd w:val="clear" w:color="auto" w:fill="auto"/>
            <w:noWrap/>
            <w:vAlign w:val="bottom"/>
            <w:hideMark/>
          </w:tcPr>
          <w:p w14:paraId="2785F438" w14:textId="77777777" w:rsidR="005C171C" w:rsidRPr="005C171C" w:rsidRDefault="005C171C" w:rsidP="0070459C">
            <w:pPr>
              <w:jc w:val="center"/>
              <w:rPr>
                <w:rFonts w:cs="Arial"/>
                <w:sz w:val="20"/>
                <w:szCs w:val="20"/>
                <w:lang w:eastAsia="en-GB"/>
              </w:rPr>
            </w:pPr>
            <w:r w:rsidRPr="005C171C">
              <w:rPr>
                <w:rFonts w:cs="Arial"/>
                <w:sz w:val="20"/>
                <w:szCs w:val="20"/>
                <w:lang w:eastAsia="en-GB"/>
              </w:rPr>
              <w:t>Over 120 days</w:t>
            </w:r>
          </w:p>
        </w:tc>
        <w:tc>
          <w:tcPr>
            <w:tcW w:w="1160" w:type="dxa"/>
            <w:tcBorders>
              <w:top w:val="nil"/>
              <w:left w:val="nil"/>
              <w:bottom w:val="single" w:sz="4" w:space="0" w:color="auto"/>
              <w:right w:val="single" w:sz="4" w:space="0" w:color="auto"/>
            </w:tcBorders>
            <w:shd w:val="clear" w:color="auto" w:fill="auto"/>
            <w:noWrap/>
            <w:vAlign w:val="bottom"/>
            <w:hideMark/>
          </w:tcPr>
          <w:p w14:paraId="58F6D49F" w14:textId="51D51302" w:rsidR="005C171C" w:rsidRPr="005C171C" w:rsidRDefault="00F25792" w:rsidP="0070459C">
            <w:pPr>
              <w:jc w:val="center"/>
              <w:rPr>
                <w:rFonts w:cs="Arial"/>
                <w:sz w:val="20"/>
                <w:szCs w:val="20"/>
                <w:lang w:eastAsia="en-GB"/>
              </w:rPr>
            </w:pPr>
            <w:r>
              <w:rPr>
                <w:rFonts w:cs="Arial"/>
                <w:sz w:val="20"/>
                <w:szCs w:val="20"/>
                <w:lang w:eastAsia="en-GB"/>
              </w:rPr>
              <w:t>35</w:t>
            </w:r>
          </w:p>
        </w:tc>
      </w:tr>
    </w:tbl>
    <w:p w14:paraId="485A48B0" w14:textId="77777777" w:rsidR="0057611B" w:rsidRPr="004D5CA8" w:rsidRDefault="0057611B" w:rsidP="0070459C">
      <w:pPr>
        <w:jc w:val="center"/>
        <w:rPr>
          <w:bCs/>
          <w:highlight w:val="yellow"/>
        </w:rPr>
      </w:pPr>
    </w:p>
    <w:p w14:paraId="485A48B1" w14:textId="259D4819" w:rsidR="004666DC" w:rsidRPr="005C171C" w:rsidRDefault="00307A1B" w:rsidP="0070459C">
      <w:pPr>
        <w:rPr>
          <w:bCs/>
        </w:rPr>
      </w:pPr>
      <w:r w:rsidRPr="005C171C">
        <w:rPr>
          <w:bCs/>
        </w:rPr>
        <w:t>The credit quality of</w:t>
      </w:r>
      <w:r w:rsidR="009440D5" w:rsidRPr="005C171C">
        <w:rPr>
          <w:bCs/>
        </w:rPr>
        <w:t xml:space="preserve"> other</w:t>
      </w:r>
      <w:r w:rsidRPr="005C171C">
        <w:rPr>
          <w:bCs/>
        </w:rPr>
        <w:t xml:space="preserve"> financial assets is considered to be very high given the low rate of debt write off. </w:t>
      </w:r>
      <w:r w:rsidR="00E00863" w:rsidRPr="005C171C">
        <w:rPr>
          <w:bCs/>
        </w:rPr>
        <w:t xml:space="preserve">Historical experience of default with regard to trade receivables </w:t>
      </w:r>
      <w:r w:rsidR="00074619" w:rsidRPr="005C171C">
        <w:rPr>
          <w:bCs/>
        </w:rPr>
        <w:t>and an analysis of the debt outstanding at 31 March 20</w:t>
      </w:r>
      <w:r w:rsidR="00471A51" w:rsidRPr="005C171C">
        <w:rPr>
          <w:bCs/>
        </w:rPr>
        <w:t>2</w:t>
      </w:r>
      <w:r w:rsidR="00BD01DC">
        <w:rPr>
          <w:bCs/>
        </w:rPr>
        <w:t>4</w:t>
      </w:r>
      <w:r w:rsidR="00074619" w:rsidRPr="005C171C">
        <w:rPr>
          <w:bCs/>
        </w:rPr>
        <w:t xml:space="preserve"> </w:t>
      </w:r>
      <w:r w:rsidR="00E00863" w:rsidRPr="005C171C">
        <w:rPr>
          <w:bCs/>
        </w:rPr>
        <w:t xml:space="preserve">shows that </w:t>
      </w:r>
      <w:r w:rsidR="001454CC" w:rsidRPr="005C171C">
        <w:rPr>
          <w:bCs/>
        </w:rPr>
        <w:t xml:space="preserve">an </w:t>
      </w:r>
      <w:r w:rsidR="00081534" w:rsidRPr="005C171C">
        <w:rPr>
          <w:bCs/>
        </w:rPr>
        <w:t>allowance for credit losses</w:t>
      </w:r>
      <w:r w:rsidR="00E00863" w:rsidRPr="005C171C">
        <w:rPr>
          <w:bCs/>
        </w:rPr>
        <w:t xml:space="preserve"> of</w:t>
      </w:r>
      <w:r w:rsidR="00BD01DC">
        <w:rPr>
          <w:bCs/>
        </w:rPr>
        <w:t xml:space="preserve"> £12k (</w:t>
      </w:r>
      <w:r w:rsidR="00E00863" w:rsidRPr="005C171C">
        <w:rPr>
          <w:bCs/>
        </w:rPr>
        <w:t>£</w:t>
      </w:r>
      <w:r w:rsidR="005B704D" w:rsidRPr="005C171C">
        <w:rPr>
          <w:bCs/>
        </w:rPr>
        <w:t>2</w:t>
      </w:r>
      <w:r w:rsidR="005C171C" w:rsidRPr="005C171C">
        <w:rPr>
          <w:bCs/>
        </w:rPr>
        <w:t>4k</w:t>
      </w:r>
      <w:r w:rsidR="00BD01DC">
        <w:rPr>
          <w:bCs/>
        </w:rPr>
        <w:t xml:space="preserve"> 2022/23)</w:t>
      </w:r>
      <w:r w:rsidR="005C171C" w:rsidRPr="005C171C">
        <w:rPr>
          <w:bCs/>
        </w:rPr>
        <w:t xml:space="preserve"> </w:t>
      </w:r>
      <w:r w:rsidR="00E00863" w:rsidRPr="005C171C">
        <w:rPr>
          <w:bCs/>
        </w:rPr>
        <w:t>is adequate to cover any anticipated credit risk for 20</w:t>
      </w:r>
      <w:r w:rsidR="00471A51" w:rsidRPr="005C171C">
        <w:rPr>
          <w:bCs/>
        </w:rPr>
        <w:t>2</w:t>
      </w:r>
      <w:r w:rsidR="00594E9F">
        <w:rPr>
          <w:bCs/>
        </w:rPr>
        <w:t>3</w:t>
      </w:r>
      <w:r w:rsidR="00351777" w:rsidRPr="005C171C">
        <w:rPr>
          <w:bCs/>
        </w:rPr>
        <w:t>/</w:t>
      </w:r>
      <w:r w:rsidR="00351777" w:rsidRPr="00AF4316">
        <w:rPr>
          <w:bCs/>
        </w:rPr>
        <w:t>2</w:t>
      </w:r>
      <w:r w:rsidR="00594E9F" w:rsidRPr="00AF4316">
        <w:rPr>
          <w:bCs/>
        </w:rPr>
        <w:t>4</w:t>
      </w:r>
      <w:r w:rsidR="00785141" w:rsidRPr="00AF4316">
        <w:rPr>
          <w:bCs/>
        </w:rPr>
        <w:t xml:space="preserve">. </w:t>
      </w:r>
      <w:r w:rsidR="00AF4316" w:rsidRPr="00AF4316">
        <w:rPr>
          <w:bCs/>
        </w:rPr>
        <w:t>£600 was</w:t>
      </w:r>
      <w:r w:rsidR="002E634F" w:rsidRPr="00AF4316">
        <w:rPr>
          <w:bCs/>
        </w:rPr>
        <w:t xml:space="preserve"> written off in 202</w:t>
      </w:r>
      <w:r w:rsidR="00594E9F" w:rsidRPr="00AF4316">
        <w:rPr>
          <w:bCs/>
        </w:rPr>
        <w:t>3/24</w:t>
      </w:r>
      <w:r w:rsidR="002E634F" w:rsidRPr="00AF4316">
        <w:rPr>
          <w:bCs/>
        </w:rPr>
        <w:t xml:space="preserve"> </w:t>
      </w:r>
      <w:r w:rsidR="00EE6021" w:rsidRPr="00AF4316">
        <w:rPr>
          <w:bCs/>
        </w:rPr>
        <w:t>(20</w:t>
      </w:r>
      <w:r w:rsidR="005B704D" w:rsidRPr="00AF4316">
        <w:rPr>
          <w:bCs/>
        </w:rPr>
        <w:t>2</w:t>
      </w:r>
      <w:r w:rsidR="00594E9F" w:rsidRPr="00AF4316">
        <w:rPr>
          <w:bCs/>
        </w:rPr>
        <w:t>2</w:t>
      </w:r>
      <w:r w:rsidR="002E634F" w:rsidRPr="00AF4316">
        <w:rPr>
          <w:bCs/>
        </w:rPr>
        <w:t>/2</w:t>
      </w:r>
      <w:r w:rsidR="00594E9F" w:rsidRPr="00AF4316">
        <w:rPr>
          <w:bCs/>
        </w:rPr>
        <w:t>3</w:t>
      </w:r>
      <w:r w:rsidR="002E634F" w:rsidRPr="00AF4316">
        <w:rPr>
          <w:bCs/>
        </w:rPr>
        <w:t xml:space="preserve"> £</w:t>
      </w:r>
      <w:r w:rsidR="005C171C" w:rsidRPr="00AF4316">
        <w:rPr>
          <w:bCs/>
        </w:rPr>
        <w:t>0</w:t>
      </w:r>
      <w:r w:rsidR="002E634F" w:rsidRPr="00AF4316">
        <w:rPr>
          <w:bCs/>
        </w:rPr>
        <w:t>).</w:t>
      </w:r>
      <w:r w:rsidR="002E634F" w:rsidRPr="005C171C">
        <w:rPr>
          <w:bCs/>
        </w:rPr>
        <w:t xml:space="preserve"> </w:t>
      </w:r>
      <w:r w:rsidR="00785141" w:rsidRPr="005C171C">
        <w:rPr>
          <w:bCs/>
        </w:rPr>
        <w:t xml:space="preserve"> </w:t>
      </w:r>
    </w:p>
    <w:p w14:paraId="485A48B2" w14:textId="77777777" w:rsidR="00EE6021" w:rsidRPr="004A5221" w:rsidRDefault="00EE6021" w:rsidP="0070459C">
      <w:pPr>
        <w:rPr>
          <w:bCs/>
        </w:rPr>
      </w:pPr>
    </w:p>
    <w:p w14:paraId="485A48B3" w14:textId="77777777" w:rsidR="00E00863" w:rsidRPr="004A5221" w:rsidRDefault="00E00863" w:rsidP="0070459C">
      <w:pPr>
        <w:rPr>
          <w:b/>
        </w:rPr>
      </w:pPr>
      <w:r w:rsidRPr="004A5221">
        <w:rPr>
          <w:b/>
        </w:rPr>
        <w:t>Liquidity risk</w:t>
      </w:r>
    </w:p>
    <w:p w14:paraId="485A48B4" w14:textId="77777777" w:rsidR="00E00863" w:rsidRPr="004A5221" w:rsidRDefault="00E00863" w:rsidP="0070459C">
      <w:pPr>
        <w:rPr>
          <w:b/>
          <w:bCs/>
        </w:rPr>
      </w:pPr>
    </w:p>
    <w:p w14:paraId="485A48B5" w14:textId="3F3206D7" w:rsidR="00E00863" w:rsidRPr="004A5221" w:rsidRDefault="00E00863" w:rsidP="0070459C">
      <w:pPr>
        <w:rPr>
          <w:bCs/>
        </w:rPr>
      </w:pPr>
      <w:r w:rsidRPr="004A5221">
        <w:rPr>
          <w:bCs/>
        </w:rPr>
        <w:t>All trade and other payables are due to be paid in less than one year. The Authority currently has no borrowings and so there is no significant current or future risk that it will be unable to raise finance to meet its commitments under financial instruments.</w:t>
      </w:r>
      <w:r w:rsidR="00D95903" w:rsidRPr="004A5221">
        <w:rPr>
          <w:bCs/>
        </w:rPr>
        <w:t xml:space="preserve"> </w:t>
      </w:r>
      <w:r w:rsidRPr="004A5221">
        <w:rPr>
          <w:bCs/>
        </w:rPr>
        <w:t>At 31 March 20</w:t>
      </w:r>
      <w:r w:rsidR="00471A51" w:rsidRPr="004A5221">
        <w:rPr>
          <w:bCs/>
        </w:rPr>
        <w:t>2</w:t>
      </w:r>
      <w:r w:rsidR="00594E9F">
        <w:rPr>
          <w:bCs/>
        </w:rPr>
        <w:t>4</w:t>
      </w:r>
      <w:r w:rsidRPr="004A5221">
        <w:rPr>
          <w:bCs/>
        </w:rPr>
        <w:t xml:space="preserve"> there are no financial liabilities other than trade creditors, which </w:t>
      </w:r>
      <w:r w:rsidR="00351777" w:rsidRPr="004A5221">
        <w:rPr>
          <w:bCs/>
        </w:rPr>
        <w:t>are expected to be paid within one</w:t>
      </w:r>
      <w:r w:rsidRPr="004A5221">
        <w:rPr>
          <w:bCs/>
        </w:rPr>
        <w:t xml:space="preserve"> year.</w:t>
      </w:r>
      <w:r w:rsidR="00307A1B" w:rsidRPr="004A5221">
        <w:rPr>
          <w:bCs/>
        </w:rPr>
        <w:t xml:space="preserve"> Liquidity risk is managed through daily cash flow monitoring.</w:t>
      </w:r>
      <w:r w:rsidR="00594E9F">
        <w:rPr>
          <w:bCs/>
        </w:rPr>
        <w:t xml:space="preserve"> </w:t>
      </w:r>
    </w:p>
    <w:p w14:paraId="485A48B6" w14:textId="77777777" w:rsidR="00904932" w:rsidRPr="004A5221" w:rsidRDefault="00904932" w:rsidP="0070459C">
      <w:pPr>
        <w:rPr>
          <w:b/>
        </w:rPr>
      </w:pPr>
    </w:p>
    <w:p w14:paraId="485A48B7" w14:textId="77777777" w:rsidR="00E00863" w:rsidRPr="004A5221" w:rsidRDefault="00E00863" w:rsidP="0070459C">
      <w:pPr>
        <w:rPr>
          <w:b/>
        </w:rPr>
      </w:pPr>
      <w:r w:rsidRPr="004A5221">
        <w:rPr>
          <w:b/>
        </w:rPr>
        <w:t>Market risk</w:t>
      </w:r>
    </w:p>
    <w:p w14:paraId="485A48B8" w14:textId="77777777" w:rsidR="00E00863" w:rsidRPr="004A5221" w:rsidRDefault="00E00863" w:rsidP="0070459C">
      <w:pPr>
        <w:rPr>
          <w:b/>
          <w:bCs/>
        </w:rPr>
      </w:pPr>
    </w:p>
    <w:p w14:paraId="0EAF8EE1" w14:textId="36951E29" w:rsidR="004A5221" w:rsidRDefault="004A5221" w:rsidP="0070459C">
      <w:pPr>
        <w:rPr>
          <w:bCs/>
        </w:rPr>
      </w:pPr>
      <w:r>
        <w:rPr>
          <w:bCs/>
        </w:rPr>
        <w:t xml:space="preserve">Market conditions have changed significantly during the year with bank rate rising from </w:t>
      </w:r>
      <w:r w:rsidR="00594E9F">
        <w:rPr>
          <w:bCs/>
        </w:rPr>
        <w:t>4.25</w:t>
      </w:r>
      <w:r>
        <w:rPr>
          <w:bCs/>
        </w:rPr>
        <w:t xml:space="preserve">% to </w:t>
      </w:r>
      <w:r w:rsidR="00594E9F">
        <w:rPr>
          <w:bCs/>
        </w:rPr>
        <w:t>5</w:t>
      </w:r>
      <w:r>
        <w:rPr>
          <w:bCs/>
        </w:rPr>
        <w:t>.</w:t>
      </w:r>
      <w:r w:rsidR="00594E9F">
        <w:rPr>
          <w:bCs/>
        </w:rPr>
        <w:t>25</w:t>
      </w:r>
      <w:r>
        <w:rPr>
          <w:bCs/>
        </w:rPr>
        <w:t>%. This has had an impact on invest</w:t>
      </w:r>
      <w:r w:rsidR="00594E9F">
        <w:rPr>
          <w:bCs/>
        </w:rPr>
        <w:t>ment income</w:t>
      </w:r>
      <w:r>
        <w:rPr>
          <w:bCs/>
        </w:rPr>
        <w:t>.</w:t>
      </w:r>
    </w:p>
    <w:p w14:paraId="77A54870" w14:textId="77777777" w:rsidR="004A5221" w:rsidRDefault="004A5221" w:rsidP="0070459C">
      <w:pPr>
        <w:rPr>
          <w:bCs/>
        </w:rPr>
      </w:pPr>
    </w:p>
    <w:p w14:paraId="485A48B9" w14:textId="69EF9A2B" w:rsidR="00E00863" w:rsidRDefault="00E00863" w:rsidP="0070459C">
      <w:pPr>
        <w:rPr>
          <w:bCs/>
        </w:rPr>
      </w:pPr>
      <w:r w:rsidRPr="004A5221">
        <w:rPr>
          <w:bCs/>
        </w:rPr>
        <w:t>The Authority is currently debt free</w:t>
      </w:r>
      <w:r w:rsidR="00594E9F">
        <w:rPr>
          <w:bCs/>
        </w:rPr>
        <w:t xml:space="preserve"> and has no plans to take on external debt.</w:t>
      </w:r>
      <w:r w:rsidRPr="004A5221">
        <w:rPr>
          <w:bCs/>
        </w:rPr>
        <w:t xml:space="preserve"> </w:t>
      </w:r>
      <w:r w:rsidR="00594E9F">
        <w:rPr>
          <w:bCs/>
        </w:rPr>
        <w:t>H</w:t>
      </w:r>
      <w:r w:rsidRPr="004A5221">
        <w:rPr>
          <w:bCs/>
        </w:rPr>
        <w:t xml:space="preserve">owever, the Prudential Code requires the Authority to fix each year the maximum of interest on borrowing </w:t>
      </w:r>
      <w:r w:rsidR="00612437" w:rsidRPr="004A5221">
        <w:rPr>
          <w:bCs/>
        </w:rPr>
        <w:t>that</w:t>
      </w:r>
      <w:r w:rsidRPr="004A5221">
        <w:rPr>
          <w:bCs/>
        </w:rPr>
        <w:t xml:space="preserve"> is subject to variable rates. As the Authority’s borrowing is </w:t>
      </w:r>
      <w:r w:rsidR="00870702" w:rsidRPr="004A5221">
        <w:rPr>
          <w:bCs/>
        </w:rPr>
        <w:t xml:space="preserve">currently </w:t>
      </w:r>
      <w:r w:rsidRPr="004A5221">
        <w:rPr>
          <w:bCs/>
        </w:rPr>
        <w:t>expected to be for short term cash management only</w:t>
      </w:r>
      <w:r w:rsidR="005C171C" w:rsidRPr="004A5221">
        <w:rPr>
          <w:bCs/>
        </w:rPr>
        <w:t xml:space="preserve"> (if required at all)</w:t>
      </w:r>
      <w:r w:rsidRPr="004A5221">
        <w:rPr>
          <w:bCs/>
        </w:rPr>
        <w:t>, it is anticipated that 100% of this could be at variable rates without exposing the Authority to undue risk. The proportion of fixed and variable rate interest will depend on forecasts for interest rates during the period under review. Maximum borrowing will be undertaken at fixed rates when interest rates are considered to be at their lowest and on a variable basis when interest rates are expected to fall.</w:t>
      </w:r>
    </w:p>
    <w:p w14:paraId="4822B1DF" w14:textId="77777777" w:rsidR="00594E9F" w:rsidRDefault="00594E9F" w:rsidP="0070459C">
      <w:pPr>
        <w:rPr>
          <w:bCs/>
        </w:rPr>
      </w:pPr>
    </w:p>
    <w:p w14:paraId="29E3F403" w14:textId="2D53DE14" w:rsidR="00594E9F" w:rsidRPr="004A5221" w:rsidRDefault="00594E9F" w:rsidP="0070459C">
      <w:pPr>
        <w:rPr>
          <w:bCs/>
        </w:rPr>
      </w:pPr>
      <w:r>
        <w:rPr>
          <w:bCs/>
        </w:rPr>
        <w:t>From 1/4/2024 IFRS1</w:t>
      </w:r>
      <w:r w:rsidR="000D3EB1">
        <w:rPr>
          <w:bCs/>
        </w:rPr>
        <w:t>6</w:t>
      </w:r>
      <w:r>
        <w:rPr>
          <w:bCs/>
        </w:rPr>
        <w:t xml:space="preserve"> leasing comes into force. This will result in an estimated up to £1m of debt coming onto the Authority’s balance sheet. This is to reflect the accounting substance of lease arrangements as assets purchased through borrowing. This has no impact on the underlying agreements or the actual borrowings of the authority. </w:t>
      </w:r>
    </w:p>
    <w:p w14:paraId="485A48BA" w14:textId="77777777" w:rsidR="00E00863" w:rsidRPr="004A5221" w:rsidRDefault="00E00863" w:rsidP="0070459C">
      <w:pPr>
        <w:rPr>
          <w:bCs/>
        </w:rPr>
      </w:pPr>
    </w:p>
    <w:p w14:paraId="485A48BB" w14:textId="60181A61" w:rsidR="00E00863" w:rsidRPr="004A5221" w:rsidRDefault="00E00863" w:rsidP="0070459C">
      <w:pPr>
        <w:rPr>
          <w:bCs/>
        </w:rPr>
      </w:pPr>
      <w:r w:rsidRPr="004A5221">
        <w:rPr>
          <w:bCs/>
        </w:rPr>
        <w:t>In 20</w:t>
      </w:r>
      <w:r w:rsidR="002E634F" w:rsidRPr="004A5221">
        <w:rPr>
          <w:bCs/>
        </w:rPr>
        <w:t>2</w:t>
      </w:r>
      <w:r w:rsidR="00594E9F">
        <w:rPr>
          <w:bCs/>
        </w:rPr>
        <w:t>3</w:t>
      </w:r>
      <w:r w:rsidR="002E634F" w:rsidRPr="004A5221">
        <w:rPr>
          <w:bCs/>
        </w:rPr>
        <w:t>/2</w:t>
      </w:r>
      <w:r w:rsidR="00594E9F">
        <w:rPr>
          <w:bCs/>
        </w:rPr>
        <w:t>4</w:t>
      </w:r>
      <w:r w:rsidRPr="004A5221">
        <w:rPr>
          <w:bCs/>
        </w:rPr>
        <w:t xml:space="preserve"> the Authority received £</w:t>
      </w:r>
      <w:r w:rsidR="00594E9F">
        <w:rPr>
          <w:bCs/>
        </w:rPr>
        <w:t>21</w:t>
      </w:r>
      <w:r w:rsidR="000D3EB1">
        <w:rPr>
          <w:bCs/>
        </w:rPr>
        <w:t>7</w:t>
      </w:r>
      <w:r w:rsidR="005C171C" w:rsidRPr="004A5221">
        <w:rPr>
          <w:bCs/>
        </w:rPr>
        <w:t>k</w:t>
      </w:r>
      <w:r w:rsidRPr="004A5221">
        <w:rPr>
          <w:bCs/>
        </w:rPr>
        <w:t xml:space="preserve"> in interest income (£</w:t>
      </w:r>
      <w:r w:rsidR="00594E9F">
        <w:rPr>
          <w:bCs/>
        </w:rPr>
        <w:t>102</w:t>
      </w:r>
      <w:r w:rsidR="005C171C" w:rsidRPr="004A5221">
        <w:rPr>
          <w:bCs/>
        </w:rPr>
        <w:t>k</w:t>
      </w:r>
      <w:r w:rsidR="002E634F" w:rsidRPr="004A5221">
        <w:rPr>
          <w:bCs/>
        </w:rPr>
        <w:t xml:space="preserve"> in 20</w:t>
      </w:r>
      <w:r w:rsidR="004F7FBA" w:rsidRPr="004A5221">
        <w:rPr>
          <w:bCs/>
        </w:rPr>
        <w:t>2</w:t>
      </w:r>
      <w:r w:rsidR="00594E9F">
        <w:rPr>
          <w:bCs/>
        </w:rPr>
        <w:t>2</w:t>
      </w:r>
      <w:r w:rsidR="002E634F" w:rsidRPr="004A5221">
        <w:rPr>
          <w:bCs/>
        </w:rPr>
        <w:t>/2</w:t>
      </w:r>
      <w:r w:rsidR="00594E9F">
        <w:rPr>
          <w:bCs/>
        </w:rPr>
        <w:t>3</w:t>
      </w:r>
      <w:r w:rsidRPr="004A5221">
        <w:rPr>
          <w:bCs/>
        </w:rPr>
        <w:t xml:space="preserve">). </w:t>
      </w:r>
      <w:r w:rsidR="004A5221">
        <w:rPr>
          <w:bCs/>
        </w:rPr>
        <w:t xml:space="preserve">This increase is a direct reflection of the increase in bank rate, which has impacted on the wider money </w:t>
      </w:r>
      <w:r w:rsidR="004A5221">
        <w:rPr>
          <w:bCs/>
        </w:rPr>
        <w:lastRenderedPageBreak/>
        <w:t xml:space="preserve">market. The Authority has continued to use AAA rated money market fund as its main deposit facility. </w:t>
      </w:r>
      <w:r w:rsidR="005C171C" w:rsidRPr="004A5221">
        <w:rPr>
          <w:bCs/>
        </w:rPr>
        <w:t xml:space="preserve">The average </w:t>
      </w:r>
      <w:r w:rsidR="002116F2">
        <w:rPr>
          <w:bCs/>
        </w:rPr>
        <w:t xml:space="preserve">cash and investment </w:t>
      </w:r>
      <w:r w:rsidR="005C171C" w:rsidRPr="004A5221">
        <w:rPr>
          <w:bCs/>
        </w:rPr>
        <w:t>balan</w:t>
      </w:r>
      <w:r w:rsidR="002116F2">
        <w:rPr>
          <w:bCs/>
        </w:rPr>
        <w:t>c</w:t>
      </w:r>
      <w:r w:rsidR="005C171C" w:rsidRPr="004A5221">
        <w:rPr>
          <w:bCs/>
        </w:rPr>
        <w:t>e</w:t>
      </w:r>
      <w:r w:rsidR="002116F2">
        <w:rPr>
          <w:bCs/>
        </w:rPr>
        <w:t xml:space="preserve"> over the period was,</w:t>
      </w:r>
      <w:r w:rsidR="005C171C" w:rsidRPr="004A5221">
        <w:rPr>
          <w:bCs/>
        </w:rPr>
        <w:t xml:space="preserve"> £4.</w:t>
      </w:r>
      <w:r w:rsidR="00EA090F">
        <w:rPr>
          <w:bCs/>
        </w:rPr>
        <w:t>3</w:t>
      </w:r>
      <w:r w:rsidR="005C171C" w:rsidRPr="004A5221">
        <w:rPr>
          <w:bCs/>
        </w:rPr>
        <w:t>m so h</w:t>
      </w:r>
      <w:r w:rsidRPr="004A5221">
        <w:rPr>
          <w:bCs/>
        </w:rPr>
        <w:t xml:space="preserve">ad interest rates been </w:t>
      </w:r>
      <w:r w:rsidR="005C171C" w:rsidRPr="004A5221">
        <w:rPr>
          <w:bCs/>
        </w:rPr>
        <w:t xml:space="preserve"> +/-</w:t>
      </w:r>
      <w:r w:rsidRPr="004A5221">
        <w:rPr>
          <w:bCs/>
        </w:rPr>
        <w:t xml:space="preserve">1% higher during the period, the income received would have </w:t>
      </w:r>
      <w:r w:rsidR="005C171C" w:rsidRPr="004A5221">
        <w:rPr>
          <w:bCs/>
        </w:rPr>
        <w:t xml:space="preserve">varied by </w:t>
      </w:r>
      <w:r w:rsidR="002116F2">
        <w:rPr>
          <w:bCs/>
        </w:rPr>
        <w:t xml:space="preserve">circa </w:t>
      </w:r>
      <w:r w:rsidR="005C171C" w:rsidRPr="004A5221">
        <w:rPr>
          <w:bCs/>
        </w:rPr>
        <w:t>+/-</w:t>
      </w:r>
      <w:r w:rsidRPr="004A5221">
        <w:rPr>
          <w:bCs/>
        </w:rPr>
        <w:t xml:space="preserve"> </w:t>
      </w:r>
      <w:r w:rsidR="005C171C" w:rsidRPr="004A5221">
        <w:rPr>
          <w:bCs/>
        </w:rPr>
        <w:t>c</w:t>
      </w:r>
      <w:r w:rsidRPr="004A5221">
        <w:rPr>
          <w:bCs/>
        </w:rPr>
        <w:t>£</w:t>
      </w:r>
      <w:r w:rsidR="005C171C" w:rsidRPr="004A5221">
        <w:rPr>
          <w:bCs/>
        </w:rPr>
        <w:t>4</w:t>
      </w:r>
      <w:r w:rsidR="00EA090F">
        <w:rPr>
          <w:bCs/>
        </w:rPr>
        <w:t>3</w:t>
      </w:r>
      <w:r w:rsidR="005C171C" w:rsidRPr="004A5221">
        <w:rPr>
          <w:bCs/>
        </w:rPr>
        <w:t>k</w:t>
      </w:r>
      <w:r w:rsidRPr="004A5221">
        <w:rPr>
          <w:bCs/>
        </w:rPr>
        <w:t>.</w:t>
      </w:r>
      <w:r w:rsidR="00AF7AD7" w:rsidRPr="004A5221">
        <w:rPr>
          <w:bCs/>
        </w:rPr>
        <w:t xml:space="preserve"> </w:t>
      </w:r>
    </w:p>
    <w:p w14:paraId="485A48BC" w14:textId="3E52C05F" w:rsidR="00074619" w:rsidRPr="004A5221" w:rsidRDefault="00074619" w:rsidP="0070459C">
      <w:pPr>
        <w:rPr>
          <w:b/>
          <w:bCs/>
        </w:rPr>
      </w:pPr>
    </w:p>
    <w:p w14:paraId="485A48BD" w14:textId="77777777" w:rsidR="00E00863" w:rsidRPr="004A5221" w:rsidRDefault="00E00863" w:rsidP="0070459C">
      <w:pPr>
        <w:rPr>
          <w:b/>
        </w:rPr>
      </w:pPr>
      <w:r w:rsidRPr="004A5221">
        <w:rPr>
          <w:b/>
        </w:rPr>
        <w:t>Foreign exchange risk</w:t>
      </w:r>
    </w:p>
    <w:p w14:paraId="485A48BE" w14:textId="77777777" w:rsidR="00E00863" w:rsidRPr="004A5221" w:rsidRDefault="00E00863" w:rsidP="0070459C">
      <w:pPr>
        <w:rPr>
          <w:b/>
          <w:bCs/>
        </w:rPr>
      </w:pPr>
    </w:p>
    <w:p w14:paraId="485A48BF" w14:textId="77777777" w:rsidR="00E00863" w:rsidRDefault="00E00863" w:rsidP="0070459C">
      <w:pPr>
        <w:rPr>
          <w:bCs/>
        </w:rPr>
      </w:pPr>
      <w:r w:rsidRPr="004A5221">
        <w:rPr>
          <w:bCs/>
        </w:rPr>
        <w:t>The Authority has no financial assets or liabilities denominated in foreign currencies and therefore has no exposure to loss arising from movements in exchange rates.</w:t>
      </w:r>
    </w:p>
    <w:p w14:paraId="2BF8105D" w14:textId="77777777" w:rsidR="00FE5E6E" w:rsidRPr="004A5221" w:rsidRDefault="00FE5E6E" w:rsidP="0070459C">
      <w:pPr>
        <w:rPr>
          <w:bCs/>
        </w:rPr>
      </w:pPr>
    </w:p>
    <w:p w14:paraId="485A48C1" w14:textId="77777777" w:rsidR="00511080" w:rsidRPr="004D5CA8" w:rsidRDefault="00511080" w:rsidP="0070459C">
      <w:pPr>
        <w:rPr>
          <w:highlight w:val="yellow"/>
        </w:rPr>
      </w:pPr>
    </w:p>
    <w:p w14:paraId="485A48C2" w14:textId="1586B2F2" w:rsidR="00E00863" w:rsidRPr="006C7E96" w:rsidRDefault="00E00863" w:rsidP="0070459C">
      <w:pPr>
        <w:pStyle w:val="Subtitle"/>
        <w:numPr>
          <w:ilvl w:val="0"/>
          <w:numId w:val="47"/>
        </w:numPr>
        <w:tabs>
          <w:tab w:val="left" w:pos="-709"/>
          <w:tab w:val="left" w:pos="-284"/>
          <w:tab w:val="left" w:pos="-142"/>
        </w:tabs>
        <w:spacing w:line="240" w:lineRule="atLeast"/>
        <w:ind w:left="0" w:right="680" w:firstLine="0"/>
        <w:rPr>
          <w:rStyle w:val="Heading2Char"/>
          <w:i w:val="0"/>
          <w:iCs w:val="0"/>
          <w:u w:val="none"/>
        </w:rPr>
      </w:pPr>
      <w:bookmarkStart w:id="392" w:name="_Toc167965819"/>
      <w:r w:rsidRPr="006C7E96">
        <w:rPr>
          <w:rStyle w:val="Heading2Char"/>
          <w:i w:val="0"/>
          <w:iCs w:val="0"/>
          <w:u w:val="none"/>
        </w:rPr>
        <w:t>Cash and Cash Equivalents</w:t>
      </w:r>
      <w:bookmarkEnd w:id="392"/>
    </w:p>
    <w:p w14:paraId="2BBAB50A" w14:textId="77777777" w:rsidR="0003553D" w:rsidRDefault="0003553D" w:rsidP="0003553D"/>
    <w:tbl>
      <w:tblPr>
        <w:tblW w:w="6580" w:type="dxa"/>
        <w:jc w:val="center"/>
        <w:tblLook w:val="04A0" w:firstRow="1" w:lastRow="0" w:firstColumn="1" w:lastColumn="0" w:noHBand="0" w:noVBand="1"/>
      </w:tblPr>
      <w:tblGrid>
        <w:gridCol w:w="1500"/>
        <w:gridCol w:w="3780"/>
        <w:gridCol w:w="1300"/>
      </w:tblGrid>
      <w:tr w:rsidR="0003553D" w:rsidRPr="0003553D" w14:paraId="47CF306F" w14:textId="77777777" w:rsidTr="0003553D">
        <w:trPr>
          <w:trHeight w:val="290"/>
          <w:jc w:val="center"/>
        </w:trPr>
        <w:tc>
          <w:tcPr>
            <w:tcW w:w="1500" w:type="dxa"/>
            <w:tcBorders>
              <w:top w:val="single" w:sz="4" w:space="0" w:color="auto"/>
              <w:left w:val="single" w:sz="4" w:space="0" w:color="auto"/>
              <w:bottom w:val="nil"/>
              <w:right w:val="nil"/>
            </w:tcBorders>
            <w:shd w:val="clear" w:color="000000" w:fill="000000"/>
            <w:noWrap/>
            <w:vAlign w:val="center"/>
            <w:hideMark/>
          </w:tcPr>
          <w:p w14:paraId="6380250E" w14:textId="77777777" w:rsidR="0003553D" w:rsidRPr="0003553D" w:rsidRDefault="0003553D" w:rsidP="0003553D">
            <w:pPr>
              <w:jc w:val="center"/>
              <w:rPr>
                <w:rFonts w:ascii="Calibri" w:hAnsi="Calibri" w:cs="Calibri"/>
                <w:b/>
                <w:bCs/>
                <w:color w:val="FFFFFF"/>
                <w:sz w:val="22"/>
                <w:szCs w:val="22"/>
                <w:lang w:eastAsia="en-GB"/>
              </w:rPr>
            </w:pPr>
            <w:r w:rsidRPr="0003553D">
              <w:rPr>
                <w:rFonts w:ascii="Calibri" w:hAnsi="Calibri" w:cs="Calibri"/>
                <w:b/>
                <w:bCs/>
                <w:color w:val="FFFFFF"/>
                <w:sz w:val="22"/>
                <w:szCs w:val="22"/>
                <w:lang w:eastAsia="en-GB"/>
              </w:rPr>
              <w:t>31-Mar-23</w:t>
            </w:r>
          </w:p>
        </w:tc>
        <w:tc>
          <w:tcPr>
            <w:tcW w:w="3780" w:type="dxa"/>
            <w:tcBorders>
              <w:top w:val="single" w:sz="4" w:space="0" w:color="auto"/>
              <w:left w:val="nil"/>
              <w:bottom w:val="nil"/>
              <w:right w:val="nil"/>
            </w:tcBorders>
            <w:shd w:val="clear" w:color="000000" w:fill="000000"/>
            <w:noWrap/>
            <w:vAlign w:val="center"/>
            <w:hideMark/>
          </w:tcPr>
          <w:p w14:paraId="461A735C" w14:textId="77777777" w:rsidR="0003553D" w:rsidRPr="0003553D" w:rsidRDefault="0003553D" w:rsidP="0003553D">
            <w:pPr>
              <w:jc w:val="center"/>
              <w:rPr>
                <w:rFonts w:ascii="Calibri" w:hAnsi="Calibri" w:cs="Calibri"/>
                <w:b/>
                <w:bCs/>
                <w:color w:val="FFFFFF"/>
                <w:sz w:val="22"/>
                <w:szCs w:val="22"/>
                <w:lang w:eastAsia="en-GB"/>
              </w:rPr>
            </w:pPr>
            <w:r w:rsidRPr="0003553D">
              <w:rPr>
                <w:rFonts w:ascii="Calibri" w:hAnsi="Calibri" w:cs="Calibri"/>
                <w:b/>
                <w:bCs/>
                <w:color w:val="FFFFFF"/>
                <w:sz w:val="22"/>
                <w:szCs w:val="22"/>
                <w:lang w:eastAsia="en-GB"/>
              </w:rPr>
              <w:t> </w:t>
            </w:r>
          </w:p>
        </w:tc>
        <w:tc>
          <w:tcPr>
            <w:tcW w:w="1300" w:type="dxa"/>
            <w:tcBorders>
              <w:top w:val="single" w:sz="4" w:space="0" w:color="auto"/>
              <w:left w:val="nil"/>
              <w:bottom w:val="nil"/>
              <w:right w:val="single" w:sz="4" w:space="0" w:color="auto"/>
            </w:tcBorders>
            <w:shd w:val="clear" w:color="000000" w:fill="000000"/>
            <w:noWrap/>
            <w:vAlign w:val="center"/>
            <w:hideMark/>
          </w:tcPr>
          <w:p w14:paraId="7FC87220" w14:textId="28620889" w:rsidR="0003553D" w:rsidRPr="0003553D" w:rsidRDefault="0003553D" w:rsidP="0003553D">
            <w:pPr>
              <w:jc w:val="center"/>
              <w:rPr>
                <w:rFonts w:ascii="Calibri" w:hAnsi="Calibri" w:cs="Calibri"/>
                <w:b/>
                <w:bCs/>
                <w:color w:val="FFFFFF"/>
                <w:sz w:val="22"/>
                <w:szCs w:val="22"/>
                <w:lang w:eastAsia="en-GB"/>
              </w:rPr>
            </w:pPr>
            <w:r w:rsidRPr="0003553D">
              <w:rPr>
                <w:rFonts w:ascii="Calibri" w:hAnsi="Calibri" w:cs="Calibri"/>
                <w:b/>
                <w:bCs/>
                <w:color w:val="FFFFFF"/>
                <w:sz w:val="22"/>
                <w:szCs w:val="22"/>
                <w:lang w:eastAsia="en-GB"/>
              </w:rPr>
              <w:t>31-Mar-2</w:t>
            </w:r>
            <w:r w:rsidR="00411D8F">
              <w:rPr>
                <w:rFonts w:ascii="Calibri" w:hAnsi="Calibri" w:cs="Calibri"/>
                <w:b/>
                <w:bCs/>
                <w:color w:val="FFFFFF"/>
                <w:sz w:val="22"/>
                <w:szCs w:val="22"/>
                <w:lang w:eastAsia="en-GB"/>
              </w:rPr>
              <w:t>4</w:t>
            </w:r>
          </w:p>
        </w:tc>
      </w:tr>
      <w:tr w:rsidR="0003553D" w:rsidRPr="0003553D" w14:paraId="49BD0A3A" w14:textId="77777777" w:rsidTr="0003553D">
        <w:trPr>
          <w:trHeight w:val="290"/>
          <w:jc w:val="center"/>
        </w:trPr>
        <w:tc>
          <w:tcPr>
            <w:tcW w:w="1500" w:type="dxa"/>
            <w:tcBorders>
              <w:top w:val="nil"/>
              <w:left w:val="single" w:sz="4" w:space="0" w:color="auto"/>
              <w:bottom w:val="nil"/>
              <w:right w:val="nil"/>
            </w:tcBorders>
            <w:shd w:val="clear" w:color="000000" w:fill="000000"/>
            <w:noWrap/>
            <w:vAlign w:val="center"/>
            <w:hideMark/>
          </w:tcPr>
          <w:p w14:paraId="7281E112" w14:textId="77777777" w:rsidR="0003553D" w:rsidRPr="0003553D" w:rsidRDefault="0003553D" w:rsidP="0003553D">
            <w:pPr>
              <w:jc w:val="center"/>
              <w:rPr>
                <w:rFonts w:ascii="Calibri" w:hAnsi="Calibri" w:cs="Calibri"/>
                <w:b/>
                <w:bCs/>
                <w:color w:val="FFFFFF"/>
                <w:sz w:val="22"/>
                <w:szCs w:val="22"/>
                <w:lang w:eastAsia="en-GB"/>
              </w:rPr>
            </w:pPr>
            <w:r w:rsidRPr="0003553D">
              <w:rPr>
                <w:rFonts w:ascii="Calibri" w:hAnsi="Calibri" w:cs="Calibri"/>
                <w:b/>
                <w:bCs/>
                <w:color w:val="FFFFFF"/>
                <w:sz w:val="22"/>
                <w:szCs w:val="22"/>
                <w:lang w:eastAsia="en-GB"/>
              </w:rPr>
              <w:t>£000</w:t>
            </w:r>
          </w:p>
        </w:tc>
        <w:tc>
          <w:tcPr>
            <w:tcW w:w="3780" w:type="dxa"/>
            <w:tcBorders>
              <w:top w:val="nil"/>
              <w:left w:val="nil"/>
              <w:bottom w:val="nil"/>
              <w:right w:val="nil"/>
            </w:tcBorders>
            <w:shd w:val="clear" w:color="000000" w:fill="000000"/>
            <w:noWrap/>
            <w:vAlign w:val="center"/>
            <w:hideMark/>
          </w:tcPr>
          <w:p w14:paraId="7BA46C11" w14:textId="77777777" w:rsidR="0003553D" w:rsidRPr="0003553D" w:rsidRDefault="0003553D" w:rsidP="0003553D">
            <w:pPr>
              <w:jc w:val="center"/>
              <w:rPr>
                <w:rFonts w:ascii="Calibri" w:hAnsi="Calibri" w:cs="Calibri"/>
                <w:b/>
                <w:bCs/>
                <w:color w:val="FFFFFF"/>
                <w:sz w:val="22"/>
                <w:szCs w:val="22"/>
                <w:lang w:eastAsia="en-GB"/>
              </w:rPr>
            </w:pPr>
            <w:r w:rsidRPr="0003553D">
              <w:rPr>
                <w:rFonts w:ascii="Calibri" w:hAnsi="Calibri" w:cs="Calibri"/>
                <w:b/>
                <w:bCs/>
                <w:color w:val="FFFFFF"/>
                <w:sz w:val="22"/>
                <w:szCs w:val="22"/>
                <w:lang w:eastAsia="en-GB"/>
              </w:rPr>
              <w:t> </w:t>
            </w:r>
          </w:p>
        </w:tc>
        <w:tc>
          <w:tcPr>
            <w:tcW w:w="1300" w:type="dxa"/>
            <w:tcBorders>
              <w:top w:val="nil"/>
              <w:left w:val="nil"/>
              <w:bottom w:val="nil"/>
              <w:right w:val="single" w:sz="4" w:space="0" w:color="auto"/>
            </w:tcBorders>
            <w:shd w:val="clear" w:color="000000" w:fill="000000"/>
            <w:noWrap/>
            <w:vAlign w:val="center"/>
            <w:hideMark/>
          </w:tcPr>
          <w:p w14:paraId="6DD2C42E" w14:textId="77777777" w:rsidR="0003553D" w:rsidRPr="0003553D" w:rsidRDefault="0003553D" w:rsidP="0003553D">
            <w:pPr>
              <w:jc w:val="center"/>
              <w:rPr>
                <w:rFonts w:ascii="Calibri" w:hAnsi="Calibri" w:cs="Calibri"/>
                <w:b/>
                <w:bCs/>
                <w:color w:val="FFFFFF"/>
                <w:sz w:val="22"/>
                <w:szCs w:val="22"/>
                <w:lang w:eastAsia="en-GB"/>
              </w:rPr>
            </w:pPr>
            <w:r w:rsidRPr="0003553D">
              <w:rPr>
                <w:rFonts w:ascii="Calibri" w:hAnsi="Calibri" w:cs="Calibri"/>
                <w:b/>
                <w:bCs/>
                <w:color w:val="FFFFFF"/>
                <w:sz w:val="22"/>
                <w:szCs w:val="22"/>
                <w:lang w:eastAsia="en-GB"/>
              </w:rPr>
              <w:t>£000</w:t>
            </w:r>
          </w:p>
        </w:tc>
      </w:tr>
      <w:tr w:rsidR="0003553D" w:rsidRPr="0003553D" w14:paraId="5B28F75B" w14:textId="77777777" w:rsidTr="0003553D">
        <w:trPr>
          <w:trHeight w:val="300"/>
          <w:jc w:val="center"/>
        </w:trPr>
        <w:tc>
          <w:tcPr>
            <w:tcW w:w="1500" w:type="dxa"/>
            <w:tcBorders>
              <w:top w:val="nil"/>
              <w:left w:val="single" w:sz="4" w:space="0" w:color="auto"/>
              <w:bottom w:val="nil"/>
              <w:right w:val="nil"/>
            </w:tcBorders>
            <w:shd w:val="clear" w:color="auto" w:fill="auto"/>
            <w:noWrap/>
            <w:vAlign w:val="center"/>
            <w:hideMark/>
          </w:tcPr>
          <w:p w14:paraId="743E3419" w14:textId="77777777" w:rsidR="0003553D" w:rsidRPr="0003553D" w:rsidRDefault="0003553D" w:rsidP="0003553D">
            <w:pPr>
              <w:jc w:val="right"/>
              <w:rPr>
                <w:rFonts w:ascii="Calibri" w:hAnsi="Calibri" w:cs="Calibri"/>
                <w:color w:val="000000"/>
                <w:lang w:eastAsia="en-GB"/>
              </w:rPr>
            </w:pPr>
            <w:r w:rsidRPr="0003553D">
              <w:rPr>
                <w:rFonts w:ascii="Calibri" w:hAnsi="Calibri" w:cs="Calibri"/>
                <w:color w:val="000000"/>
                <w:lang w:eastAsia="en-GB"/>
              </w:rPr>
              <w:t>5</w:t>
            </w:r>
          </w:p>
        </w:tc>
        <w:tc>
          <w:tcPr>
            <w:tcW w:w="3780" w:type="dxa"/>
            <w:tcBorders>
              <w:top w:val="nil"/>
              <w:left w:val="nil"/>
              <w:bottom w:val="nil"/>
              <w:right w:val="nil"/>
            </w:tcBorders>
            <w:shd w:val="clear" w:color="auto" w:fill="auto"/>
            <w:noWrap/>
            <w:vAlign w:val="center"/>
            <w:hideMark/>
          </w:tcPr>
          <w:p w14:paraId="1161ABE7" w14:textId="77777777" w:rsidR="0003553D" w:rsidRPr="0003553D" w:rsidRDefault="0003553D" w:rsidP="0003553D">
            <w:pPr>
              <w:rPr>
                <w:rFonts w:ascii="Calibri" w:hAnsi="Calibri" w:cs="Calibri"/>
                <w:color w:val="000000"/>
                <w:lang w:eastAsia="en-GB"/>
              </w:rPr>
            </w:pPr>
            <w:r w:rsidRPr="0003553D">
              <w:rPr>
                <w:rFonts w:ascii="Calibri" w:hAnsi="Calibri" w:cs="Calibri"/>
                <w:color w:val="000000"/>
                <w:lang w:eastAsia="en-GB"/>
              </w:rPr>
              <w:t>Cash held</w:t>
            </w:r>
          </w:p>
        </w:tc>
        <w:tc>
          <w:tcPr>
            <w:tcW w:w="1300" w:type="dxa"/>
            <w:tcBorders>
              <w:top w:val="nil"/>
              <w:left w:val="nil"/>
              <w:bottom w:val="nil"/>
              <w:right w:val="single" w:sz="4" w:space="0" w:color="auto"/>
            </w:tcBorders>
            <w:shd w:val="clear" w:color="auto" w:fill="auto"/>
            <w:noWrap/>
            <w:vAlign w:val="center"/>
            <w:hideMark/>
          </w:tcPr>
          <w:p w14:paraId="6B0C8A77" w14:textId="77777777" w:rsidR="0003553D" w:rsidRPr="0003553D" w:rsidRDefault="0003553D" w:rsidP="0003553D">
            <w:pPr>
              <w:jc w:val="right"/>
              <w:rPr>
                <w:rFonts w:ascii="Calibri" w:hAnsi="Calibri" w:cs="Calibri"/>
                <w:color w:val="000000"/>
                <w:lang w:eastAsia="en-GB"/>
              </w:rPr>
            </w:pPr>
            <w:r w:rsidRPr="0003553D">
              <w:rPr>
                <w:rFonts w:ascii="Calibri" w:hAnsi="Calibri" w:cs="Calibri"/>
                <w:color w:val="000000"/>
                <w:lang w:eastAsia="en-GB"/>
              </w:rPr>
              <w:t>6</w:t>
            </w:r>
          </w:p>
        </w:tc>
      </w:tr>
      <w:tr w:rsidR="0003553D" w:rsidRPr="0003553D" w14:paraId="15ABC25C" w14:textId="77777777" w:rsidTr="0003553D">
        <w:trPr>
          <w:trHeight w:val="300"/>
          <w:jc w:val="center"/>
        </w:trPr>
        <w:tc>
          <w:tcPr>
            <w:tcW w:w="1500" w:type="dxa"/>
            <w:tcBorders>
              <w:top w:val="nil"/>
              <w:left w:val="single" w:sz="4" w:space="0" w:color="auto"/>
              <w:bottom w:val="nil"/>
              <w:right w:val="nil"/>
            </w:tcBorders>
            <w:shd w:val="clear" w:color="auto" w:fill="auto"/>
            <w:noWrap/>
            <w:vAlign w:val="center"/>
            <w:hideMark/>
          </w:tcPr>
          <w:p w14:paraId="4DA64F46" w14:textId="77777777" w:rsidR="0003553D" w:rsidRPr="0003553D" w:rsidRDefault="0003553D" w:rsidP="0003553D">
            <w:pPr>
              <w:jc w:val="right"/>
              <w:rPr>
                <w:rFonts w:ascii="Calibri" w:hAnsi="Calibri" w:cs="Calibri"/>
                <w:color w:val="000000"/>
                <w:lang w:eastAsia="en-GB"/>
              </w:rPr>
            </w:pPr>
            <w:r w:rsidRPr="0003553D">
              <w:rPr>
                <w:rFonts w:ascii="Calibri" w:hAnsi="Calibri" w:cs="Calibri"/>
                <w:color w:val="000000"/>
                <w:lang w:eastAsia="en-GB"/>
              </w:rPr>
              <w:t>485</w:t>
            </w:r>
          </w:p>
        </w:tc>
        <w:tc>
          <w:tcPr>
            <w:tcW w:w="3780" w:type="dxa"/>
            <w:tcBorders>
              <w:top w:val="nil"/>
              <w:left w:val="nil"/>
              <w:bottom w:val="nil"/>
              <w:right w:val="nil"/>
            </w:tcBorders>
            <w:shd w:val="clear" w:color="auto" w:fill="auto"/>
            <w:noWrap/>
            <w:vAlign w:val="center"/>
            <w:hideMark/>
          </w:tcPr>
          <w:p w14:paraId="003C1BE2" w14:textId="77777777" w:rsidR="0003553D" w:rsidRPr="0003553D" w:rsidRDefault="0003553D" w:rsidP="0003553D">
            <w:pPr>
              <w:rPr>
                <w:rFonts w:ascii="Calibri" w:hAnsi="Calibri" w:cs="Calibri"/>
                <w:color w:val="000000"/>
                <w:lang w:eastAsia="en-GB"/>
              </w:rPr>
            </w:pPr>
            <w:r w:rsidRPr="0003553D">
              <w:rPr>
                <w:rFonts w:ascii="Calibri" w:hAnsi="Calibri" w:cs="Calibri"/>
                <w:color w:val="000000"/>
                <w:lang w:eastAsia="en-GB"/>
              </w:rPr>
              <w:t>Bank Accounts</w:t>
            </w:r>
          </w:p>
        </w:tc>
        <w:tc>
          <w:tcPr>
            <w:tcW w:w="1300" w:type="dxa"/>
            <w:tcBorders>
              <w:top w:val="nil"/>
              <w:left w:val="nil"/>
              <w:bottom w:val="nil"/>
              <w:right w:val="single" w:sz="4" w:space="0" w:color="auto"/>
            </w:tcBorders>
            <w:shd w:val="clear" w:color="auto" w:fill="auto"/>
            <w:noWrap/>
            <w:vAlign w:val="center"/>
            <w:hideMark/>
          </w:tcPr>
          <w:p w14:paraId="1D064C59" w14:textId="77777777" w:rsidR="0003553D" w:rsidRPr="0003553D" w:rsidRDefault="0003553D" w:rsidP="0003553D">
            <w:pPr>
              <w:jc w:val="right"/>
              <w:rPr>
                <w:rFonts w:ascii="Calibri" w:hAnsi="Calibri" w:cs="Calibri"/>
                <w:color w:val="000000"/>
                <w:lang w:eastAsia="en-GB"/>
              </w:rPr>
            </w:pPr>
            <w:r w:rsidRPr="0003553D">
              <w:rPr>
                <w:rFonts w:ascii="Calibri" w:hAnsi="Calibri" w:cs="Calibri"/>
                <w:color w:val="000000"/>
                <w:lang w:eastAsia="en-GB"/>
              </w:rPr>
              <w:t>471</w:t>
            </w:r>
          </w:p>
        </w:tc>
      </w:tr>
      <w:tr w:rsidR="0003553D" w:rsidRPr="0003553D" w14:paraId="412F6407" w14:textId="77777777" w:rsidTr="0003553D">
        <w:trPr>
          <w:trHeight w:val="300"/>
          <w:jc w:val="center"/>
        </w:trPr>
        <w:tc>
          <w:tcPr>
            <w:tcW w:w="1500" w:type="dxa"/>
            <w:tcBorders>
              <w:top w:val="nil"/>
              <w:left w:val="single" w:sz="4" w:space="0" w:color="auto"/>
              <w:bottom w:val="single" w:sz="4" w:space="0" w:color="auto"/>
              <w:right w:val="nil"/>
            </w:tcBorders>
            <w:shd w:val="clear" w:color="auto" w:fill="auto"/>
            <w:noWrap/>
            <w:vAlign w:val="center"/>
            <w:hideMark/>
          </w:tcPr>
          <w:p w14:paraId="794C04FB" w14:textId="77777777" w:rsidR="0003553D" w:rsidRPr="0003553D" w:rsidRDefault="0003553D" w:rsidP="0003553D">
            <w:pPr>
              <w:jc w:val="right"/>
              <w:rPr>
                <w:rFonts w:ascii="Calibri" w:hAnsi="Calibri" w:cs="Calibri"/>
                <w:color w:val="000000"/>
                <w:lang w:eastAsia="en-GB"/>
              </w:rPr>
            </w:pPr>
            <w:r w:rsidRPr="0003553D">
              <w:rPr>
                <w:rFonts w:ascii="Calibri" w:hAnsi="Calibri" w:cs="Calibri"/>
                <w:color w:val="000000"/>
                <w:lang w:eastAsia="en-GB"/>
              </w:rPr>
              <w:t>4,100</w:t>
            </w:r>
          </w:p>
        </w:tc>
        <w:tc>
          <w:tcPr>
            <w:tcW w:w="3780" w:type="dxa"/>
            <w:tcBorders>
              <w:top w:val="nil"/>
              <w:left w:val="nil"/>
              <w:bottom w:val="nil"/>
              <w:right w:val="nil"/>
            </w:tcBorders>
            <w:shd w:val="clear" w:color="auto" w:fill="auto"/>
            <w:noWrap/>
            <w:vAlign w:val="center"/>
            <w:hideMark/>
          </w:tcPr>
          <w:p w14:paraId="74680EE9" w14:textId="77777777" w:rsidR="0003553D" w:rsidRPr="0003553D" w:rsidRDefault="0003553D" w:rsidP="0003553D">
            <w:pPr>
              <w:rPr>
                <w:rFonts w:ascii="Calibri" w:hAnsi="Calibri" w:cs="Calibri"/>
                <w:color w:val="000000"/>
                <w:lang w:eastAsia="en-GB"/>
              </w:rPr>
            </w:pPr>
            <w:r w:rsidRPr="0003553D">
              <w:rPr>
                <w:rFonts w:ascii="Calibri" w:hAnsi="Calibri" w:cs="Calibri"/>
                <w:color w:val="000000"/>
                <w:lang w:eastAsia="en-GB"/>
              </w:rPr>
              <w:t>Money Market Funds</w:t>
            </w:r>
          </w:p>
        </w:tc>
        <w:tc>
          <w:tcPr>
            <w:tcW w:w="1300" w:type="dxa"/>
            <w:tcBorders>
              <w:top w:val="nil"/>
              <w:left w:val="nil"/>
              <w:bottom w:val="single" w:sz="4" w:space="0" w:color="auto"/>
              <w:right w:val="single" w:sz="4" w:space="0" w:color="auto"/>
            </w:tcBorders>
            <w:shd w:val="clear" w:color="auto" w:fill="auto"/>
            <w:noWrap/>
            <w:vAlign w:val="center"/>
            <w:hideMark/>
          </w:tcPr>
          <w:p w14:paraId="5710F90E" w14:textId="77777777" w:rsidR="0003553D" w:rsidRPr="0003553D" w:rsidRDefault="0003553D" w:rsidP="0003553D">
            <w:pPr>
              <w:jc w:val="right"/>
              <w:rPr>
                <w:rFonts w:ascii="Calibri" w:hAnsi="Calibri" w:cs="Calibri"/>
                <w:color w:val="000000"/>
                <w:lang w:eastAsia="en-GB"/>
              </w:rPr>
            </w:pPr>
            <w:r w:rsidRPr="0003553D">
              <w:rPr>
                <w:rFonts w:ascii="Calibri" w:hAnsi="Calibri" w:cs="Calibri"/>
                <w:color w:val="000000"/>
                <w:lang w:eastAsia="en-GB"/>
              </w:rPr>
              <w:t>4,000</w:t>
            </w:r>
          </w:p>
        </w:tc>
      </w:tr>
      <w:tr w:rsidR="0003553D" w:rsidRPr="0003553D" w14:paraId="3E4CC300" w14:textId="77777777" w:rsidTr="0003553D">
        <w:trPr>
          <w:trHeight w:val="300"/>
          <w:jc w:val="center"/>
        </w:trPr>
        <w:tc>
          <w:tcPr>
            <w:tcW w:w="1500" w:type="dxa"/>
            <w:tcBorders>
              <w:top w:val="nil"/>
              <w:left w:val="single" w:sz="4" w:space="0" w:color="auto"/>
              <w:bottom w:val="single" w:sz="4" w:space="0" w:color="auto"/>
              <w:right w:val="nil"/>
            </w:tcBorders>
            <w:shd w:val="clear" w:color="auto" w:fill="auto"/>
            <w:noWrap/>
            <w:vAlign w:val="center"/>
            <w:hideMark/>
          </w:tcPr>
          <w:p w14:paraId="521D477E" w14:textId="77777777" w:rsidR="0003553D" w:rsidRPr="0003553D" w:rsidRDefault="0003553D" w:rsidP="0003553D">
            <w:pPr>
              <w:jc w:val="right"/>
              <w:rPr>
                <w:rFonts w:ascii="Calibri" w:hAnsi="Calibri" w:cs="Calibri"/>
                <w:color w:val="000000"/>
                <w:lang w:eastAsia="en-GB"/>
              </w:rPr>
            </w:pPr>
            <w:r w:rsidRPr="0003553D">
              <w:rPr>
                <w:rFonts w:ascii="Calibri" w:hAnsi="Calibri" w:cs="Calibri"/>
                <w:color w:val="000000"/>
                <w:lang w:eastAsia="en-GB"/>
              </w:rPr>
              <w:t>4,590</w:t>
            </w:r>
          </w:p>
        </w:tc>
        <w:tc>
          <w:tcPr>
            <w:tcW w:w="3780" w:type="dxa"/>
            <w:tcBorders>
              <w:top w:val="nil"/>
              <w:left w:val="nil"/>
              <w:bottom w:val="single" w:sz="4" w:space="0" w:color="auto"/>
              <w:right w:val="nil"/>
            </w:tcBorders>
            <w:shd w:val="clear" w:color="auto" w:fill="auto"/>
            <w:noWrap/>
            <w:vAlign w:val="center"/>
            <w:hideMark/>
          </w:tcPr>
          <w:p w14:paraId="484C9CA4" w14:textId="77777777" w:rsidR="0003553D" w:rsidRPr="0003553D" w:rsidRDefault="0003553D" w:rsidP="0003553D">
            <w:pPr>
              <w:rPr>
                <w:rFonts w:ascii="Calibri" w:hAnsi="Calibri" w:cs="Calibri"/>
                <w:color w:val="000000"/>
                <w:lang w:eastAsia="en-GB"/>
              </w:rPr>
            </w:pPr>
            <w:r w:rsidRPr="0003553D">
              <w:rPr>
                <w:rFonts w:ascii="Calibri" w:hAnsi="Calibri" w:cs="Calibri"/>
                <w:color w:val="000000"/>
                <w:lang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14:paraId="3E2220B0" w14:textId="77777777" w:rsidR="0003553D" w:rsidRPr="0003553D" w:rsidRDefault="0003553D" w:rsidP="0003553D">
            <w:pPr>
              <w:jc w:val="right"/>
              <w:rPr>
                <w:rFonts w:ascii="Calibri" w:hAnsi="Calibri" w:cs="Calibri"/>
                <w:color w:val="000000"/>
                <w:lang w:eastAsia="en-GB"/>
              </w:rPr>
            </w:pPr>
            <w:r w:rsidRPr="0003553D">
              <w:rPr>
                <w:rFonts w:ascii="Calibri" w:hAnsi="Calibri" w:cs="Calibri"/>
                <w:color w:val="000000"/>
                <w:lang w:eastAsia="en-GB"/>
              </w:rPr>
              <w:t>4,477</w:t>
            </w:r>
          </w:p>
        </w:tc>
      </w:tr>
    </w:tbl>
    <w:p w14:paraId="43D0BEA9" w14:textId="77777777" w:rsidR="0003553D" w:rsidRDefault="0003553D" w:rsidP="0003553D"/>
    <w:p w14:paraId="485A48C3" w14:textId="77777777" w:rsidR="00E00863" w:rsidRDefault="00E00863" w:rsidP="0070459C">
      <w:pPr>
        <w:rPr>
          <w:highlight w:val="yellow"/>
        </w:rPr>
      </w:pPr>
    </w:p>
    <w:p w14:paraId="4BF98943" w14:textId="77777777" w:rsidR="00CA2E5F" w:rsidRPr="004D5CA8" w:rsidRDefault="00CA2E5F" w:rsidP="0070459C">
      <w:pPr>
        <w:rPr>
          <w:highlight w:val="yellow"/>
        </w:rPr>
      </w:pPr>
    </w:p>
    <w:p w14:paraId="485A48C7" w14:textId="5892EE47" w:rsidR="00E00863" w:rsidRPr="00F760C4" w:rsidRDefault="00E00863" w:rsidP="0070459C">
      <w:pPr>
        <w:pStyle w:val="Subtitle"/>
        <w:numPr>
          <w:ilvl w:val="0"/>
          <w:numId w:val="47"/>
        </w:numPr>
        <w:tabs>
          <w:tab w:val="left" w:pos="-709"/>
          <w:tab w:val="left" w:pos="-284"/>
          <w:tab w:val="left" w:pos="-142"/>
          <w:tab w:val="left" w:pos="0"/>
          <w:tab w:val="left" w:pos="567"/>
        </w:tabs>
        <w:spacing w:line="240" w:lineRule="atLeast"/>
        <w:ind w:left="0" w:right="680" w:firstLine="0"/>
        <w:rPr>
          <w:rFonts w:ascii="Arial" w:eastAsia="Times New Roman" w:hAnsi="Arial"/>
          <w:b/>
          <w:i w:val="0"/>
          <w:iCs w:val="0"/>
          <w:spacing w:val="0"/>
          <w:sz w:val="23"/>
          <w:szCs w:val="23"/>
          <w:u w:val="none"/>
          <w:lang w:eastAsia="en-US"/>
        </w:rPr>
      </w:pPr>
      <w:bookmarkStart w:id="393" w:name="_MON_1364128824"/>
      <w:bookmarkStart w:id="394" w:name="_MON_1364128842"/>
      <w:bookmarkStart w:id="395" w:name="_MON_1364128873"/>
      <w:bookmarkStart w:id="396" w:name="_MON_1364128884"/>
      <w:bookmarkStart w:id="397" w:name="_MON_1364128897"/>
      <w:bookmarkStart w:id="398" w:name="_MON_1364128922"/>
      <w:bookmarkStart w:id="399" w:name="_MON_1364128938"/>
      <w:bookmarkStart w:id="400" w:name="_MON_1367753806"/>
      <w:bookmarkStart w:id="401" w:name="_MON_1367753900"/>
      <w:bookmarkStart w:id="402" w:name="_MON_1369553372"/>
      <w:bookmarkStart w:id="403" w:name="_MON_1369728016"/>
      <w:bookmarkStart w:id="404" w:name="_MON_1369728026"/>
      <w:bookmarkStart w:id="405" w:name="_MON_1372667448"/>
      <w:bookmarkStart w:id="406" w:name="_MON_1372667553"/>
      <w:bookmarkStart w:id="407" w:name="_MON_1372667576"/>
      <w:bookmarkStart w:id="408" w:name="_MON_1372667629"/>
      <w:bookmarkStart w:id="409" w:name="_MON_1372667661"/>
      <w:bookmarkStart w:id="410" w:name="_MON_1372668030"/>
      <w:bookmarkStart w:id="411" w:name="_MON_1372668067"/>
      <w:bookmarkStart w:id="412" w:name="_MON_1395564508"/>
      <w:bookmarkStart w:id="413" w:name="_MON_1395564801"/>
      <w:bookmarkStart w:id="414" w:name="_MON_1401094668"/>
      <w:bookmarkStart w:id="415" w:name="_MON_1401537115"/>
      <w:bookmarkStart w:id="416" w:name="_MON_1401877371"/>
      <w:bookmarkStart w:id="417" w:name="_MON_1402138591"/>
      <w:bookmarkStart w:id="418" w:name="_MON_1429982179"/>
      <w:bookmarkStart w:id="419" w:name="_MON_1363761277"/>
      <w:bookmarkStart w:id="420" w:name="_MON_1363761304"/>
      <w:bookmarkStart w:id="421" w:name="_Toc167965820"/>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F760C4">
        <w:rPr>
          <w:rStyle w:val="Heading2Char"/>
          <w:i w:val="0"/>
          <w:iCs w:val="0"/>
          <w:u w:val="none"/>
        </w:rPr>
        <w:t xml:space="preserve">Short Term Debtors </w:t>
      </w:r>
      <w:r w:rsidR="007D68CF" w:rsidRPr="00F760C4">
        <w:rPr>
          <w:rStyle w:val="Heading2Char"/>
          <w:i w:val="0"/>
          <w:iCs w:val="0"/>
          <w:u w:val="none"/>
        </w:rPr>
        <w:t>and</w:t>
      </w:r>
      <w:r w:rsidRPr="00F760C4">
        <w:rPr>
          <w:rStyle w:val="Heading2Char"/>
          <w:i w:val="0"/>
          <w:iCs w:val="0"/>
          <w:u w:val="none"/>
        </w:rPr>
        <w:t xml:space="preserve"> Prepayments</w:t>
      </w:r>
      <w:bookmarkEnd w:id="421"/>
      <w:r w:rsidR="00080DE9" w:rsidRPr="00F760C4">
        <w:rPr>
          <w:rFonts w:ascii="Arial" w:eastAsia="Times New Roman" w:hAnsi="Arial"/>
          <w:b/>
          <w:i w:val="0"/>
          <w:iCs w:val="0"/>
          <w:spacing w:val="0"/>
          <w:sz w:val="23"/>
          <w:szCs w:val="23"/>
          <w:u w:val="none"/>
          <w:lang w:eastAsia="en-US"/>
        </w:rPr>
        <w:t xml:space="preserve"> </w:t>
      </w:r>
    </w:p>
    <w:p w14:paraId="5602E9F4" w14:textId="77777777" w:rsidR="00080DE9" w:rsidRPr="007055C3" w:rsidRDefault="00080DE9" w:rsidP="0070459C"/>
    <w:tbl>
      <w:tblPr>
        <w:tblW w:w="6941" w:type="dxa"/>
        <w:jc w:val="center"/>
        <w:tblLook w:val="04A0" w:firstRow="1" w:lastRow="0" w:firstColumn="1" w:lastColumn="0" w:noHBand="0" w:noVBand="1"/>
      </w:tblPr>
      <w:tblGrid>
        <w:gridCol w:w="421"/>
        <w:gridCol w:w="1295"/>
        <w:gridCol w:w="3756"/>
        <w:gridCol w:w="1186"/>
        <w:gridCol w:w="283"/>
      </w:tblGrid>
      <w:tr w:rsidR="00080DE9" w:rsidRPr="007055C3" w14:paraId="4B3C4A9E" w14:textId="77777777" w:rsidTr="00F55F83">
        <w:trPr>
          <w:trHeight w:val="310"/>
          <w:jc w:val="center"/>
        </w:trPr>
        <w:tc>
          <w:tcPr>
            <w:tcW w:w="421" w:type="dxa"/>
            <w:tcBorders>
              <w:top w:val="nil"/>
              <w:left w:val="single" w:sz="4" w:space="0" w:color="auto"/>
              <w:bottom w:val="nil"/>
              <w:right w:val="nil"/>
            </w:tcBorders>
            <w:shd w:val="clear" w:color="000000" w:fill="000000"/>
            <w:noWrap/>
            <w:vAlign w:val="bottom"/>
            <w:hideMark/>
          </w:tcPr>
          <w:p w14:paraId="0E0A9474" w14:textId="77777777" w:rsidR="00080DE9" w:rsidRPr="007055C3" w:rsidRDefault="00080DE9" w:rsidP="0070459C">
            <w:pPr>
              <w:rPr>
                <w:rFonts w:cs="Arial"/>
                <w:color w:val="FFFFFF"/>
                <w:lang w:eastAsia="en-GB"/>
              </w:rPr>
            </w:pPr>
            <w:r w:rsidRPr="007055C3">
              <w:rPr>
                <w:rFonts w:cs="Arial"/>
                <w:color w:val="FFFFFF"/>
                <w:lang w:eastAsia="en-GB"/>
              </w:rPr>
              <w:t> </w:t>
            </w:r>
          </w:p>
        </w:tc>
        <w:tc>
          <w:tcPr>
            <w:tcW w:w="1295" w:type="dxa"/>
            <w:tcBorders>
              <w:top w:val="nil"/>
              <w:left w:val="nil"/>
              <w:bottom w:val="nil"/>
              <w:right w:val="nil"/>
            </w:tcBorders>
            <w:shd w:val="clear" w:color="000000" w:fill="000000"/>
            <w:noWrap/>
            <w:vAlign w:val="bottom"/>
            <w:hideMark/>
          </w:tcPr>
          <w:p w14:paraId="46EDEBAD" w14:textId="77777777" w:rsidR="00080DE9" w:rsidRPr="007055C3" w:rsidRDefault="00080DE9" w:rsidP="0070459C">
            <w:pPr>
              <w:jc w:val="center"/>
              <w:rPr>
                <w:rFonts w:cs="Arial"/>
                <w:b/>
                <w:bCs/>
                <w:color w:val="FFFFFF"/>
                <w:sz w:val="22"/>
                <w:szCs w:val="22"/>
                <w:lang w:eastAsia="en-GB"/>
              </w:rPr>
            </w:pPr>
            <w:r w:rsidRPr="007055C3">
              <w:rPr>
                <w:rFonts w:cs="Arial"/>
                <w:b/>
                <w:bCs/>
                <w:color w:val="FFFFFF"/>
                <w:sz w:val="22"/>
                <w:szCs w:val="22"/>
                <w:lang w:eastAsia="en-GB"/>
              </w:rPr>
              <w:t>31 March</w:t>
            </w:r>
          </w:p>
        </w:tc>
        <w:tc>
          <w:tcPr>
            <w:tcW w:w="3756" w:type="dxa"/>
            <w:tcBorders>
              <w:top w:val="nil"/>
              <w:left w:val="nil"/>
              <w:bottom w:val="nil"/>
              <w:right w:val="nil"/>
            </w:tcBorders>
            <w:shd w:val="clear" w:color="000000" w:fill="000000"/>
            <w:noWrap/>
            <w:vAlign w:val="bottom"/>
            <w:hideMark/>
          </w:tcPr>
          <w:p w14:paraId="307714E7" w14:textId="77777777" w:rsidR="00080DE9" w:rsidRPr="007055C3" w:rsidRDefault="00080DE9" w:rsidP="0070459C">
            <w:pPr>
              <w:rPr>
                <w:rFonts w:cs="Arial"/>
                <w:color w:val="FFFFFF"/>
                <w:sz w:val="22"/>
                <w:szCs w:val="22"/>
                <w:lang w:eastAsia="en-GB"/>
              </w:rPr>
            </w:pPr>
            <w:r w:rsidRPr="007055C3">
              <w:rPr>
                <w:rFonts w:cs="Arial"/>
                <w:color w:val="FFFFFF"/>
                <w:sz w:val="22"/>
                <w:szCs w:val="22"/>
                <w:lang w:eastAsia="en-GB"/>
              </w:rPr>
              <w:t> </w:t>
            </w:r>
          </w:p>
        </w:tc>
        <w:tc>
          <w:tcPr>
            <w:tcW w:w="1186" w:type="dxa"/>
            <w:tcBorders>
              <w:top w:val="nil"/>
              <w:left w:val="nil"/>
              <w:bottom w:val="nil"/>
              <w:right w:val="nil"/>
            </w:tcBorders>
            <w:shd w:val="clear" w:color="000000" w:fill="000000"/>
            <w:noWrap/>
            <w:vAlign w:val="bottom"/>
            <w:hideMark/>
          </w:tcPr>
          <w:p w14:paraId="6369BF94" w14:textId="77777777" w:rsidR="00080DE9" w:rsidRPr="007055C3" w:rsidRDefault="00080DE9" w:rsidP="0070459C">
            <w:pPr>
              <w:jc w:val="center"/>
              <w:rPr>
                <w:rFonts w:cs="Arial"/>
                <w:b/>
                <w:bCs/>
                <w:color w:val="FFFFFF"/>
                <w:sz w:val="22"/>
                <w:szCs w:val="22"/>
                <w:lang w:eastAsia="en-GB"/>
              </w:rPr>
            </w:pPr>
            <w:r w:rsidRPr="007055C3">
              <w:rPr>
                <w:rFonts w:cs="Arial"/>
                <w:b/>
                <w:bCs/>
                <w:color w:val="FFFFFF"/>
                <w:sz w:val="22"/>
                <w:szCs w:val="22"/>
                <w:lang w:eastAsia="en-GB"/>
              </w:rPr>
              <w:t>31 March</w:t>
            </w:r>
          </w:p>
        </w:tc>
        <w:tc>
          <w:tcPr>
            <w:tcW w:w="283" w:type="dxa"/>
            <w:tcBorders>
              <w:top w:val="nil"/>
              <w:left w:val="nil"/>
              <w:bottom w:val="nil"/>
              <w:right w:val="single" w:sz="4" w:space="0" w:color="auto"/>
            </w:tcBorders>
            <w:shd w:val="clear" w:color="000000" w:fill="000000"/>
            <w:noWrap/>
            <w:vAlign w:val="bottom"/>
            <w:hideMark/>
          </w:tcPr>
          <w:p w14:paraId="6AE76C8D" w14:textId="77777777" w:rsidR="00080DE9" w:rsidRPr="007055C3" w:rsidRDefault="00080DE9" w:rsidP="0070459C">
            <w:pPr>
              <w:rPr>
                <w:rFonts w:cs="Arial"/>
                <w:color w:val="FFFFFF"/>
                <w:lang w:eastAsia="en-GB"/>
              </w:rPr>
            </w:pPr>
            <w:r w:rsidRPr="007055C3">
              <w:rPr>
                <w:rFonts w:cs="Arial"/>
                <w:color w:val="FFFFFF"/>
                <w:lang w:eastAsia="en-GB"/>
              </w:rPr>
              <w:t> </w:t>
            </w:r>
          </w:p>
        </w:tc>
      </w:tr>
      <w:tr w:rsidR="00080DE9" w:rsidRPr="007055C3" w14:paraId="48E95132" w14:textId="77777777" w:rsidTr="00F55F83">
        <w:trPr>
          <w:trHeight w:val="300"/>
          <w:jc w:val="center"/>
        </w:trPr>
        <w:tc>
          <w:tcPr>
            <w:tcW w:w="421" w:type="dxa"/>
            <w:tcBorders>
              <w:top w:val="nil"/>
              <w:left w:val="single" w:sz="4" w:space="0" w:color="auto"/>
              <w:bottom w:val="nil"/>
              <w:right w:val="nil"/>
            </w:tcBorders>
            <w:shd w:val="clear" w:color="000000" w:fill="000000"/>
            <w:noWrap/>
            <w:vAlign w:val="bottom"/>
            <w:hideMark/>
          </w:tcPr>
          <w:p w14:paraId="630770BA" w14:textId="77777777" w:rsidR="00080DE9" w:rsidRPr="007055C3" w:rsidRDefault="00080DE9" w:rsidP="0070459C">
            <w:pPr>
              <w:rPr>
                <w:rFonts w:cs="Arial"/>
                <w:color w:val="FFFFFF"/>
                <w:lang w:eastAsia="en-GB"/>
              </w:rPr>
            </w:pPr>
            <w:r w:rsidRPr="007055C3">
              <w:rPr>
                <w:rFonts w:cs="Arial"/>
                <w:color w:val="FFFFFF"/>
                <w:lang w:eastAsia="en-GB"/>
              </w:rPr>
              <w:t> </w:t>
            </w:r>
          </w:p>
        </w:tc>
        <w:tc>
          <w:tcPr>
            <w:tcW w:w="1295" w:type="dxa"/>
            <w:tcBorders>
              <w:top w:val="nil"/>
              <w:left w:val="nil"/>
              <w:bottom w:val="nil"/>
              <w:right w:val="nil"/>
            </w:tcBorders>
            <w:shd w:val="clear" w:color="000000" w:fill="000000"/>
            <w:noWrap/>
            <w:vAlign w:val="bottom"/>
            <w:hideMark/>
          </w:tcPr>
          <w:p w14:paraId="2F7C8DE7" w14:textId="77BE5C02" w:rsidR="00080DE9" w:rsidRPr="007055C3" w:rsidRDefault="00080DE9" w:rsidP="0070459C">
            <w:pPr>
              <w:jc w:val="center"/>
              <w:rPr>
                <w:rFonts w:cs="Arial"/>
                <w:b/>
                <w:bCs/>
                <w:color w:val="FFFFFF"/>
                <w:sz w:val="22"/>
                <w:szCs w:val="22"/>
                <w:lang w:eastAsia="en-GB"/>
              </w:rPr>
            </w:pPr>
            <w:r w:rsidRPr="007055C3">
              <w:rPr>
                <w:rFonts w:cs="Arial"/>
                <w:b/>
                <w:bCs/>
                <w:color w:val="FFFFFF"/>
                <w:sz w:val="22"/>
                <w:szCs w:val="22"/>
                <w:lang w:eastAsia="en-GB"/>
              </w:rPr>
              <w:t>202</w:t>
            </w:r>
            <w:r w:rsidR="008C4F0D">
              <w:rPr>
                <w:rFonts w:cs="Arial"/>
                <w:b/>
                <w:bCs/>
                <w:color w:val="FFFFFF"/>
                <w:sz w:val="22"/>
                <w:szCs w:val="22"/>
                <w:lang w:eastAsia="en-GB"/>
              </w:rPr>
              <w:t>3</w:t>
            </w:r>
          </w:p>
        </w:tc>
        <w:tc>
          <w:tcPr>
            <w:tcW w:w="3756" w:type="dxa"/>
            <w:tcBorders>
              <w:top w:val="nil"/>
              <w:left w:val="nil"/>
              <w:bottom w:val="nil"/>
              <w:right w:val="nil"/>
            </w:tcBorders>
            <w:shd w:val="clear" w:color="000000" w:fill="000000"/>
            <w:noWrap/>
            <w:vAlign w:val="bottom"/>
            <w:hideMark/>
          </w:tcPr>
          <w:p w14:paraId="585C93D5" w14:textId="77777777" w:rsidR="00080DE9" w:rsidRPr="007055C3" w:rsidRDefault="00080DE9" w:rsidP="0070459C">
            <w:pPr>
              <w:rPr>
                <w:rFonts w:cs="Arial"/>
                <w:color w:val="FFFFFF"/>
                <w:sz w:val="22"/>
                <w:szCs w:val="22"/>
                <w:lang w:eastAsia="en-GB"/>
              </w:rPr>
            </w:pPr>
            <w:r w:rsidRPr="007055C3">
              <w:rPr>
                <w:rFonts w:cs="Arial"/>
                <w:color w:val="FFFFFF"/>
                <w:sz w:val="22"/>
                <w:szCs w:val="22"/>
                <w:lang w:eastAsia="en-GB"/>
              </w:rPr>
              <w:t> </w:t>
            </w:r>
          </w:p>
        </w:tc>
        <w:tc>
          <w:tcPr>
            <w:tcW w:w="1186" w:type="dxa"/>
            <w:tcBorders>
              <w:top w:val="nil"/>
              <w:left w:val="nil"/>
              <w:bottom w:val="nil"/>
              <w:right w:val="nil"/>
            </w:tcBorders>
            <w:shd w:val="clear" w:color="000000" w:fill="000000"/>
            <w:noWrap/>
            <w:vAlign w:val="bottom"/>
            <w:hideMark/>
          </w:tcPr>
          <w:p w14:paraId="72A04611" w14:textId="1AE5F1D4" w:rsidR="00080DE9" w:rsidRPr="007055C3" w:rsidRDefault="00080DE9" w:rsidP="0070459C">
            <w:pPr>
              <w:jc w:val="center"/>
              <w:rPr>
                <w:rFonts w:cs="Arial"/>
                <w:b/>
                <w:bCs/>
                <w:color w:val="FFFFFF"/>
                <w:sz w:val="22"/>
                <w:szCs w:val="22"/>
                <w:lang w:eastAsia="en-GB"/>
              </w:rPr>
            </w:pPr>
            <w:r w:rsidRPr="007055C3">
              <w:rPr>
                <w:rFonts w:cs="Arial"/>
                <w:b/>
                <w:bCs/>
                <w:color w:val="FFFFFF"/>
                <w:sz w:val="22"/>
                <w:szCs w:val="22"/>
                <w:lang w:eastAsia="en-GB"/>
              </w:rPr>
              <w:t>202</w:t>
            </w:r>
            <w:r w:rsidR="008C4F0D">
              <w:rPr>
                <w:rFonts w:cs="Arial"/>
                <w:b/>
                <w:bCs/>
                <w:color w:val="FFFFFF"/>
                <w:sz w:val="22"/>
                <w:szCs w:val="22"/>
                <w:lang w:eastAsia="en-GB"/>
              </w:rPr>
              <w:t>4</w:t>
            </w:r>
          </w:p>
        </w:tc>
        <w:tc>
          <w:tcPr>
            <w:tcW w:w="283" w:type="dxa"/>
            <w:tcBorders>
              <w:top w:val="nil"/>
              <w:left w:val="nil"/>
              <w:bottom w:val="nil"/>
              <w:right w:val="single" w:sz="4" w:space="0" w:color="auto"/>
            </w:tcBorders>
            <w:shd w:val="clear" w:color="000000" w:fill="000000"/>
            <w:noWrap/>
            <w:vAlign w:val="bottom"/>
            <w:hideMark/>
          </w:tcPr>
          <w:p w14:paraId="09ACE567" w14:textId="77777777" w:rsidR="00080DE9" w:rsidRPr="007055C3" w:rsidRDefault="00080DE9" w:rsidP="0070459C">
            <w:pPr>
              <w:rPr>
                <w:rFonts w:cs="Arial"/>
                <w:color w:val="FFFFFF"/>
                <w:lang w:eastAsia="en-GB"/>
              </w:rPr>
            </w:pPr>
            <w:r w:rsidRPr="007055C3">
              <w:rPr>
                <w:rFonts w:cs="Arial"/>
                <w:color w:val="FFFFFF"/>
                <w:lang w:eastAsia="en-GB"/>
              </w:rPr>
              <w:t> </w:t>
            </w:r>
          </w:p>
        </w:tc>
      </w:tr>
      <w:tr w:rsidR="00080DE9" w:rsidRPr="007055C3" w14:paraId="2912A4AF" w14:textId="77777777" w:rsidTr="00F55F83">
        <w:trPr>
          <w:trHeight w:val="310"/>
          <w:jc w:val="center"/>
        </w:trPr>
        <w:tc>
          <w:tcPr>
            <w:tcW w:w="421" w:type="dxa"/>
            <w:tcBorders>
              <w:top w:val="nil"/>
              <w:left w:val="single" w:sz="4" w:space="0" w:color="auto"/>
              <w:bottom w:val="nil"/>
              <w:right w:val="nil"/>
            </w:tcBorders>
            <w:shd w:val="clear" w:color="000000" w:fill="000000"/>
            <w:noWrap/>
            <w:vAlign w:val="bottom"/>
            <w:hideMark/>
          </w:tcPr>
          <w:p w14:paraId="5589E07C" w14:textId="77777777" w:rsidR="00080DE9" w:rsidRPr="007055C3" w:rsidRDefault="00080DE9" w:rsidP="0070459C">
            <w:pPr>
              <w:rPr>
                <w:rFonts w:cs="Arial"/>
                <w:color w:val="FFFFFF"/>
                <w:lang w:eastAsia="en-GB"/>
              </w:rPr>
            </w:pPr>
            <w:r w:rsidRPr="007055C3">
              <w:rPr>
                <w:rFonts w:cs="Arial"/>
                <w:color w:val="FFFFFF"/>
                <w:lang w:eastAsia="en-GB"/>
              </w:rPr>
              <w:t> </w:t>
            </w:r>
          </w:p>
        </w:tc>
        <w:tc>
          <w:tcPr>
            <w:tcW w:w="1295" w:type="dxa"/>
            <w:tcBorders>
              <w:top w:val="nil"/>
              <w:left w:val="nil"/>
              <w:bottom w:val="nil"/>
              <w:right w:val="nil"/>
            </w:tcBorders>
            <w:shd w:val="clear" w:color="000000" w:fill="000000"/>
            <w:noWrap/>
            <w:vAlign w:val="bottom"/>
            <w:hideMark/>
          </w:tcPr>
          <w:p w14:paraId="2575E764" w14:textId="77777777" w:rsidR="00080DE9" w:rsidRPr="007055C3" w:rsidRDefault="00080DE9" w:rsidP="0070459C">
            <w:pPr>
              <w:jc w:val="center"/>
              <w:rPr>
                <w:rFonts w:cs="Arial"/>
                <w:b/>
                <w:bCs/>
                <w:color w:val="FFFFFF"/>
                <w:sz w:val="22"/>
                <w:szCs w:val="22"/>
                <w:lang w:eastAsia="en-GB"/>
              </w:rPr>
            </w:pPr>
            <w:r w:rsidRPr="007055C3">
              <w:rPr>
                <w:rFonts w:cs="Arial"/>
                <w:b/>
                <w:bCs/>
                <w:color w:val="FFFFFF"/>
                <w:sz w:val="22"/>
                <w:szCs w:val="22"/>
                <w:lang w:eastAsia="en-GB"/>
              </w:rPr>
              <w:t>£000</w:t>
            </w:r>
          </w:p>
        </w:tc>
        <w:tc>
          <w:tcPr>
            <w:tcW w:w="3756" w:type="dxa"/>
            <w:tcBorders>
              <w:top w:val="nil"/>
              <w:left w:val="nil"/>
              <w:bottom w:val="nil"/>
              <w:right w:val="nil"/>
            </w:tcBorders>
            <w:shd w:val="clear" w:color="000000" w:fill="000000"/>
            <w:noWrap/>
            <w:vAlign w:val="bottom"/>
            <w:hideMark/>
          </w:tcPr>
          <w:p w14:paraId="373AA1D9" w14:textId="77777777" w:rsidR="00080DE9" w:rsidRPr="007055C3" w:rsidRDefault="00080DE9" w:rsidP="0070459C">
            <w:pPr>
              <w:rPr>
                <w:rFonts w:cs="Arial"/>
                <w:color w:val="FFFFFF"/>
                <w:sz w:val="22"/>
                <w:szCs w:val="22"/>
                <w:lang w:eastAsia="en-GB"/>
              </w:rPr>
            </w:pPr>
            <w:r w:rsidRPr="007055C3">
              <w:rPr>
                <w:rFonts w:cs="Arial"/>
                <w:color w:val="FFFFFF"/>
                <w:sz w:val="22"/>
                <w:szCs w:val="22"/>
                <w:lang w:eastAsia="en-GB"/>
              </w:rPr>
              <w:t> </w:t>
            </w:r>
          </w:p>
        </w:tc>
        <w:tc>
          <w:tcPr>
            <w:tcW w:w="1186" w:type="dxa"/>
            <w:tcBorders>
              <w:top w:val="nil"/>
              <w:left w:val="nil"/>
              <w:bottom w:val="nil"/>
              <w:right w:val="nil"/>
            </w:tcBorders>
            <w:shd w:val="clear" w:color="000000" w:fill="000000"/>
            <w:noWrap/>
            <w:vAlign w:val="bottom"/>
            <w:hideMark/>
          </w:tcPr>
          <w:p w14:paraId="5F5FD659" w14:textId="77777777" w:rsidR="00080DE9" w:rsidRPr="007055C3" w:rsidRDefault="00080DE9" w:rsidP="0070459C">
            <w:pPr>
              <w:jc w:val="center"/>
              <w:rPr>
                <w:rFonts w:cs="Arial"/>
                <w:b/>
                <w:bCs/>
                <w:color w:val="FFFFFF"/>
                <w:sz w:val="22"/>
                <w:szCs w:val="22"/>
                <w:lang w:eastAsia="en-GB"/>
              </w:rPr>
            </w:pPr>
            <w:r w:rsidRPr="007055C3">
              <w:rPr>
                <w:rFonts w:cs="Arial"/>
                <w:b/>
                <w:bCs/>
                <w:color w:val="FFFFFF"/>
                <w:sz w:val="22"/>
                <w:szCs w:val="22"/>
                <w:lang w:eastAsia="en-GB"/>
              </w:rPr>
              <w:t>£000</w:t>
            </w:r>
          </w:p>
        </w:tc>
        <w:tc>
          <w:tcPr>
            <w:tcW w:w="283" w:type="dxa"/>
            <w:tcBorders>
              <w:top w:val="nil"/>
              <w:left w:val="nil"/>
              <w:bottom w:val="nil"/>
              <w:right w:val="single" w:sz="4" w:space="0" w:color="auto"/>
            </w:tcBorders>
            <w:shd w:val="clear" w:color="000000" w:fill="000000"/>
            <w:noWrap/>
            <w:vAlign w:val="bottom"/>
            <w:hideMark/>
          </w:tcPr>
          <w:p w14:paraId="7AAF1056" w14:textId="77777777" w:rsidR="00080DE9" w:rsidRPr="007055C3" w:rsidRDefault="00080DE9" w:rsidP="0070459C">
            <w:pPr>
              <w:rPr>
                <w:rFonts w:cs="Arial"/>
                <w:color w:val="FFFFFF"/>
                <w:lang w:eastAsia="en-GB"/>
              </w:rPr>
            </w:pPr>
            <w:r w:rsidRPr="007055C3">
              <w:rPr>
                <w:rFonts w:cs="Arial"/>
                <w:color w:val="FFFFFF"/>
                <w:lang w:eastAsia="en-GB"/>
              </w:rPr>
              <w:t> </w:t>
            </w:r>
          </w:p>
        </w:tc>
      </w:tr>
      <w:tr w:rsidR="00080DE9" w:rsidRPr="007055C3" w14:paraId="4C81D5D6" w14:textId="77777777" w:rsidTr="00F55F83">
        <w:trPr>
          <w:trHeight w:val="300"/>
          <w:jc w:val="center"/>
        </w:trPr>
        <w:tc>
          <w:tcPr>
            <w:tcW w:w="421" w:type="dxa"/>
            <w:tcBorders>
              <w:top w:val="nil"/>
              <w:left w:val="single" w:sz="4" w:space="0" w:color="auto"/>
              <w:bottom w:val="nil"/>
              <w:right w:val="nil"/>
            </w:tcBorders>
            <w:shd w:val="clear" w:color="auto" w:fill="auto"/>
            <w:noWrap/>
            <w:vAlign w:val="bottom"/>
            <w:hideMark/>
          </w:tcPr>
          <w:p w14:paraId="4B44A7B6" w14:textId="77777777" w:rsidR="00080DE9" w:rsidRPr="007055C3" w:rsidRDefault="00080DE9" w:rsidP="0070459C">
            <w:pPr>
              <w:rPr>
                <w:rFonts w:cs="Arial"/>
                <w:lang w:eastAsia="en-GB"/>
              </w:rPr>
            </w:pPr>
            <w:r w:rsidRPr="007055C3">
              <w:rPr>
                <w:rFonts w:cs="Arial"/>
                <w:lang w:eastAsia="en-GB"/>
              </w:rPr>
              <w:t> </w:t>
            </w:r>
          </w:p>
        </w:tc>
        <w:tc>
          <w:tcPr>
            <w:tcW w:w="1295" w:type="dxa"/>
            <w:tcBorders>
              <w:top w:val="nil"/>
              <w:left w:val="nil"/>
              <w:bottom w:val="nil"/>
              <w:right w:val="nil"/>
            </w:tcBorders>
            <w:shd w:val="clear" w:color="auto" w:fill="auto"/>
            <w:noWrap/>
            <w:vAlign w:val="bottom"/>
            <w:hideMark/>
          </w:tcPr>
          <w:p w14:paraId="23E2DEAA" w14:textId="77777777" w:rsidR="00080DE9" w:rsidRPr="007055C3" w:rsidRDefault="00080DE9" w:rsidP="0070459C">
            <w:pPr>
              <w:rPr>
                <w:rFonts w:cs="Arial"/>
                <w:lang w:eastAsia="en-GB"/>
              </w:rPr>
            </w:pPr>
          </w:p>
        </w:tc>
        <w:tc>
          <w:tcPr>
            <w:tcW w:w="3756" w:type="dxa"/>
            <w:tcBorders>
              <w:top w:val="nil"/>
              <w:left w:val="nil"/>
              <w:bottom w:val="nil"/>
              <w:right w:val="nil"/>
            </w:tcBorders>
            <w:shd w:val="clear" w:color="auto" w:fill="auto"/>
            <w:noWrap/>
            <w:vAlign w:val="bottom"/>
            <w:hideMark/>
          </w:tcPr>
          <w:p w14:paraId="5184E8AA" w14:textId="77777777" w:rsidR="00080DE9" w:rsidRPr="007055C3" w:rsidRDefault="00080DE9" w:rsidP="0070459C">
            <w:pPr>
              <w:jc w:val="right"/>
              <w:rPr>
                <w:rFonts w:ascii="Times New Roman" w:hAnsi="Times New Roman"/>
                <w:sz w:val="20"/>
                <w:szCs w:val="20"/>
                <w:lang w:eastAsia="en-GB"/>
              </w:rPr>
            </w:pPr>
          </w:p>
        </w:tc>
        <w:tc>
          <w:tcPr>
            <w:tcW w:w="1186" w:type="dxa"/>
            <w:tcBorders>
              <w:top w:val="nil"/>
              <w:left w:val="nil"/>
              <w:bottom w:val="nil"/>
              <w:right w:val="nil"/>
            </w:tcBorders>
            <w:shd w:val="clear" w:color="auto" w:fill="auto"/>
            <w:noWrap/>
            <w:vAlign w:val="bottom"/>
            <w:hideMark/>
          </w:tcPr>
          <w:p w14:paraId="72DE917B" w14:textId="77777777" w:rsidR="00080DE9" w:rsidRPr="007055C3" w:rsidRDefault="00080DE9" w:rsidP="0070459C">
            <w:pPr>
              <w:rPr>
                <w:rFonts w:ascii="Times New Roman" w:hAnsi="Times New Roman"/>
                <w:sz w:val="20"/>
                <w:szCs w:val="20"/>
                <w:lang w:eastAsia="en-GB"/>
              </w:rPr>
            </w:pPr>
          </w:p>
        </w:tc>
        <w:tc>
          <w:tcPr>
            <w:tcW w:w="283" w:type="dxa"/>
            <w:tcBorders>
              <w:top w:val="nil"/>
              <w:left w:val="nil"/>
              <w:bottom w:val="nil"/>
              <w:right w:val="single" w:sz="4" w:space="0" w:color="auto"/>
            </w:tcBorders>
            <w:shd w:val="clear" w:color="auto" w:fill="auto"/>
            <w:noWrap/>
            <w:vAlign w:val="bottom"/>
            <w:hideMark/>
          </w:tcPr>
          <w:p w14:paraId="5F7FFFB6" w14:textId="77777777" w:rsidR="00080DE9" w:rsidRPr="007055C3" w:rsidRDefault="00080DE9" w:rsidP="0070459C">
            <w:pPr>
              <w:rPr>
                <w:rFonts w:cs="Arial"/>
                <w:lang w:eastAsia="en-GB"/>
              </w:rPr>
            </w:pPr>
            <w:r w:rsidRPr="007055C3">
              <w:rPr>
                <w:rFonts w:cs="Arial"/>
                <w:lang w:eastAsia="en-GB"/>
              </w:rPr>
              <w:t> </w:t>
            </w:r>
          </w:p>
        </w:tc>
      </w:tr>
      <w:tr w:rsidR="008C4F0D" w:rsidRPr="007055C3" w14:paraId="409C4918" w14:textId="77777777" w:rsidTr="00F55F83">
        <w:trPr>
          <w:trHeight w:val="300"/>
          <w:jc w:val="center"/>
        </w:trPr>
        <w:tc>
          <w:tcPr>
            <w:tcW w:w="421" w:type="dxa"/>
            <w:tcBorders>
              <w:top w:val="nil"/>
              <w:left w:val="single" w:sz="4" w:space="0" w:color="auto"/>
              <w:bottom w:val="nil"/>
              <w:right w:val="nil"/>
            </w:tcBorders>
            <w:shd w:val="clear" w:color="000000" w:fill="FFFFFF"/>
            <w:noWrap/>
            <w:vAlign w:val="bottom"/>
            <w:hideMark/>
          </w:tcPr>
          <w:p w14:paraId="2BF56216" w14:textId="77777777" w:rsidR="008C4F0D" w:rsidRPr="007055C3" w:rsidRDefault="008C4F0D" w:rsidP="008C4F0D">
            <w:pPr>
              <w:rPr>
                <w:rFonts w:cs="Arial"/>
                <w:lang w:eastAsia="en-GB"/>
              </w:rPr>
            </w:pPr>
            <w:r w:rsidRPr="007055C3">
              <w:rPr>
                <w:rFonts w:cs="Arial"/>
                <w:lang w:eastAsia="en-GB"/>
              </w:rPr>
              <w:t> </w:t>
            </w:r>
          </w:p>
        </w:tc>
        <w:tc>
          <w:tcPr>
            <w:tcW w:w="1295" w:type="dxa"/>
            <w:tcBorders>
              <w:top w:val="nil"/>
              <w:left w:val="nil"/>
              <w:bottom w:val="nil"/>
              <w:right w:val="nil"/>
            </w:tcBorders>
            <w:shd w:val="clear" w:color="000000" w:fill="FFFFFF"/>
            <w:noWrap/>
            <w:vAlign w:val="bottom"/>
            <w:hideMark/>
          </w:tcPr>
          <w:p w14:paraId="7FC0BCAE" w14:textId="4BB396CC" w:rsidR="008C4F0D" w:rsidRPr="007055C3" w:rsidRDefault="008C4F0D" w:rsidP="008C4F0D">
            <w:pPr>
              <w:jc w:val="right"/>
              <w:rPr>
                <w:rFonts w:cs="Arial"/>
                <w:lang w:eastAsia="en-GB"/>
              </w:rPr>
            </w:pPr>
            <w:r w:rsidRPr="007055C3">
              <w:rPr>
                <w:rFonts w:cs="Arial"/>
                <w:lang w:eastAsia="en-GB"/>
              </w:rPr>
              <w:t>(24)</w:t>
            </w:r>
          </w:p>
        </w:tc>
        <w:tc>
          <w:tcPr>
            <w:tcW w:w="3756" w:type="dxa"/>
            <w:tcBorders>
              <w:top w:val="nil"/>
              <w:left w:val="nil"/>
              <w:bottom w:val="nil"/>
              <w:right w:val="nil"/>
            </w:tcBorders>
            <w:shd w:val="clear" w:color="000000" w:fill="FFFFFF"/>
            <w:noWrap/>
            <w:vAlign w:val="bottom"/>
            <w:hideMark/>
          </w:tcPr>
          <w:p w14:paraId="2013657C" w14:textId="77777777" w:rsidR="008C4F0D" w:rsidRPr="007055C3" w:rsidRDefault="008C4F0D" w:rsidP="008C4F0D">
            <w:pPr>
              <w:rPr>
                <w:rFonts w:cs="Arial"/>
                <w:b/>
                <w:bCs/>
                <w:lang w:eastAsia="en-GB"/>
              </w:rPr>
            </w:pPr>
            <w:r w:rsidRPr="007055C3">
              <w:rPr>
                <w:rFonts w:cs="Arial"/>
                <w:b/>
                <w:bCs/>
                <w:lang w:eastAsia="en-GB"/>
              </w:rPr>
              <w:t>Impairment for Bad Debts</w:t>
            </w:r>
          </w:p>
        </w:tc>
        <w:tc>
          <w:tcPr>
            <w:tcW w:w="1186" w:type="dxa"/>
            <w:tcBorders>
              <w:top w:val="nil"/>
              <w:left w:val="nil"/>
              <w:bottom w:val="nil"/>
              <w:right w:val="nil"/>
            </w:tcBorders>
            <w:shd w:val="clear" w:color="000000" w:fill="FFFFFF"/>
            <w:noWrap/>
            <w:vAlign w:val="bottom"/>
            <w:hideMark/>
          </w:tcPr>
          <w:p w14:paraId="23290CB5" w14:textId="2837A76C" w:rsidR="008C4F0D" w:rsidRPr="007055C3" w:rsidRDefault="008C4F0D" w:rsidP="008C4F0D">
            <w:pPr>
              <w:jc w:val="right"/>
              <w:rPr>
                <w:rFonts w:cs="Arial"/>
                <w:lang w:eastAsia="en-GB"/>
              </w:rPr>
            </w:pPr>
            <w:r w:rsidRPr="007055C3">
              <w:rPr>
                <w:rFonts w:cs="Arial"/>
                <w:lang w:eastAsia="en-GB"/>
              </w:rPr>
              <w:t>(</w:t>
            </w:r>
            <w:r>
              <w:rPr>
                <w:rFonts w:cs="Arial"/>
                <w:lang w:eastAsia="en-GB"/>
              </w:rPr>
              <w:t>12</w:t>
            </w:r>
            <w:r w:rsidRPr="007055C3">
              <w:rPr>
                <w:rFonts w:cs="Arial"/>
                <w:lang w:eastAsia="en-GB"/>
              </w:rPr>
              <w:t>)</w:t>
            </w:r>
          </w:p>
        </w:tc>
        <w:tc>
          <w:tcPr>
            <w:tcW w:w="283" w:type="dxa"/>
            <w:tcBorders>
              <w:top w:val="nil"/>
              <w:left w:val="nil"/>
              <w:bottom w:val="nil"/>
              <w:right w:val="single" w:sz="4" w:space="0" w:color="auto"/>
            </w:tcBorders>
            <w:shd w:val="clear" w:color="000000" w:fill="FFFFFF"/>
            <w:noWrap/>
            <w:vAlign w:val="bottom"/>
            <w:hideMark/>
          </w:tcPr>
          <w:p w14:paraId="78D93A3E" w14:textId="77777777" w:rsidR="008C4F0D" w:rsidRPr="007055C3" w:rsidRDefault="008C4F0D" w:rsidP="008C4F0D">
            <w:pPr>
              <w:rPr>
                <w:rFonts w:cs="Arial"/>
                <w:lang w:eastAsia="en-GB"/>
              </w:rPr>
            </w:pPr>
            <w:r w:rsidRPr="007055C3">
              <w:rPr>
                <w:rFonts w:cs="Arial"/>
                <w:lang w:eastAsia="en-GB"/>
              </w:rPr>
              <w:t> </w:t>
            </w:r>
          </w:p>
        </w:tc>
      </w:tr>
      <w:tr w:rsidR="008C4F0D" w:rsidRPr="007055C3" w14:paraId="2A841A9C" w14:textId="77777777" w:rsidTr="00F55F83">
        <w:trPr>
          <w:trHeight w:val="300"/>
          <w:jc w:val="center"/>
        </w:trPr>
        <w:tc>
          <w:tcPr>
            <w:tcW w:w="421" w:type="dxa"/>
            <w:tcBorders>
              <w:top w:val="nil"/>
              <w:left w:val="single" w:sz="4" w:space="0" w:color="auto"/>
              <w:bottom w:val="nil"/>
              <w:right w:val="nil"/>
            </w:tcBorders>
            <w:shd w:val="clear" w:color="000000" w:fill="FFFFFF"/>
            <w:noWrap/>
            <w:vAlign w:val="bottom"/>
            <w:hideMark/>
          </w:tcPr>
          <w:p w14:paraId="46ACFF33" w14:textId="77777777" w:rsidR="008C4F0D" w:rsidRPr="007055C3" w:rsidRDefault="008C4F0D" w:rsidP="008C4F0D">
            <w:pPr>
              <w:rPr>
                <w:rFonts w:cs="Arial"/>
                <w:lang w:eastAsia="en-GB"/>
              </w:rPr>
            </w:pPr>
            <w:r w:rsidRPr="007055C3">
              <w:rPr>
                <w:rFonts w:cs="Arial"/>
                <w:lang w:eastAsia="en-GB"/>
              </w:rPr>
              <w:t> </w:t>
            </w:r>
          </w:p>
        </w:tc>
        <w:tc>
          <w:tcPr>
            <w:tcW w:w="1295" w:type="dxa"/>
            <w:tcBorders>
              <w:top w:val="nil"/>
              <w:left w:val="nil"/>
              <w:bottom w:val="nil"/>
              <w:right w:val="nil"/>
            </w:tcBorders>
            <w:shd w:val="clear" w:color="000000" w:fill="FFFFFF"/>
            <w:noWrap/>
            <w:vAlign w:val="bottom"/>
            <w:hideMark/>
          </w:tcPr>
          <w:p w14:paraId="75C72D6D" w14:textId="5E46E20A" w:rsidR="008C4F0D" w:rsidRPr="007055C3" w:rsidRDefault="008C4F0D" w:rsidP="008C4F0D">
            <w:pPr>
              <w:jc w:val="right"/>
              <w:rPr>
                <w:rFonts w:cs="Arial"/>
                <w:b/>
                <w:bCs/>
                <w:lang w:eastAsia="en-GB"/>
              </w:rPr>
            </w:pPr>
            <w:r w:rsidRPr="007055C3">
              <w:rPr>
                <w:rFonts w:cs="Arial"/>
                <w:b/>
                <w:bCs/>
                <w:lang w:eastAsia="en-GB"/>
              </w:rPr>
              <w:t> </w:t>
            </w:r>
          </w:p>
        </w:tc>
        <w:tc>
          <w:tcPr>
            <w:tcW w:w="3756" w:type="dxa"/>
            <w:tcBorders>
              <w:top w:val="nil"/>
              <w:left w:val="nil"/>
              <w:bottom w:val="nil"/>
              <w:right w:val="nil"/>
            </w:tcBorders>
            <w:shd w:val="clear" w:color="000000" w:fill="FFFFFF"/>
            <w:noWrap/>
            <w:vAlign w:val="bottom"/>
            <w:hideMark/>
          </w:tcPr>
          <w:p w14:paraId="7526AFFF" w14:textId="77777777" w:rsidR="008C4F0D" w:rsidRPr="007055C3" w:rsidRDefault="008C4F0D" w:rsidP="008C4F0D">
            <w:pPr>
              <w:rPr>
                <w:rFonts w:cs="Arial"/>
                <w:b/>
                <w:bCs/>
                <w:lang w:eastAsia="en-GB"/>
              </w:rPr>
            </w:pPr>
            <w:r w:rsidRPr="007055C3">
              <w:rPr>
                <w:rFonts w:cs="Arial"/>
                <w:b/>
                <w:bCs/>
                <w:lang w:eastAsia="en-GB"/>
              </w:rPr>
              <w:t>Prepayments &amp; Accrued Income</w:t>
            </w:r>
          </w:p>
        </w:tc>
        <w:tc>
          <w:tcPr>
            <w:tcW w:w="1186" w:type="dxa"/>
            <w:tcBorders>
              <w:top w:val="nil"/>
              <w:left w:val="nil"/>
              <w:bottom w:val="nil"/>
              <w:right w:val="nil"/>
            </w:tcBorders>
            <w:shd w:val="clear" w:color="000000" w:fill="FFFFFF"/>
            <w:noWrap/>
            <w:vAlign w:val="bottom"/>
            <w:hideMark/>
          </w:tcPr>
          <w:p w14:paraId="683ABE26" w14:textId="77777777" w:rsidR="008C4F0D" w:rsidRPr="007055C3" w:rsidRDefault="008C4F0D" w:rsidP="008C4F0D">
            <w:pPr>
              <w:jc w:val="right"/>
              <w:rPr>
                <w:rFonts w:cs="Arial"/>
                <w:b/>
                <w:bCs/>
                <w:lang w:eastAsia="en-GB"/>
              </w:rPr>
            </w:pPr>
            <w:r w:rsidRPr="007055C3">
              <w:rPr>
                <w:rFonts w:cs="Arial"/>
                <w:b/>
                <w:bCs/>
                <w:lang w:eastAsia="en-GB"/>
              </w:rPr>
              <w:t> </w:t>
            </w:r>
          </w:p>
        </w:tc>
        <w:tc>
          <w:tcPr>
            <w:tcW w:w="283" w:type="dxa"/>
            <w:tcBorders>
              <w:top w:val="nil"/>
              <w:left w:val="nil"/>
              <w:bottom w:val="nil"/>
              <w:right w:val="single" w:sz="4" w:space="0" w:color="auto"/>
            </w:tcBorders>
            <w:shd w:val="clear" w:color="000000" w:fill="FFFFFF"/>
            <w:noWrap/>
            <w:vAlign w:val="bottom"/>
            <w:hideMark/>
          </w:tcPr>
          <w:p w14:paraId="309DA307" w14:textId="77777777" w:rsidR="008C4F0D" w:rsidRPr="007055C3" w:rsidRDefault="008C4F0D" w:rsidP="008C4F0D">
            <w:pPr>
              <w:rPr>
                <w:rFonts w:cs="Arial"/>
                <w:lang w:eastAsia="en-GB"/>
              </w:rPr>
            </w:pPr>
            <w:r w:rsidRPr="007055C3">
              <w:rPr>
                <w:rFonts w:cs="Arial"/>
                <w:lang w:eastAsia="en-GB"/>
              </w:rPr>
              <w:t> </w:t>
            </w:r>
          </w:p>
        </w:tc>
      </w:tr>
      <w:tr w:rsidR="008C4F0D" w:rsidRPr="007055C3" w14:paraId="53398569" w14:textId="77777777" w:rsidTr="00F55F83">
        <w:trPr>
          <w:trHeight w:val="300"/>
          <w:jc w:val="center"/>
        </w:trPr>
        <w:tc>
          <w:tcPr>
            <w:tcW w:w="421" w:type="dxa"/>
            <w:tcBorders>
              <w:top w:val="nil"/>
              <w:left w:val="single" w:sz="4" w:space="0" w:color="auto"/>
              <w:bottom w:val="nil"/>
              <w:right w:val="nil"/>
            </w:tcBorders>
            <w:shd w:val="clear" w:color="000000" w:fill="FFFFFF"/>
            <w:noWrap/>
            <w:vAlign w:val="bottom"/>
            <w:hideMark/>
          </w:tcPr>
          <w:p w14:paraId="21AFCF05" w14:textId="77777777" w:rsidR="008C4F0D" w:rsidRPr="007055C3" w:rsidRDefault="008C4F0D" w:rsidP="008C4F0D">
            <w:pPr>
              <w:rPr>
                <w:rFonts w:cs="Arial"/>
                <w:lang w:eastAsia="en-GB"/>
              </w:rPr>
            </w:pPr>
            <w:r w:rsidRPr="007055C3">
              <w:rPr>
                <w:rFonts w:cs="Arial"/>
                <w:lang w:eastAsia="en-GB"/>
              </w:rPr>
              <w:t> </w:t>
            </w:r>
          </w:p>
        </w:tc>
        <w:tc>
          <w:tcPr>
            <w:tcW w:w="1295" w:type="dxa"/>
            <w:tcBorders>
              <w:top w:val="nil"/>
              <w:left w:val="nil"/>
              <w:bottom w:val="nil"/>
              <w:right w:val="nil"/>
            </w:tcBorders>
            <w:shd w:val="clear" w:color="000000" w:fill="FFFFFF"/>
            <w:noWrap/>
            <w:vAlign w:val="bottom"/>
            <w:hideMark/>
          </w:tcPr>
          <w:p w14:paraId="70A5BC8B" w14:textId="3B73CBF6" w:rsidR="008C4F0D" w:rsidRPr="007055C3" w:rsidRDefault="008C4F0D" w:rsidP="008C4F0D">
            <w:pPr>
              <w:jc w:val="right"/>
              <w:rPr>
                <w:rFonts w:cs="Arial"/>
                <w:lang w:eastAsia="en-GB"/>
              </w:rPr>
            </w:pPr>
            <w:r w:rsidRPr="007055C3">
              <w:rPr>
                <w:rFonts w:cs="Arial"/>
                <w:lang w:eastAsia="en-GB"/>
              </w:rPr>
              <w:t>0</w:t>
            </w:r>
          </w:p>
        </w:tc>
        <w:tc>
          <w:tcPr>
            <w:tcW w:w="3756" w:type="dxa"/>
            <w:tcBorders>
              <w:top w:val="nil"/>
              <w:left w:val="nil"/>
              <w:bottom w:val="nil"/>
              <w:right w:val="nil"/>
            </w:tcBorders>
            <w:shd w:val="clear" w:color="000000" w:fill="FFFFFF"/>
            <w:noWrap/>
            <w:vAlign w:val="bottom"/>
            <w:hideMark/>
          </w:tcPr>
          <w:p w14:paraId="213F1683" w14:textId="77777777" w:rsidR="008C4F0D" w:rsidRPr="007055C3" w:rsidRDefault="008C4F0D" w:rsidP="008C4F0D">
            <w:pPr>
              <w:rPr>
                <w:rFonts w:cs="Arial"/>
                <w:lang w:eastAsia="en-GB"/>
              </w:rPr>
            </w:pPr>
            <w:r w:rsidRPr="007055C3">
              <w:rPr>
                <w:rFonts w:cs="Arial"/>
                <w:lang w:eastAsia="en-GB"/>
              </w:rPr>
              <w:t xml:space="preserve">    Local Authorities</w:t>
            </w:r>
          </w:p>
        </w:tc>
        <w:tc>
          <w:tcPr>
            <w:tcW w:w="1186" w:type="dxa"/>
            <w:tcBorders>
              <w:top w:val="nil"/>
              <w:left w:val="nil"/>
              <w:bottom w:val="nil"/>
              <w:right w:val="nil"/>
            </w:tcBorders>
            <w:shd w:val="clear" w:color="000000" w:fill="FFFFFF"/>
            <w:noWrap/>
            <w:vAlign w:val="bottom"/>
            <w:hideMark/>
          </w:tcPr>
          <w:p w14:paraId="0C4F565E" w14:textId="70E11D48" w:rsidR="008C4F0D" w:rsidRPr="007055C3" w:rsidRDefault="008C4F0D" w:rsidP="008C4F0D">
            <w:pPr>
              <w:jc w:val="right"/>
              <w:rPr>
                <w:rFonts w:cs="Arial"/>
                <w:lang w:eastAsia="en-GB"/>
              </w:rPr>
            </w:pPr>
            <w:r>
              <w:rPr>
                <w:rFonts w:cs="Arial"/>
                <w:lang w:eastAsia="en-GB"/>
              </w:rPr>
              <w:t>12</w:t>
            </w:r>
          </w:p>
        </w:tc>
        <w:tc>
          <w:tcPr>
            <w:tcW w:w="283" w:type="dxa"/>
            <w:tcBorders>
              <w:top w:val="nil"/>
              <w:left w:val="nil"/>
              <w:bottom w:val="nil"/>
              <w:right w:val="single" w:sz="4" w:space="0" w:color="auto"/>
            </w:tcBorders>
            <w:shd w:val="clear" w:color="000000" w:fill="FFFFFF"/>
            <w:noWrap/>
            <w:vAlign w:val="bottom"/>
            <w:hideMark/>
          </w:tcPr>
          <w:p w14:paraId="5AB0FF28" w14:textId="77777777" w:rsidR="008C4F0D" w:rsidRPr="007055C3" w:rsidRDefault="008C4F0D" w:rsidP="008C4F0D">
            <w:pPr>
              <w:rPr>
                <w:rFonts w:cs="Arial"/>
                <w:lang w:eastAsia="en-GB"/>
              </w:rPr>
            </w:pPr>
            <w:r w:rsidRPr="007055C3">
              <w:rPr>
                <w:rFonts w:cs="Arial"/>
                <w:lang w:eastAsia="en-GB"/>
              </w:rPr>
              <w:t> </w:t>
            </w:r>
          </w:p>
        </w:tc>
      </w:tr>
      <w:tr w:rsidR="008C4F0D" w:rsidRPr="007055C3" w14:paraId="39E4D939" w14:textId="77777777" w:rsidTr="00F55F83">
        <w:trPr>
          <w:trHeight w:val="300"/>
          <w:jc w:val="center"/>
        </w:trPr>
        <w:tc>
          <w:tcPr>
            <w:tcW w:w="421" w:type="dxa"/>
            <w:tcBorders>
              <w:top w:val="nil"/>
              <w:left w:val="single" w:sz="4" w:space="0" w:color="auto"/>
              <w:bottom w:val="nil"/>
              <w:right w:val="nil"/>
            </w:tcBorders>
            <w:shd w:val="clear" w:color="000000" w:fill="FFFFFF"/>
            <w:noWrap/>
            <w:vAlign w:val="bottom"/>
            <w:hideMark/>
          </w:tcPr>
          <w:p w14:paraId="60BFEBDA" w14:textId="77777777" w:rsidR="008C4F0D" w:rsidRPr="007055C3" w:rsidRDefault="008C4F0D" w:rsidP="008C4F0D">
            <w:pPr>
              <w:rPr>
                <w:rFonts w:cs="Arial"/>
                <w:lang w:eastAsia="en-GB"/>
              </w:rPr>
            </w:pPr>
            <w:r w:rsidRPr="007055C3">
              <w:rPr>
                <w:rFonts w:cs="Arial"/>
                <w:lang w:eastAsia="en-GB"/>
              </w:rPr>
              <w:t> </w:t>
            </w:r>
          </w:p>
        </w:tc>
        <w:tc>
          <w:tcPr>
            <w:tcW w:w="1295" w:type="dxa"/>
            <w:tcBorders>
              <w:top w:val="nil"/>
              <w:left w:val="nil"/>
              <w:bottom w:val="nil"/>
              <w:right w:val="nil"/>
            </w:tcBorders>
            <w:shd w:val="clear" w:color="000000" w:fill="FFFFFF"/>
            <w:noWrap/>
            <w:vAlign w:val="bottom"/>
            <w:hideMark/>
          </w:tcPr>
          <w:p w14:paraId="3DC7FAD0" w14:textId="7D59BDF3" w:rsidR="008C4F0D" w:rsidRPr="007055C3" w:rsidRDefault="008C4F0D" w:rsidP="008C4F0D">
            <w:pPr>
              <w:jc w:val="right"/>
              <w:rPr>
                <w:rFonts w:cs="Arial"/>
                <w:lang w:eastAsia="en-GB"/>
              </w:rPr>
            </w:pPr>
            <w:r w:rsidRPr="007055C3">
              <w:rPr>
                <w:rFonts w:cs="Arial"/>
                <w:lang w:eastAsia="en-GB"/>
              </w:rPr>
              <w:t>187</w:t>
            </w:r>
          </w:p>
        </w:tc>
        <w:tc>
          <w:tcPr>
            <w:tcW w:w="3756" w:type="dxa"/>
            <w:tcBorders>
              <w:top w:val="nil"/>
              <w:left w:val="nil"/>
              <w:bottom w:val="nil"/>
              <w:right w:val="nil"/>
            </w:tcBorders>
            <w:shd w:val="clear" w:color="000000" w:fill="FFFFFF"/>
            <w:noWrap/>
            <w:vAlign w:val="bottom"/>
            <w:hideMark/>
          </w:tcPr>
          <w:p w14:paraId="3BEDD7A0" w14:textId="77777777" w:rsidR="008C4F0D" w:rsidRPr="007055C3" w:rsidRDefault="008C4F0D" w:rsidP="008C4F0D">
            <w:pPr>
              <w:rPr>
                <w:rFonts w:cs="Arial"/>
                <w:lang w:eastAsia="en-GB"/>
              </w:rPr>
            </w:pPr>
            <w:r w:rsidRPr="007055C3">
              <w:rPr>
                <w:rFonts w:cs="Arial"/>
                <w:lang w:eastAsia="en-GB"/>
              </w:rPr>
              <w:t xml:space="preserve">    Other</w:t>
            </w:r>
          </w:p>
        </w:tc>
        <w:tc>
          <w:tcPr>
            <w:tcW w:w="1186" w:type="dxa"/>
            <w:tcBorders>
              <w:top w:val="nil"/>
              <w:left w:val="nil"/>
              <w:bottom w:val="nil"/>
              <w:right w:val="nil"/>
            </w:tcBorders>
            <w:shd w:val="clear" w:color="000000" w:fill="FFFFFF"/>
            <w:noWrap/>
            <w:vAlign w:val="bottom"/>
            <w:hideMark/>
          </w:tcPr>
          <w:p w14:paraId="2E75FBB4" w14:textId="09B4226D" w:rsidR="008C4F0D" w:rsidRPr="007055C3" w:rsidRDefault="00F760C4" w:rsidP="008C4F0D">
            <w:pPr>
              <w:jc w:val="right"/>
              <w:rPr>
                <w:rFonts w:cs="Arial"/>
                <w:lang w:eastAsia="en-GB"/>
              </w:rPr>
            </w:pPr>
            <w:r>
              <w:rPr>
                <w:rFonts w:cs="Arial"/>
                <w:lang w:eastAsia="en-GB"/>
              </w:rPr>
              <w:t>109</w:t>
            </w:r>
          </w:p>
        </w:tc>
        <w:tc>
          <w:tcPr>
            <w:tcW w:w="283" w:type="dxa"/>
            <w:tcBorders>
              <w:top w:val="nil"/>
              <w:left w:val="nil"/>
              <w:bottom w:val="nil"/>
              <w:right w:val="single" w:sz="4" w:space="0" w:color="auto"/>
            </w:tcBorders>
            <w:shd w:val="clear" w:color="000000" w:fill="FFFFFF"/>
            <w:noWrap/>
            <w:vAlign w:val="bottom"/>
            <w:hideMark/>
          </w:tcPr>
          <w:p w14:paraId="7F45F56A" w14:textId="77777777" w:rsidR="008C4F0D" w:rsidRPr="007055C3" w:rsidRDefault="008C4F0D" w:rsidP="008C4F0D">
            <w:pPr>
              <w:rPr>
                <w:rFonts w:cs="Arial"/>
                <w:lang w:eastAsia="en-GB"/>
              </w:rPr>
            </w:pPr>
            <w:r w:rsidRPr="007055C3">
              <w:rPr>
                <w:rFonts w:cs="Arial"/>
                <w:lang w:eastAsia="en-GB"/>
              </w:rPr>
              <w:t> </w:t>
            </w:r>
          </w:p>
        </w:tc>
      </w:tr>
      <w:tr w:rsidR="008C4F0D" w:rsidRPr="007055C3" w14:paraId="0912BC32" w14:textId="77777777" w:rsidTr="00F55F83">
        <w:trPr>
          <w:trHeight w:val="300"/>
          <w:jc w:val="center"/>
        </w:trPr>
        <w:tc>
          <w:tcPr>
            <w:tcW w:w="421" w:type="dxa"/>
            <w:tcBorders>
              <w:top w:val="nil"/>
              <w:left w:val="single" w:sz="4" w:space="0" w:color="auto"/>
              <w:bottom w:val="nil"/>
              <w:right w:val="nil"/>
            </w:tcBorders>
            <w:shd w:val="clear" w:color="000000" w:fill="FFFFFF"/>
            <w:noWrap/>
            <w:vAlign w:val="bottom"/>
            <w:hideMark/>
          </w:tcPr>
          <w:p w14:paraId="1B6E20F9" w14:textId="77777777" w:rsidR="008C4F0D" w:rsidRPr="007055C3" w:rsidRDefault="008C4F0D" w:rsidP="008C4F0D">
            <w:pPr>
              <w:rPr>
                <w:rFonts w:cs="Arial"/>
                <w:lang w:eastAsia="en-GB"/>
              </w:rPr>
            </w:pPr>
            <w:r w:rsidRPr="007055C3">
              <w:rPr>
                <w:rFonts w:cs="Arial"/>
                <w:lang w:eastAsia="en-GB"/>
              </w:rPr>
              <w:t> </w:t>
            </w:r>
          </w:p>
        </w:tc>
        <w:tc>
          <w:tcPr>
            <w:tcW w:w="1295" w:type="dxa"/>
            <w:tcBorders>
              <w:top w:val="nil"/>
              <w:left w:val="nil"/>
              <w:bottom w:val="nil"/>
              <w:right w:val="nil"/>
            </w:tcBorders>
            <w:shd w:val="clear" w:color="000000" w:fill="FFFFFF"/>
            <w:noWrap/>
            <w:vAlign w:val="bottom"/>
            <w:hideMark/>
          </w:tcPr>
          <w:p w14:paraId="6AF3ABF3" w14:textId="7E07274C" w:rsidR="008C4F0D" w:rsidRPr="007055C3" w:rsidRDefault="008C4F0D" w:rsidP="008C4F0D">
            <w:pPr>
              <w:jc w:val="right"/>
              <w:rPr>
                <w:rFonts w:cs="Arial"/>
                <w:lang w:eastAsia="en-GB"/>
              </w:rPr>
            </w:pPr>
            <w:r w:rsidRPr="007055C3">
              <w:rPr>
                <w:rFonts w:cs="Arial"/>
                <w:lang w:eastAsia="en-GB"/>
              </w:rPr>
              <w:t> </w:t>
            </w:r>
          </w:p>
        </w:tc>
        <w:tc>
          <w:tcPr>
            <w:tcW w:w="3756" w:type="dxa"/>
            <w:tcBorders>
              <w:top w:val="nil"/>
              <w:left w:val="nil"/>
              <w:bottom w:val="nil"/>
              <w:right w:val="nil"/>
            </w:tcBorders>
            <w:shd w:val="clear" w:color="000000" w:fill="FFFFFF"/>
            <w:noWrap/>
            <w:vAlign w:val="bottom"/>
            <w:hideMark/>
          </w:tcPr>
          <w:p w14:paraId="21186BA9" w14:textId="77777777" w:rsidR="008C4F0D" w:rsidRPr="007055C3" w:rsidRDefault="008C4F0D" w:rsidP="008C4F0D">
            <w:pPr>
              <w:rPr>
                <w:rFonts w:cs="Arial"/>
                <w:b/>
                <w:bCs/>
                <w:lang w:eastAsia="en-GB"/>
              </w:rPr>
            </w:pPr>
            <w:r w:rsidRPr="007055C3">
              <w:rPr>
                <w:rFonts w:cs="Arial"/>
                <w:b/>
                <w:bCs/>
                <w:lang w:eastAsia="en-GB"/>
              </w:rPr>
              <w:t>Debtors</w:t>
            </w:r>
          </w:p>
        </w:tc>
        <w:tc>
          <w:tcPr>
            <w:tcW w:w="1186" w:type="dxa"/>
            <w:tcBorders>
              <w:top w:val="nil"/>
              <w:left w:val="nil"/>
              <w:bottom w:val="nil"/>
              <w:right w:val="nil"/>
            </w:tcBorders>
            <w:shd w:val="clear" w:color="000000" w:fill="FFFFFF"/>
            <w:noWrap/>
            <w:vAlign w:val="bottom"/>
            <w:hideMark/>
          </w:tcPr>
          <w:p w14:paraId="40E6F8E7" w14:textId="77777777" w:rsidR="008C4F0D" w:rsidRPr="007055C3" w:rsidRDefault="008C4F0D" w:rsidP="008C4F0D">
            <w:pPr>
              <w:jc w:val="right"/>
              <w:rPr>
                <w:rFonts w:cs="Arial"/>
                <w:lang w:eastAsia="en-GB"/>
              </w:rPr>
            </w:pPr>
            <w:r w:rsidRPr="007055C3">
              <w:rPr>
                <w:rFonts w:cs="Arial"/>
                <w:lang w:eastAsia="en-GB"/>
              </w:rPr>
              <w:t> </w:t>
            </w:r>
          </w:p>
        </w:tc>
        <w:tc>
          <w:tcPr>
            <w:tcW w:w="283" w:type="dxa"/>
            <w:tcBorders>
              <w:top w:val="nil"/>
              <w:left w:val="nil"/>
              <w:bottom w:val="nil"/>
              <w:right w:val="single" w:sz="4" w:space="0" w:color="auto"/>
            </w:tcBorders>
            <w:shd w:val="clear" w:color="000000" w:fill="FFFFFF"/>
            <w:noWrap/>
            <w:vAlign w:val="bottom"/>
            <w:hideMark/>
          </w:tcPr>
          <w:p w14:paraId="77E78CD5" w14:textId="77777777" w:rsidR="008C4F0D" w:rsidRPr="007055C3" w:rsidRDefault="008C4F0D" w:rsidP="008C4F0D">
            <w:pPr>
              <w:rPr>
                <w:rFonts w:cs="Arial"/>
                <w:lang w:eastAsia="en-GB"/>
              </w:rPr>
            </w:pPr>
            <w:r w:rsidRPr="007055C3">
              <w:rPr>
                <w:rFonts w:cs="Arial"/>
                <w:lang w:eastAsia="en-GB"/>
              </w:rPr>
              <w:t> </w:t>
            </w:r>
          </w:p>
        </w:tc>
      </w:tr>
      <w:tr w:rsidR="008C4F0D" w:rsidRPr="007055C3" w14:paraId="714EC139" w14:textId="77777777" w:rsidTr="00F55F83">
        <w:trPr>
          <w:trHeight w:val="300"/>
          <w:jc w:val="center"/>
        </w:trPr>
        <w:tc>
          <w:tcPr>
            <w:tcW w:w="421" w:type="dxa"/>
            <w:tcBorders>
              <w:top w:val="nil"/>
              <w:left w:val="single" w:sz="4" w:space="0" w:color="auto"/>
              <w:bottom w:val="nil"/>
              <w:right w:val="nil"/>
            </w:tcBorders>
            <w:shd w:val="clear" w:color="000000" w:fill="FFFFFF"/>
            <w:noWrap/>
            <w:vAlign w:val="bottom"/>
            <w:hideMark/>
          </w:tcPr>
          <w:p w14:paraId="2ECA8489" w14:textId="77777777" w:rsidR="008C4F0D" w:rsidRPr="007055C3" w:rsidRDefault="008C4F0D" w:rsidP="008C4F0D">
            <w:pPr>
              <w:rPr>
                <w:rFonts w:cs="Arial"/>
                <w:lang w:eastAsia="en-GB"/>
              </w:rPr>
            </w:pPr>
            <w:r w:rsidRPr="007055C3">
              <w:rPr>
                <w:rFonts w:cs="Arial"/>
                <w:lang w:eastAsia="en-GB"/>
              </w:rPr>
              <w:t> </w:t>
            </w:r>
          </w:p>
        </w:tc>
        <w:tc>
          <w:tcPr>
            <w:tcW w:w="1295" w:type="dxa"/>
            <w:tcBorders>
              <w:top w:val="nil"/>
              <w:left w:val="nil"/>
              <w:bottom w:val="nil"/>
              <w:right w:val="nil"/>
            </w:tcBorders>
            <w:shd w:val="clear" w:color="000000" w:fill="FFFFFF"/>
            <w:noWrap/>
            <w:vAlign w:val="bottom"/>
            <w:hideMark/>
          </w:tcPr>
          <w:p w14:paraId="2A4B425B" w14:textId="636532DD" w:rsidR="008C4F0D" w:rsidRPr="007055C3" w:rsidRDefault="008C4F0D" w:rsidP="008C4F0D">
            <w:pPr>
              <w:jc w:val="right"/>
              <w:rPr>
                <w:rFonts w:cs="Arial"/>
                <w:lang w:eastAsia="en-GB"/>
              </w:rPr>
            </w:pPr>
            <w:r w:rsidRPr="007055C3">
              <w:rPr>
                <w:rFonts w:cs="Arial"/>
                <w:lang w:eastAsia="en-GB"/>
              </w:rPr>
              <w:t>1,368</w:t>
            </w:r>
          </w:p>
        </w:tc>
        <w:tc>
          <w:tcPr>
            <w:tcW w:w="3756" w:type="dxa"/>
            <w:tcBorders>
              <w:top w:val="nil"/>
              <w:left w:val="nil"/>
              <w:bottom w:val="nil"/>
              <w:right w:val="nil"/>
            </w:tcBorders>
            <w:shd w:val="clear" w:color="000000" w:fill="FFFFFF"/>
            <w:noWrap/>
            <w:vAlign w:val="bottom"/>
            <w:hideMark/>
          </w:tcPr>
          <w:p w14:paraId="243D5495" w14:textId="77777777" w:rsidR="008C4F0D" w:rsidRPr="007055C3" w:rsidRDefault="008C4F0D" w:rsidP="008C4F0D">
            <w:pPr>
              <w:rPr>
                <w:rFonts w:cs="Arial"/>
                <w:lang w:eastAsia="en-GB"/>
              </w:rPr>
            </w:pPr>
            <w:r w:rsidRPr="007055C3">
              <w:rPr>
                <w:rFonts w:cs="Arial"/>
                <w:lang w:eastAsia="en-GB"/>
              </w:rPr>
              <w:t xml:space="preserve">    Government Departments</w:t>
            </w:r>
          </w:p>
        </w:tc>
        <w:tc>
          <w:tcPr>
            <w:tcW w:w="1186" w:type="dxa"/>
            <w:tcBorders>
              <w:top w:val="nil"/>
              <w:left w:val="nil"/>
              <w:bottom w:val="nil"/>
              <w:right w:val="nil"/>
            </w:tcBorders>
            <w:shd w:val="clear" w:color="000000" w:fill="FFFFFF"/>
            <w:noWrap/>
            <w:vAlign w:val="bottom"/>
            <w:hideMark/>
          </w:tcPr>
          <w:p w14:paraId="5FE2A275" w14:textId="1734D2F7" w:rsidR="008C4F0D" w:rsidRPr="007055C3" w:rsidRDefault="00F760C4" w:rsidP="008C4F0D">
            <w:pPr>
              <w:jc w:val="right"/>
              <w:rPr>
                <w:rFonts w:cs="Arial"/>
                <w:lang w:eastAsia="en-GB"/>
              </w:rPr>
            </w:pPr>
            <w:r>
              <w:rPr>
                <w:rFonts w:cs="Arial"/>
                <w:lang w:eastAsia="en-GB"/>
              </w:rPr>
              <w:t>1,114</w:t>
            </w:r>
          </w:p>
        </w:tc>
        <w:tc>
          <w:tcPr>
            <w:tcW w:w="283" w:type="dxa"/>
            <w:tcBorders>
              <w:top w:val="nil"/>
              <w:left w:val="nil"/>
              <w:bottom w:val="nil"/>
              <w:right w:val="single" w:sz="4" w:space="0" w:color="auto"/>
            </w:tcBorders>
            <w:shd w:val="clear" w:color="000000" w:fill="FFFFFF"/>
            <w:noWrap/>
            <w:vAlign w:val="bottom"/>
            <w:hideMark/>
          </w:tcPr>
          <w:p w14:paraId="147F438A" w14:textId="77777777" w:rsidR="008C4F0D" w:rsidRPr="007055C3" w:rsidRDefault="008C4F0D" w:rsidP="008C4F0D">
            <w:pPr>
              <w:rPr>
                <w:rFonts w:cs="Arial"/>
                <w:lang w:eastAsia="en-GB"/>
              </w:rPr>
            </w:pPr>
            <w:r w:rsidRPr="007055C3">
              <w:rPr>
                <w:rFonts w:cs="Arial"/>
                <w:lang w:eastAsia="en-GB"/>
              </w:rPr>
              <w:t> </w:t>
            </w:r>
          </w:p>
        </w:tc>
      </w:tr>
      <w:tr w:rsidR="008C4F0D" w:rsidRPr="007055C3" w14:paraId="3FCD5447" w14:textId="77777777" w:rsidTr="00F55F83">
        <w:trPr>
          <w:trHeight w:val="300"/>
          <w:jc w:val="center"/>
        </w:trPr>
        <w:tc>
          <w:tcPr>
            <w:tcW w:w="421" w:type="dxa"/>
            <w:tcBorders>
              <w:top w:val="nil"/>
              <w:left w:val="single" w:sz="4" w:space="0" w:color="auto"/>
              <w:bottom w:val="nil"/>
              <w:right w:val="nil"/>
            </w:tcBorders>
            <w:shd w:val="clear" w:color="000000" w:fill="FFFFFF"/>
            <w:noWrap/>
            <w:vAlign w:val="bottom"/>
            <w:hideMark/>
          </w:tcPr>
          <w:p w14:paraId="75579B78" w14:textId="77777777" w:rsidR="008C4F0D" w:rsidRPr="007055C3" w:rsidRDefault="008C4F0D" w:rsidP="008C4F0D">
            <w:pPr>
              <w:rPr>
                <w:rFonts w:cs="Arial"/>
                <w:lang w:eastAsia="en-GB"/>
              </w:rPr>
            </w:pPr>
            <w:r w:rsidRPr="007055C3">
              <w:rPr>
                <w:rFonts w:cs="Arial"/>
                <w:lang w:eastAsia="en-GB"/>
              </w:rPr>
              <w:t> </w:t>
            </w:r>
          </w:p>
        </w:tc>
        <w:tc>
          <w:tcPr>
            <w:tcW w:w="1295" w:type="dxa"/>
            <w:tcBorders>
              <w:top w:val="nil"/>
              <w:left w:val="nil"/>
              <w:bottom w:val="nil"/>
              <w:right w:val="nil"/>
            </w:tcBorders>
            <w:shd w:val="clear" w:color="000000" w:fill="FFFFFF"/>
            <w:noWrap/>
            <w:vAlign w:val="bottom"/>
            <w:hideMark/>
          </w:tcPr>
          <w:p w14:paraId="3CF43CDC" w14:textId="5E265DF3" w:rsidR="008C4F0D" w:rsidRPr="007055C3" w:rsidRDefault="008C4F0D" w:rsidP="008C4F0D">
            <w:pPr>
              <w:jc w:val="right"/>
              <w:rPr>
                <w:rFonts w:cs="Arial"/>
                <w:lang w:eastAsia="en-GB"/>
              </w:rPr>
            </w:pPr>
            <w:r w:rsidRPr="007055C3">
              <w:rPr>
                <w:rFonts w:cs="Arial"/>
                <w:lang w:eastAsia="en-GB"/>
              </w:rPr>
              <w:t>22</w:t>
            </w:r>
          </w:p>
        </w:tc>
        <w:tc>
          <w:tcPr>
            <w:tcW w:w="3756" w:type="dxa"/>
            <w:tcBorders>
              <w:top w:val="nil"/>
              <w:left w:val="nil"/>
              <w:bottom w:val="nil"/>
              <w:right w:val="nil"/>
            </w:tcBorders>
            <w:shd w:val="clear" w:color="000000" w:fill="FFFFFF"/>
            <w:noWrap/>
            <w:vAlign w:val="bottom"/>
            <w:hideMark/>
          </w:tcPr>
          <w:p w14:paraId="00CF9DEA" w14:textId="77777777" w:rsidR="008C4F0D" w:rsidRPr="007055C3" w:rsidRDefault="008C4F0D" w:rsidP="008C4F0D">
            <w:pPr>
              <w:rPr>
                <w:rFonts w:cs="Arial"/>
                <w:lang w:eastAsia="en-GB"/>
              </w:rPr>
            </w:pPr>
            <w:r w:rsidRPr="007055C3">
              <w:rPr>
                <w:rFonts w:cs="Arial"/>
                <w:lang w:eastAsia="en-GB"/>
              </w:rPr>
              <w:t xml:space="preserve">    Local Authorities</w:t>
            </w:r>
          </w:p>
        </w:tc>
        <w:tc>
          <w:tcPr>
            <w:tcW w:w="1186" w:type="dxa"/>
            <w:tcBorders>
              <w:top w:val="nil"/>
              <w:left w:val="nil"/>
              <w:bottom w:val="nil"/>
              <w:right w:val="nil"/>
            </w:tcBorders>
            <w:shd w:val="clear" w:color="000000" w:fill="FFFFFF"/>
            <w:noWrap/>
            <w:vAlign w:val="bottom"/>
            <w:hideMark/>
          </w:tcPr>
          <w:p w14:paraId="37E9D341" w14:textId="47443AB9" w:rsidR="008C4F0D" w:rsidRPr="007055C3" w:rsidRDefault="00F760C4" w:rsidP="008C4F0D">
            <w:pPr>
              <w:jc w:val="right"/>
              <w:rPr>
                <w:rFonts w:cs="Arial"/>
                <w:lang w:eastAsia="en-GB"/>
              </w:rPr>
            </w:pPr>
            <w:r>
              <w:rPr>
                <w:rFonts w:cs="Arial"/>
                <w:lang w:eastAsia="en-GB"/>
              </w:rPr>
              <w:t>31</w:t>
            </w:r>
          </w:p>
        </w:tc>
        <w:tc>
          <w:tcPr>
            <w:tcW w:w="283" w:type="dxa"/>
            <w:tcBorders>
              <w:top w:val="nil"/>
              <w:left w:val="nil"/>
              <w:bottom w:val="nil"/>
              <w:right w:val="single" w:sz="4" w:space="0" w:color="auto"/>
            </w:tcBorders>
            <w:shd w:val="clear" w:color="000000" w:fill="FFFFFF"/>
            <w:noWrap/>
            <w:vAlign w:val="bottom"/>
            <w:hideMark/>
          </w:tcPr>
          <w:p w14:paraId="205A35C4" w14:textId="77777777" w:rsidR="008C4F0D" w:rsidRPr="007055C3" w:rsidRDefault="008C4F0D" w:rsidP="008C4F0D">
            <w:pPr>
              <w:rPr>
                <w:rFonts w:cs="Arial"/>
                <w:lang w:eastAsia="en-GB"/>
              </w:rPr>
            </w:pPr>
            <w:r w:rsidRPr="007055C3">
              <w:rPr>
                <w:rFonts w:cs="Arial"/>
                <w:lang w:eastAsia="en-GB"/>
              </w:rPr>
              <w:t> </w:t>
            </w:r>
          </w:p>
        </w:tc>
      </w:tr>
      <w:tr w:rsidR="008C4F0D" w:rsidRPr="007055C3" w14:paraId="34E99579" w14:textId="77777777" w:rsidTr="00F55F83">
        <w:trPr>
          <w:trHeight w:val="300"/>
          <w:jc w:val="center"/>
        </w:trPr>
        <w:tc>
          <w:tcPr>
            <w:tcW w:w="421" w:type="dxa"/>
            <w:tcBorders>
              <w:top w:val="nil"/>
              <w:left w:val="single" w:sz="4" w:space="0" w:color="auto"/>
              <w:bottom w:val="nil"/>
              <w:right w:val="nil"/>
            </w:tcBorders>
            <w:shd w:val="clear" w:color="000000" w:fill="FFFFFF"/>
            <w:noWrap/>
            <w:vAlign w:val="bottom"/>
            <w:hideMark/>
          </w:tcPr>
          <w:p w14:paraId="43270AD9" w14:textId="77777777" w:rsidR="008C4F0D" w:rsidRPr="007055C3" w:rsidRDefault="008C4F0D" w:rsidP="008C4F0D">
            <w:pPr>
              <w:rPr>
                <w:rFonts w:cs="Arial"/>
                <w:lang w:eastAsia="en-GB"/>
              </w:rPr>
            </w:pPr>
            <w:r w:rsidRPr="007055C3">
              <w:rPr>
                <w:rFonts w:cs="Arial"/>
                <w:lang w:eastAsia="en-GB"/>
              </w:rPr>
              <w:t> </w:t>
            </w:r>
          </w:p>
        </w:tc>
        <w:tc>
          <w:tcPr>
            <w:tcW w:w="1295" w:type="dxa"/>
            <w:tcBorders>
              <w:top w:val="nil"/>
              <w:left w:val="nil"/>
              <w:bottom w:val="single" w:sz="4" w:space="0" w:color="auto"/>
              <w:right w:val="nil"/>
            </w:tcBorders>
            <w:shd w:val="clear" w:color="000000" w:fill="FFFFFF"/>
            <w:noWrap/>
            <w:vAlign w:val="bottom"/>
            <w:hideMark/>
          </w:tcPr>
          <w:p w14:paraId="4BD8059E" w14:textId="6D754DF7" w:rsidR="008C4F0D" w:rsidRPr="007055C3" w:rsidRDefault="008C4F0D" w:rsidP="008C4F0D">
            <w:pPr>
              <w:jc w:val="right"/>
              <w:rPr>
                <w:rFonts w:cs="Arial"/>
                <w:lang w:eastAsia="en-GB"/>
              </w:rPr>
            </w:pPr>
            <w:r w:rsidRPr="007055C3">
              <w:rPr>
                <w:rFonts w:cs="Arial"/>
                <w:lang w:eastAsia="en-GB"/>
              </w:rPr>
              <w:t>765</w:t>
            </w:r>
          </w:p>
        </w:tc>
        <w:tc>
          <w:tcPr>
            <w:tcW w:w="3756" w:type="dxa"/>
            <w:tcBorders>
              <w:top w:val="nil"/>
              <w:left w:val="nil"/>
              <w:bottom w:val="nil"/>
              <w:right w:val="nil"/>
            </w:tcBorders>
            <w:shd w:val="clear" w:color="000000" w:fill="FFFFFF"/>
            <w:noWrap/>
            <w:vAlign w:val="bottom"/>
            <w:hideMark/>
          </w:tcPr>
          <w:p w14:paraId="395C4F9F" w14:textId="77777777" w:rsidR="008C4F0D" w:rsidRPr="007055C3" w:rsidRDefault="008C4F0D" w:rsidP="008C4F0D">
            <w:pPr>
              <w:rPr>
                <w:rFonts w:cs="Arial"/>
                <w:lang w:eastAsia="en-GB"/>
              </w:rPr>
            </w:pPr>
            <w:r w:rsidRPr="007055C3">
              <w:rPr>
                <w:rFonts w:cs="Arial"/>
                <w:lang w:eastAsia="en-GB"/>
              </w:rPr>
              <w:t xml:space="preserve">    Other</w:t>
            </w:r>
          </w:p>
        </w:tc>
        <w:tc>
          <w:tcPr>
            <w:tcW w:w="1186" w:type="dxa"/>
            <w:tcBorders>
              <w:top w:val="nil"/>
              <w:left w:val="nil"/>
              <w:bottom w:val="nil"/>
              <w:right w:val="nil"/>
            </w:tcBorders>
            <w:shd w:val="clear" w:color="000000" w:fill="FFFFFF"/>
            <w:noWrap/>
            <w:vAlign w:val="bottom"/>
            <w:hideMark/>
          </w:tcPr>
          <w:p w14:paraId="25675CB5" w14:textId="5CCEC829" w:rsidR="008C4F0D" w:rsidRPr="007055C3" w:rsidRDefault="00F760C4" w:rsidP="008C4F0D">
            <w:pPr>
              <w:jc w:val="right"/>
              <w:rPr>
                <w:rFonts w:cs="Arial"/>
                <w:lang w:eastAsia="en-GB"/>
              </w:rPr>
            </w:pPr>
            <w:r>
              <w:rPr>
                <w:rFonts w:cs="Arial"/>
                <w:lang w:eastAsia="en-GB"/>
              </w:rPr>
              <w:t>712</w:t>
            </w:r>
          </w:p>
        </w:tc>
        <w:tc>
          <w:tcPr>
            <w:tcW w:w="283" w:type="dxa"/>
            <w:tcBorders>
              <w:top w:val="nil"/>
              <w:left w:val="nil"/>
              <w:bottom w:val="nil"/>
              <w:right w:val="single" w:sz="4" w:space="0" w:color="auto"/>
            </w:tcBorders>
            <w:shd w:val="clear" w:color="000000" w:fill="FFFFFF"/>
            <w:noWrap/>
            <w:vAlign w:val="bottom"/>
            <w:hideMark/>
          </w:tcPr>
          <w:p w14:paraId="095C4C59" w14:textId="77777777" w:rsidR="008C4F0D" w:rsidRPr="007055C3" w:rsidRDefault="008C4F0D" w:rsidP="008C4F0D">
            <w:pPr>
              <w:rPr>
                <w:rFonts w:cs="Arial"/>
                <w:lang w:eastAsia="en-GB"/>
              </w:rPr>
            </w:pPr>
            <w:r w:rsidRPr="007055C3">
              <w:rPr>
                <w:rFonts w:cs="Arial"/>
                <w:lang w:eastAsia="en-GB"/>
              </w:rPr>
              <w:t> </w:t>
            </w:r>
          </w:p>
        </w:tc>
      </w:tr>
      <w:tr w:rsidR="008C4F0D" w:rsidRPr="007055C3" w14:paraId="5C4DEFC2" w14:textId="77777777" w:rsidTr="00F55F83">
        <w:trPr>
          <w:trHeight w:val="310"/>
          <w:jc w:val="center"/>
        </w:trPr>
        <w:tc>
          <w:tcPr>
            <w:tcW w:w="421" w:type="dxa"/>
            <w:tcBorders>
              <w:top w:val="nil"/>
              <w:left w:val="single" w:sz="4" w:space="0" w:color="auto"/>
              <w:bottom w:val="nil"/>
              <w:right w:val="nil"/>
            </w:tcBorders>
            <w:shd w:val="clear" w:color="000000" w:fill="FFFFFF"/>
            <w:noWrap/>
            <w:vAlign w:val="bottom"/>
            <w:hideMark/>
          </w:tcPr>
          <w:p w14:paraId="00182411" w14:textId="77777777" w:rsidR="008C4F0D" w:rsidRPr="007055C3" w:rsidRDefault="008C4F0D" w:rsidP="008C4F0D">
            <w:pPr>
              <w:rPr>
                <w:rFonts w:cs="Arial"/>
                <w:lang w:eastAsia="en-GB"/>
              </w:rPr>
            </w:pPr>
            <w:r w:rsidRPr="007055C3">
              <w:rPr>
                <w:rFonts w:cs="Arial"/>
                <w:lang w:eastAsia="en-GB"/>
              </w:rPr>
              <w:t> </w:t>
            </w:r>
          </w:p>
        </w:tc>
        <w:tc>
          <w:tcPr>
            <w:tcW w:w="1295" w:type="dxa"/>
            <w:tcBorders>
              <w:top w:val="nil"/>
              <w:left w:val="nil"/>
              <w:bottom w:val="double" w:sz="6" w:space="0" w:color="auto"/>
              <w:right w:val="nil"/>
            </w:tcBorders>
            <w:shd w:val="clear" w:color="000000" w:fill="FFFFFF"/>
            <w:noWrap/>
            <w:vAlign w:val="bottom"/>
            <w:hideMark/>
          </w:tcPr>
          <w:p w14:paraId="392C633D" w14:textId="64AF51E7" w:rsidR="008C4F0D" w:rsidRPr="007055C3" w:rsidRDefault="008C4F0D" w:rsidP="008C4F0D">
            <w:pPr>
              <w:jc w:val="right"/>
              <w:rPr>
                <w:rFonts w:cs="Arial"/>
                <w:b/>
                <w:bCs/>
                <w:lang w:eastAsia="en-GB"/>
              </w:rPr>
            </w:pPr>
            <w:r w:rsidRPr="007055C3">
              <w:rPr>
                <w:rFonts w:cs="Arial"/>
                <w:b/>
                <w:bCs/>
                <w:lang w:eastAsia="en-GB"/>
              </w:rPr>
              <w:t>2,318</w:t>
            </w:r>
          </w:p>
        </w:tc>
        <w:tc>
          <w:tcPr>
            <w:tcW w:w="3756" w:type="dxa"/>
            <w:tcBorders>
              <w:top w:val="nil"/>
              <w:left w:val="nil"/>
              <w:bottom w:val="nil"/>
              <w:right w:val="nil"/>
            </w:tcBorders>
            <w:shd w:val="clear" w:color="000000" w:fill="FFFFFF"/>
            <w:noWrap/>
            <w:vAlign w:val="bottom"/>
            <w:hideMark/>
          </w:tcPr>
          <w:p w14:paraId="76E7E470" w14:textId="77777777" w:rsidR="008C4F0D" w:rsidRPr="007055C3" w:rsidRDefault="008C4F0D" w:rsidP="008C4F0D">
            <w:pPr>
              <w:rPr>
                <w:rFonts w:cs="Arial"/>
                <w:lang w:eastAsia="en-GB"/>
              </w:rPr>
            </w:pPr>
            <w:r w:rsidRPr="007055C3">
              <w:rPr>
                <w:rFonts w:cs="Arial"/>
                <w:lang w:eastAsia="en-GB"/>
              </w:rPr>
              <w:t> </w:t>
            </w:r>
          </w:p>
        </w:tc>
        <w:tc>
          <w:tcPr>
            <w:tcW w:w="1186" w:type="dxa"/>
            <w:tcBorders>
              <w:top w:val="single" w:sz="4" w:space="0" w:color="auto"/>
              <w:left w:val="nil"/>
              <w:bottom w:val="double" w:sz="6" w:space="0" w:color="auto"/>
              <w:right w:val="nil"/>
            </w:tcBorders>
            <w:shd w:val="clear" w:color="000000" w:fill="FFFFFF"/>
            <w:noWrap/>
            <w:vAlign w:val="bottom"/>
            <w:hideMark/>
          </w:tcPr>
          <w:p w14:paraId="39339CE4" w14:textId="24C5EFF2" w:rsidR="008C4F0D" w:rsidRPr="007055C3" w:rsidRDefault="008C4F0D" w:rsidP="008C4F0D">
            <w:pPr>
              <w:jc w:val="right"/>
              <w:rPr>
                <w:rFonts w:cs="Arial"/>
                <w:b/>
                <w:bCs/>
                <w:lang w:eastAsia="en-GB"/>
              </w:rPr>
            </w:pPr>
            <w:r>
              <w:rPr>
                <w:rFonts w:cs="Arial"/>
                <w:b/>
                <w:bCs/>
                <w:lang w:eastAsia="en-GB"/>
              </w:rPr>
              <w:t>1,9</w:t>
            </w:r>
            <w:r w:rsidR="00F760C4">
              <w:rPr>
                <w:rFonts w:cs="Arial"/>
                <w:b/>
                <w:bCs/>
                <w:lang w:eastAsia="en-GB"/>
              </w:rPr>
              <w:t>64</w:t>
            </w:r>
          </w:p>
        </w:tc>
        <w:tc>
          <w:tcPr>
            <w:tcW w:w="283" w:type="dxa"/>
            <w:tcBorders>
              <w:top w:val="nil"/>
              <w:left w:val="nil"/>
              <w:bottom w:val="nil"/>
              <w:right w:val="single" w:sz="4" w:space="0" w:color="auto"/>
            </w:tcBorders>
            <w:shd w:val="clear" w:color="000000" w:fill="FFFFFF"/>
            <w:noWrap/>
            <w:vAlign w:val="bottom"/>
            <w:hideMark/>
          </w:tcPr>
          <w:p w14:paraId="0C16A894" w14:textId="77777777" w:rsidR="008C4F0D" w:rsidRPr="007055C3" w:rsidRDefault="008C4F0D" w:rsidP="008C4F0D">
            <w:pPr>
              <w:rPr>
                <w:rFonts w:cs="Arial"/>
                <w:lang w:eastAsia="en-GB"/>
              </w:rPr>
            </w:pPr>
            <w:r w:rsidRPr="007055C3">
              <w:rPr>
                <w:rFonts w:cs="Arial"/>
                <w:lang w:eastAsia="en-GB"/>
              </w:rPr>
              <w:t> </w:t>
            </w:r>
          </w:p>
        </w:tc>
      </w:tr>
      <w:tr w:rsidR="00080DE9" w:rsidRPr="007055C3" w14:paraId="66347CBC" w14:textId="77777777" w:rsidTr="00F55F83">
        <w:trPr>
          <w:trHeight w:val="310"/>
          <w:jc w:val="center"/>
        </w:trPr>
        <w:tc>
          <w:tcPr>
            <w:tcW w:w="421" w:type="dxa"/>
            <w:tcBorders>
              <w:top w:val="nil"/>
              <w:left w:val="single" w:sz="4" w:space="0" w:color="auto"/>
              <w:bottom w:val="single" w:sz="4" w:space="0" w:color="auto"/>
              <w:right w:val="nil"/>
            </w:tcBorders>
            <w:shd w:val="clear" w:color="000000" w:fill="FFFFFF"/>
            <w:noWrap/>
            <w:vAlign w:val="bottom"/>
            <w:hideMark/>
          </w:tcPr>
          <w:p w14:paraId="34F3D5F2" w14:textId="77777777" w:rsidR="00080DE9" w:rsidRPr="007055C3" w:rsidRDefault="00080DE9" w:rsidP="0070459C">
            <w:pPr>
              <w:rPr>
                <w:rFonts w:cs="Arial"/>
                <w:lang w:eastAsia="en-GB"/>
              </w:rPr>
            </w:pPr>
            <w:r w:rsidRPr="007055C3">
              <w:rPr>
                <w:rFonts w:cs="Arial"/>
                <w:lang w:eastAsia="en-GB"/>
              </w:rPr>
              <w:t> </w:t>
            </w:r>
          </w:p>
        </w:tc>
        <w:tc>
          <w:tcPr>
            <w:tcW w:w="1295" w:type="dxa"/>
            <w:tcBorders>
              <w:top w:val="nil"/>
              <w:left w:val="nil"/>
              <w:bottom w:val="single" w:sz="4" w:space="0" w:color="auto"/>
              <w:right w:val="nil"/>
            </w:tcBorders>
            <w:shd w:val="clear" w:color="000000" w:fill="FFFFFF"/>
            <w:noWrap/>
            <w:vAlign w:val="bottom"/>
            <w:hideMark/>
          </w:tcPr>
          <w:p w14:paraId="0963710B" w14:textId="77777777" w:rsidR="00080DE9" w:rsidRPr="007055C3" w:rsidRDefault="00080DE9" w:rsidP="0070459C">
            <w:pPr>
              <w:rPr>
                <w:rFonts w:cs="Arial"/>
                <w:lang w:eastAsia="en-GB"/>
              </w:rPr>
            </w:pPr>
            <w:r w:rsidRPr="007055C3">
              <w:rPr>
                <w:rFonts w:cs="Arial"/>
                <w:lang w:eastAsia="en-GB"/>
              </w:rPr>
              <w:t> </w:t>
            </w:r>
          </w:p>
        </w:tc>
        <w:tc>
          <w:tcPr>
            <w:tcW w:w="3756" w:type="dxa"/>
            <w:tcBorders>
              <w:top w:val="nil"/>
              <w:left w:val="nil"/>
              <w:bottom w:val="single" w:sz="4" w:space="0" w:color="auto"/>
              <w:right w:val="nil"/>
            </w:tcBorders>
            <w:shd w:val="clear" w:color="000000" w:fill="FFFFFF"/>
            <w:noWrap/>
            <w:vAlign w:val="bottom"/>
            <w:hideMark/>
          </w:tcPr>
          <w:p w14:paraId="46F47B74" w14:textId="77777777" w:rsidR="00080DE9" w:rsidRPr="007055C3" w:rsidRDefault="00080DE9" w:rsidP="0070459C">
            <w:pPr>
              <w:rPr>
                <w:rFonts w:cs="Arial"/>
                <w:lang w:eastAsia="en-GB"/>
              </w:rPr>
            </w:pPr>
            <w:r w:rsidRPr="007055C3">
              <w:rPr>
                <w:rFonts w:cs="Arial"/>
                <w:lang w:eastAsia="en-GB"/>
              </w:rPr>
              <w:t> </w:t>
            </w:r>
          </w:p>
        </w:tc>
        <w:tc>
          <w:tcPr>
            <w:tcW w:w="1186" w:type="dxa"/>
            <w:tcBorders>
              <w:top w:val="nil"/>
              <w:left w:val="nil"/>
              <w:bottom w:val="single" w:sz="4" w:space="0" w:color="auto"/>
              <w:right w:val="nil"/>
            </w:tcBorders>
            <w:shd w:val="clear" w:color="000000" w:fill="FFFFFF"/>
            <w:noWrap/>
            <w:vAlign w:val="bottom"/>
            <w:hideMark/>
          </w:tcPr>
          <w:p w14:paraId="2C30DD6B" w14:textId="77777777" w:rsidR="00080DE9" w:rsidRPr="007055C3" w:rsidRDefault="00080DE9" w:rsidP="0070459C">
            <w:pPr>
              <w:rPr>
                <w:rFonts w:cs="Arial"/>
                <w:lang w:eastAsia="en-GB"/>
              </w:rPr>
            </w:pPr>
            <w:r w:rsidRPr="007055C3">
              <w:rPr>
                <w:rFonts w:cs="Arial"/>
                <w:lang w:eastAsia="en-GB"/>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9AB2843" w14:textId="77777777" w:rsidR="00080DE9" w:rsidRPr="007055C3" w:rsidRDefault="00080DE9" w:rsidP="0070459C">
            <w:pPr>
              <w:rPr>
                <w:rFonts w:cs="Arial"/>
                <w:lang w:eastAsia="en-GB"/>
              </w:rPr>
            </w:pPr>
            <w:r w:rsidRPr="007055C3">
              <w:rPr>
                <w:rFonts w:cs="Arial"/>
                <w:lang w:eastAsia="en-GB"/>
              </w:rPr>
              <w:t> </w:t>
            </w:r>
          </w:p>
        </w:tc>
      </w:tr>
    </w:tbl>
    <w:p w14:paraId="5A0DD179" w14:textId="77777777" w:rsidR="00080DE9" w:rsidRPr="007055C3" w:rsidRDefault="00080DE9" w:rsidP="0070459C"/>
    <w:p w14:paraId="485A48CB" w14:textId="0A009158" w:rsidR="00E00863" w:rsidRPr="00F760C4" w:rsidRDefault="00B144D1" w:rsidP="0070459C">
      <w:pPr>
        <w:pStyle w:val="Subtitle"/>
        <w:numPr>
          <w:ilvl w:val="0"/>
          <w:numId w:val="47"/>
        </w:numPr>
        <w:tabs>
          <w:tab w:val="left" w:pos="-709"/>
          <w:tab w:val="left" w:pos="-284"/>
          <w:tab w:val="left" w:pos="-142"/>
          <w:tab w:val="left" w:pos="567"/>
        </w:tabs>
        <w:spacing w:line="240" w:lineRule="atLeast"/>
        <w:ind w:left="0" w:right="680" w:firstLine="0"/>
        <w:rPr>
          <w:rFonts w:ascii="Arial" w:eastAsia="Times New Roman" w:hAnsi="Arial"/>
          <w:b/>
          <w:i w:val="0"/>
          <w:iCs w:val="0"/>
          <w:spacing w:val="0"/>
          <w:sz w:val="23"/>
          <w:szCs w:val="23"/>
          <w:u w:val="none"/>
          <w:lang w:eastAsia="en-US"/>
        </w:rPr>
      </w:pPr>
      <w:bookmarkStart w:id="422" w:name="_MON_1369728082"/>
      <w:bookmarkStart w:id="423" w:name="_MON_1372668351"/>
      <w:bookmarkStart w:id="424" w:name="_MON_1372668405"/>
      <w:bookmarkStart w:id="425" w:name="_MON_1372668412"/>
      <w:bookmarkStart w:id="426" w:name="_MON_1372668596"/>
      <w:bookmarkStart w:id="427" w:name="_MON_1372668946"/>
      <w:bookmarkStart w:id="428" w:name="_MON_1395564797"/>
      <w:bookmarkStart w:id="429" w:name="_MON_1401094776"/>
      <w:bookmarkStart w:id="430" w:name="_MON_1401259298"/>
      <w:bookmarkStart w:id="431" w:name="_MON_1401537083"/>
      <w:bookmarkStart w:id="432" w:name="_MON_1401539413"/>
      <w:bookmarkStart w:id="433" w:name="_MON_1429981880"/>
      <w:bookmarkStart w:id="434" w:name="_MON_1431795898"/>
      <w:bookmarkStart w:id="435" w:name="_MON_1362489570"/>
      <w:bookmarkStart w:id="436" w:name="_MON_1363761556"/>
      <w:bookmarkStart w:id="437" w:name="_MON_1364128834"/>
      <w:bookmarkStart w:id="438" w:name="_MON_1364128916"/>
      <w:bookmarkStart w:id="439" w:name="_MON_1368530041"/>
      <w:bookmarkStart w:id="440" w:name="_MON_1368531242"/>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7055C3">
        <w:rPr>
          <w:rFonts w:ascii="Arial" w:eastAsia="Times New Roman" w:hAnsi="Arial"/>
          <w:b/>
          <w:i w:val="0"/>
          <w:iCs w:val="0"/>
          <w:spacing w:val="0"/>
          <w:sz w:val="23"/>
          <w:szCs w:val="23"/>
          <w:u w:val="none"/>
        </w:rPr>
        <w:br w:type="page"/>
      </w:r>
      <w:bookmarkStart w:id="441" w:name="_Toc167965821"/>
      <w:r w:rsidR="00203DC8" w:rsidRPr="00F760C4">
        <w:rPr>
          <w:rStyle w:val="Heading2Char"/>
          <w:i w:val="0"/>
          <w:iCs w:val="0"/>
          <w:u w:val="none"/>
        </w:rPr>
        <w:lastRenderedPageBreak/>
        <w:t>S</w:t>
      </w:r>
      <w:r w:rsidR="00E00863" w:rsidRPr="00F760C4">
        <w:rPr>
          <w:rStyle w:val="Heading2Char"/>
          <w:i w:val="0"/>
          <w:iCs w:val="0"/>
          <w:u w:val="none"/>
        </w:rPr>
        <w:t xml:space="preserve">hort Term Creditors </w:t>
      </w:r>
      <w:r w:rsidR="007D68CF" w:rsidRPr="00F760C4">
        <w:rPr>
          <w:rStyle w:val="Heading2Char"/>
          <w:i w:val="0"/>
          <w:iCs w:val="0"/>
          <w:u w:val="none"/>
        </w:rPr>
        <w:t>and</w:t>
      </w:r>
      <w:r w:rsidR="00E00863" w:rsidRPr="00F760C4">
        <w:rPr>
          <w:rStyle w:val="Heading2Char"/>
          <w:i w:val="0"/>
          <w:iCs w:val="0"/>
          <w:u w:val="none"/>
        </w:rPr>
        <w:t xml:space="preserve"> Receipts in Advance</w:t>
      </w:r>
      <w:bookmarkEnd w:id="441"/>
      <w:r w:rsidR="0063006B" w:rsidRPr="00F760C4">
        <w:rPr>
          <w:rFonts w:ascii="Arial" w:eastAsia="Times New Roman" w:hAnsi="Arial"/>
          <w:b/>
          <w:i w:val="0"/>
          <w:iCs w:val="0"/>
          <w:spacing w:val="0"/>
          <w:sz w:val="23"/>
          <w:szCs w:val="23"/>
          <w:u w:val="none"/>
          <w:lang w:eastAsia="en-US"/>
        </w:rPr>
        <w:t xml:space="preserve"> </w:t>
      </w:r>
    </w:p>
    <w:p w14:paraId="60B41B15" w14:textId="77777777" w:rsidR="0063006B" w:rsidRPr="00F760C4" w:rsidRDefault="0063006B" w:rsidP="0070459C"/>
    <w:tbl>
      <w:tblPr>
        <w:tblW w:w="5807" w:type="dxa"/>
        <w:jc w:val="center"/>
        <w:tblLook w:val="04A0" w:firstRow="1" w:lastRow="0" w:firstColumn="1" w:lastColumn="0" w:noHBand="0" w:noVBand="1"/>
      </w:tblPr>
      <w:tblGrid>
        <w:gridCol w:w="1176"/>
        <w:gridCol w:w="3176"/>
        <w:gridCol w:w="1455"/>
      </w:tblGrid>
      <w:tr w:rsidR="0063006B" w:rsidRPr="0063006B" w14:paraId="0A189EB0" w14:textId="77777777" w:rsidTr="003B6AB1">
        <w:trPr>
          <w:trHeight w:val="310"/>
          <w:jc w:val="center"/>
        </w:trPr>
        <w:tc>
          <w:tcPr>
            <w:tcW w:w="1176" w:type="dxa"/>
            <w:tcBorders>
              <w:top w:val="single" w:sz="4" w:space="0" w:color="auto"/>
              <w:left w:val="single" w:sz="4" w:space="0" w:color="auto"/>
              <w:bottom w:val="single" w:sz="4" w:space="0" w:color="auto"/>
              <w:right w:val="nil"/>
            </w:tcBorders>
            <w:shd w:val="clear" w:color="000000" w:fill="000000"/>
            <w:noWrap/>
            <w:vAlign w:val="bottom"/>
            <w:hideMark/>
          </w:tcPr>
          <w:p w14:paraId="7AB450DD" w14:textId="77777777" w:rsidR="0063006B" w:rsidRPr="0063006B" w:rsidRDefault="0063006B" w:rsidP="0070459C">
            <w:pPr>
              <w:rPr>
                <w:rFonts w:ascii="Calibri" w:hAnsi="Calibri" w:cs="Calibri"/>
                <w:color w:val="000000"/>
                <w:sz w:val="22"/>
                <w:szCs w:val="22"/>
                <w:lang w:eastAsia="en-GB"/>
              </w:rPr>
            </w:pPr>
            <w:r w:rsidRPr="0063006B">
              <w:rPr>
                <w:rFonts w:ascii="Calibri" w:hAnsi="Calibri" w:cs="Calibri"/>
                <w:color w:val="000000"/>
                <w:sz w:val="22"/>
                <w:szCs w:val="22"/>
                <w:lang w:eastAsia="en-GB"/>
              </w:rPr>
              <w:t> </w:t>
            </w:r>
          </w:p>
        </w:tc>
        <w:tc>
          <w:tcPr>
            <w:tcW w:w="3176" w:type="dxa"/>
            <w:tcBorders>
              <w:top w:val="single" w:sz="4" w:space="0" w:color="auto"/>
              <w:left w:val="nil"/>
              <w:bottom w:val="single" w:sz="4" w:space="0" w:color="auto"/>
              <w:right w:val="nil"/>
            </w:tcBorders>
            <w:shd w:val="clear" w:color="000000" w:fill="000000"/>
            <w:noWrap/>
            <w:vAlign w:val="bottom"/>
            <w:hideMark/>
          </w:tcPr>
          <w:p w14:paraId="728F30BC" w14:textId="77777777" w:rsidR="0063006B" w:rsidRPr="0063006B" w:rsidRDefault="0063006B" w:rsidP="0070459C">
            <w:pPr>
              <w:rPr>
                <w:rFonts w:ascii="Calibri" w:hAnsi="Calibri" w:cs="Calibri"/>
                <w:color w:val="000000"/>
                <w:sz w:val="22"/>
                <w:szCs w:val="22"/>
                <w:lang w:eastAsia="en-GB"/>
              </w:rPr>
            </w:pPr>
            <w:r w:rsidRPr="0063006B">
              <w:rPr>
                <w:rFonts w:ascii="Calibri" w:hAnsi="Calibri" w:cs="Calibri"/>
                <w:color w:val="000000"/>
                <w:sz w:val="22"/>
                <w:szCs w:val="22"/>
                <w:lang w:eastAsia="en-GB"/>
              </w:rPr>
              <w:t> </w:t>
            </w:r>
          </w:p>
        </w:tc>
        <w:tc>
          <w:tcPr>
            <w:tcW w:w="1455" w:type="dxa"/>
            <w:tcBorders>
              <w:top w:val="single" w:sz="4" w:space="0" w:color="auto"/>
              <w:left w:val="nil"/>
              <w:bottom w:val="single" w:sz="4" w:space="0" w:color="auto"/>
              <w:right w:val="single" w:sz="4" w:space="0" w:color="auto"/>
            </w:tcBorders>
            <w:shd w:val="clear" w:color="000000" w:fill="000000"/>
            <w:noWrap/>
            <w:vAlign w:val="bottom"/>
            <w:hideMark/>
          </w:tcPr>
          <w:p w14:paraId="7A4D7F46" w14:textId="77777777" w:rsidR="0063006B" w:rsidRPr="0063006B" w:rsidRDefault="0063006B" w:rsidP="0070459C">
            <w:pPr>
              <w:rPr>
                <w:rFonts w:ascii="Calibri" w:hAnsi="Calibri" w:cs="Calibri"/>
                <w:color w:val="000000"/>
                <w:sz w:val="22"/>
                <w:szCs w:val="22"/>
                <w:lang w:eastAsia="en-GB"/>
              </w:rPr>
            </w:pPr>
            <w:r w:rsidRPr="0063006B">
              <w:rPr>
                <w:rFonts w:ascii="Calibri" w:hAnsi="Calibri" w:cs="Calibri"/>
                <w:color w:val="000000"/>
                <w:sz w:val="22"/>
                <w:szCs w:val="22"/>
                <w:lang w:eastAsia="en-GB"/>
              </w:rPr>
              <w:t> </w:t>
            </w:r>
          </w:p>
        </w:tc>
      </w:tr>
      <w:tr w:rsidR="0063006B" w:rsidRPr="0063006B" w14:paraId="4879AEC8" w14:textId="77777777" w:rsidTr="003B6AB1">
        <w:trPr>
          <w:trHeight w:val="300"/>
          <w:jc w:val="center"/>
        </w:trPr>
        <w:tc>
          <w:tcPr>
            <w:tcW w:w="1176" w:type="dxa"/>
            <w:tcBorders>
              <w:top w:val="nil"/>
              <w:left w:val="single" w:sz="4" w:space="0" w:color="auto"/>
              <w:bottom w:val="nil"/>
              <w:right w:val="nil"/>
            </w:tcBorders>
            <w:shd w:val="clear" w:color="000000" w:fill="000000"/>
            <w:noWrap/>
            <w:vAlign w:val="bottom"/>
            <w:hideMark/>
          </w:tcPr>
          <w:p w14:paraId="417C64C8" w14:textId="77777777" w:rsidR="0063006B" w:rsidRPr="007055C3" w:rsidRDefault="0063006B" w:rsidP="0070459C">
            <w:pPr>
              <w:jc w:val="center"/>
              <w:rPr>
                <w:rFonts w:cs="Arial"/>
                <w:b/>
                <w:bCs/>
                <w:color w:val="FFFFFF"/>
                <w:sz w:val="22"/>
                <w:szCs w:val="22"/>
                <w:lang w:eastAsia="en-GB"/>
              </w:rPr>
            </w:pPr>
            <w:r w:rsidRPr="007055C3">
              <w:rPr>
                <w:rFonts w:cs="Arial"/>
                <w:b/>
                <w:bCs/>
                <w:color w:val="FFFFFF"/>
                <w:sz w:val="22"/>
                <w:szCs w:val="22"/>
                <w:lang w:eastAsia="en-GB"/>
              </w:rPr>
              <w:t xml:space="preserve">31 March </w:t>
            </w:r>
          </w:p>
        </w:tc>
        <w:tc>
          <w:tcPr>
            <w:tcW w:w="3176" w:type="dxa"/>
            <w:tcBorders>
              <w:top w:val="nil"/>
              <w:left w:val="nil"/>
              <w:bottom w:val="nil"/>
              <w:right w:val="nil"/>
            </w:tcBorders>
            <w:shd w:val="clear" w:color="000000" w:fill="000000"/>
            <w:noWrap/>
            <w:vAlign w:val="bottom"/>
            <w:hideMark/>
          </w:tcPr>
          <w:p w14:paraId="5C333362" w14:textId="77777777" w:rsidR="0063006B" w:rsidRPr="007055C3" w:rsidRDefault="0063006B" w:rsidP="0070459C">
            <w:pPr>
              <w:rPr>
                <w:rFonts w:cs="Arial"/>
                <w:color w:val="FFFFFF"/>
                <w:sz w:val="22"/>
                <w:szCs w:val="22"/>
                <w:lang w:eastAsia="en-GB"/>
              </w:rPr>
            </w:pPr>
            <w:r w:rsidRPr="007055C3">
              <w:rPr>
                <w:rFonts w:cs="Arial"/>
                <w:color w:val="FFFFFF"/>
                <w:sz w:val="22"/>
                <w:szCs w:val="22"/>
                <w:lang w:eastAsia="en-GB"/>
              </w:rPr>
              <w:t> </w:t>
            </w:r>
          </w:p>
        </w:tc>
        <w:tc>
          <w:tcPr>
            <w:tcW w:w="1455" w:type="dxa"/>
            <w:tcBorders>
              <w:top w:val="nil"/>
              <w:left w:val="nil"/>
              <w:bottom w:val="nil"/>
              <w:right w:val="single" w:sz="4" w:space="0" w:color="auto"/>
            </w:tcBorders>
            <w:shd w:val="clear" w:color="000000" w:fill="000000"/>
            <w:noWrap/>
            <w:vAlign w:val="bottom"/>
            <w:hideMark/>
          </w:tcPr>
          <w:p w14:paraId="33471191" w14:textId="77777777" w:rsidR="0063006B" w:rsidRPr="0063006B" w:rsidRDefault="0063006B" w:rsidP="0070459C">
            <w:pPr>
              <w:jc w:val="center"/>
              <w:rPr>
                <w:rFonts w:cs="Arial"/>
                <w:b/>
                <w:bCs/>
                <w:color w:val="FFFFFF"/>
                <w:sz w:val="22"/>
                <w:szCs w:val="22"/>
                <w:lang w:eastAsia="en-GB"/>
              </w:rPr>
            </w:pPr>
            <w:r w:rsidRPr="007055C3">
              <w:rPr>
                <w:rFonts w:cs="Arial"/>
                <w:b/>
                <w:bCs/>
                <w:color w:val="FFFFFF"/>
                <w:sz w:val="22"/>
                <w:szCs w:val="22"/>
                <w:lang w:eastAsia="en-GB"/>
              </w:rPr>
              <w:t>31 March</w:t>
            </w:r>
            <w:r w:rsidRPr="0063006B">
              <w:rPr>
                <w:rFonts w:cs="Arial"/>
                <w:b/>
                <w:bCs/>
                <w:color w:val="FFFFFF"/>
                <w:sz w:val="22"/>
                <w:szCs w:val="22"/>
                <w:lang w:eastAsia="en-GB"/>
              </w:rPr>
              <w:t xml:space="preserve"> </w:t>
            </w:r>
          </w:p>
        </w:tc>
      </w:tr>
      <w:tr w:rsidR="0063006B" w:rsidRPr="0063006B" w14:paraId="26521F7D" w14:textId="77777777" w:rsidTr="003B6AB1">
        <w:trPr>
          <w:trHeight w:val="300"/>
          <w:jc w:val="center"/>
        </w:trPr>
        <w:tc>
          <w:tcPr>
            <w:tcW w:w="1176" w:type="dxa"/>
            <w:tcBorders>
              <w:top w:val="nil"/>
              <w:left w:val="single" w:sz="4" w:space="0" w:color="auto"/>
              <w:bottom w:val="nil"/>
              <w:right w:val="nil"/>
            </w:tcBorders>
            <w:shd w:val="clear" w:color="000000" w:fill="000000"/>
            <w:noWrap/>
            <w:vAlign w:val="bottom"/>
            <w:hideMark/>
          </w:tcPr>
          <w:p w14:paraId="660488D9" w14:textId="1D18A3B1" w:rsidR="0063006B" w:rsidRPr="0063006B" w:rsidRDefault="0063006B" w:rsidP="0070459C">
            <w:pPr>
              <w:jc w:val="center"/>
              <w:rPr>
                <w:rFonts w:cs="Arial"/>
                <w:b/>
                <w:bCs/>
                <w:color w:val="FFFFFF"/>
                <w:sz w:val="22"/>
                <w:szCs w:val="22"/>
                <w:lang w:eastAsia="en-GB"/>
              </w:rPr>
            </w:pPr>
            <w:r w:rsidRPr="0063006B">
              <w:rPr>
                <w:rFonts w:cs="Arial"/>
                <w:b/>
                <w:bCs/>
                <w:color w:val="FFFFFF"/>
                <w:sz w:val="22"/>
                <w:szCs w:val="22"/>
                <w:lang w:eastAsia="en-GB"/>
              </w:rPr>
              <w:t>202</w:t>
            </w:r>
            <w:r w:rsidR="008C4F0D">
              <w:rPr>
                <w:rFonts w:cs="Arial"/>
                <w:b/>
                <w:bCs/>
                <w:color w:val="FFFFFF"/>
                <w:sz w:val="22"/>
                <w:szCs w:val="22"/>
                <w:lang w:eastAsia="en-GB"/>
              </w:rPr>
              <w:t>3</w:t>
            </w:r>
          </w:p>
        </w:tc>
        <w:tc>
          <w:tcPr>
            <w:tcW w:w="3176" w:type="dxa"/>
            <w:tcBorders>
              <w:top w:val="nil"/>
              <w:left w:val="nil"/>
              <w:bottom w:val="nil"/>
              <w:right w:val="nil"/>
            </w:tcBorders>
            <w:shd w:val="clear" w:color="000000" w:fill="000000"/>
            <w:noWrap/>
            <w:vAlign w:val="bottom"/>
            <w:hideMark/>
          </w:tcPr>
          <w:p w14:paraId="5702D08F" w14:textId="77777777" w:rsidR="0063006B" w:rsidRPr="0063006B" w:rsidRDefault="0063006B" w:rsidP="0070459C">
            <w:pPr>
              <w:rPr>
                <w:rFonts w:cs="Arial"/>
                <w:color w:val="FFFFFF"/>
                <w:sz w:val="22"/>
                <w:szCs w:val="22"/>
                <w:lang w:eastAsia="en-GB"/>
              </w:rPr>
            </w:pPr>
            <w:r w:rsidRPr="0063006B">
              <w:rPr>
                <w:rFonts w:cs="Arial"/>
                <w:color w:val="FFFFFF"/>
                <w:sz w:val="22"/>
                <w:szCs w:val="22"/>
                <w:lang w:eastAsia="en-GB"/>
              </w:rPr>
              <w:t> </w:t>
            </w:r>
          </w:p>
        </w:tc>
        <w:tc>
          <w:tcPr>
            <w:tcW w:w="1455" w:type="dxa"/>
            <w:tcBorders>
              <w:top w:val="nil"/>
              <w:left w:val="nil"/>
              <w:bottom w:val="nil"/>
              <w:right w:val="single" w:sz="4" w:space="0" w:color="auto"/>
            </w:tcBorders>
            <w:shd w:val="clear" w:color="000000" w:fill="000000"/>
            <w:noWrap/>
            <w:vAlign w:val="bottom"/>
            <w:hideMark/>
          </w:tcPr>
          <w:p w14:paraId="2207F516" w14:textId="749FE525" w:rsidR="0063006B" w:rsidRPr="0063006B" w:rsidRDefault="0063006B" w:rsidP="0070459C">
            <w:pPr>
              <w:jc w:val="center"/>
              <w:rPr>
                <w:rFonts w:cs="Arial"/>
                <w:b/>
                <w:bCs/>
                <w:color w:val="FFFFFF"/>
                <w:sz w:val="22"/>
                <w:szCs w:val="22"/>
                <w:lang w:eastAsia="en-GB"/>
              </w:rPr>
            </w:pPr>
            <w:r w:rsidRPr="0063006B">
              <w:rPr>
                <w:rFonts w:cs="Arial"/>
                <w:b/>
                <w:bCs/>
                <w:color w:val="FFFFFF"/>
                <w:sz w:val="22"/>
                <w:szCs w:val="22"/>
                <w:lang w:eastAsia="en-GB"/>
              </w:rPr>
              <w:t>202</w:t>
            </w:r>
            <w:r w:rsidR="008C4F0D">
              <w:rPr>
                <w:rFonts w:cs="Arial"/>
                <w:b/>
                <w:bCs/>
                <w:color w:val="FFFFFF"/>
                <w:sz w:val="22"/>
                <w:szCs w:val="22"/>
                <w:lang w:eastAsia="en-GB"/>
              </w:rPr>
              <w:t>4</w:t>
            </w:r>
          </w:p>
        </w:tc>
      </w:tr>
      <w:tr w:rsidR="0063006B" w:rsidRPr="0063006B" w14:paraId="6E94772E" w14:textId="77777777" w:rsidTr="003B6AB1">
        <w:trPr>
          <w:trHeight w:val="310"/>
          <w:jc w:val="center"/>
        </w:trPr>
        <w:tc>
          <w:tcPr>
            <w:tcW w:w="1176" w:type="dxa"/>
            <w:tcBorders>
              <w:top w:val="nil"/>
              <w:left w:val="single" w:sz="4" w:space="0" w:color="auto"/>
              <w:bottom w:val="nil"/>
              <w:right w:val="nil"/>
            </w:tcBorders>
            <w:shd w:val="clear" w:color="000000" w:fill="000000"/>
            <w:noWrap/>
            <w:vAlign w:val="bottom"/>
            <w:hideMark/>
          </w:tcPr>
          <w:p w14:paraId="7DF6C1D3" w14:textId="77777777" w:rsidR="0063006B" w:rsidRPr="0063006B" w:rsidRDefault="0063006B" w:rsidP="0070459C">
            <w:pPr>
              <w:jc w:val="center"/>
              <w:rPr>
                <w:rFonts w:cs="Arial"/>
                <w:b/>
                <w:bCs/>
                <w:color w:val="FFFFFF"/>
                <w:sz w:val="22"/>
                <w:szCs w:val="22"/>
                <w:lang w:eastAsia="en-GB"/>
              </w:rPr>
            </w:pPr>
            <w:r w:rsidRPr="0063006B">
              <w:rPr>
                <w:rFonts w:cs="Arial"/>
                <w:b/>
                <w:bCs/>
                <w:color w:val="FFFFFF"/>
                <w:sz w:val="22"/>
                <w:szCs w:val="22"/>
                <w:lang w:eastAsia="en-GB"/>
              </w:rPr>
              <w:t>£000</w:t>
            </w:r>
          </w:p>
        </w:tc>
        <w:tc>
          <w:tcPr>
            <w:tcW w:w="3176" w:type="dxa"/>
            <w:tcBorders>
              <w:top w:val="nil"/>
              <w:left w:val="nil"/>
              <w:bottom w:val="nil"/>
              <w:right w:val="nil"/>
            </w:tcBorders>
            <w:shd w:val="clear" w:color="000000" w:fill="000000"/>
            <w:noWrap/>
            <w:vAlign w:val="bottom"/>
            <w:hideMark/>
          </w:tcPr>
          <w:p w14:paraId="7E76B1E3" w14:textId="77777777" w:rsidR="0063006B" w:rsidRPr="0063006B" w:rsidRDefault="0063006B" w:rsidP="0070459C">
            <w:pPr>
              <w:rPr>
                <w:rFonts w:cs="Arial"/>
                <w:color w:val="FFFFFF"/>
                <w:sz w:val="22"/>
                <w:szCs w:val="22"/>
                <w:lang w:eastAsia="en-GB"/>
              </w:rPr>
            </w:pPr>
            <w:r w:rsidRPr="0063006B">
              <w:rPr>
                <w:rFonts w:cs="Arial"/>
                <w:color w:val="FFFFFF"/>
                <w:sz w:val="22"/>
                <w:szCs w:val="22"/>
                <w:lang w:eastAsia="en-GB"/>
              </w:rPr>
              <w:t> </w:t>
            </w:r>
          </w:p>
        </w:tc>
        <w:tc>
          <w:tcPr>
            <w:tcW w:w="1455" w:type="dxa"/>
            <w:tcBorders>
              <w:top w:val="nil"/>
              <w:left w:val="nil"/>
              <w:bottom w:val="nil"/>
              <w:right w:val="single" w:sz="4" w:space="0" w:color="auto"/>
            </w:tcBorders>
            <w:shd w:val="clear" w:color="000000" w:fill="000000"/>
            <w:noWrap/>
            <w:vAlign w:val="bottom"/>
            <w:hideMark/>
          </w:tcPr>
          <w:p w14:paraId="2A934395" w14:textId="77777777" w:rsidR="0063006B" w:rsidRPr="0063006B" w:rsidRDefault="0063006B" w:rsidP="0070459C">
            <w:pPr>
              <w:jc w:val="center"/>
              <w:rPr>
                <w:rFonts w:cs="Arial"/>
                <w:b/>
                <w:bCs/>
                <w:color w:val="FFFFFF"/>
                <w:sz w:val="22"/>
                <w:szCs w:val="22"/>
                <w:lang w:eastAsia="en-GB"/>
              </w:rPr>
            </w:pPr>
            <w:r w:rsidRPr="0063006B">
              <w:rPr>
                <w:rFonts w:cs="Arial"/>
                <w:b/>
                <w:bCs/>
                <w:color w:val="FFFFFF"/>
                <w:sz w:val="22"/>
                <w:szCs w:val="22"/>
                <w:lang w:eastAsia="en-GB"/>
              </w:rPr>
              <w:t>£000</w:t>
            </w:r>
          </w:p>
        </w:tc>
      </w:tr>
      <w:tr w:rsidR="0063006B" w:rsidRPr="0063006B" w14:paraId="2429B839" w14:textId="77777777" w:rsidTr="003B6AB1">
        <w:trPr>
          <w:trHeight w:val="300"/>
          <w:jc w:val="center"/>
        </w:trPr>
        <w:tc>
          <w:tcPr>
            <w:tcW w:w="1176" w:type="dxa"/>
            <w:tcBorders>
              <w:top w:val="nil"/>
              <w:left w:val="single" w:sz="4" w:space="0" w:color="auto"/>
              <w:bottom w:val="nil"/>
              <w:right w:val="nil"/>
            </w:tcBorders>
            <w:shd w:val="clear" w:color="000000" w:fill="FFFFFF"/>
            <w:noWrap/>
            <w:vAlign w:val="bottom"/>
            <w:hideMark/>
          </w:tcPr>
          <w:p w14:paraId="1907EFDD" w14:textId="77777777" w:rsidR="0063006B" w:rsidRPr="0063006B" w:rsidRDefault="0063006B" w:rsidP="0070459C">
            <w:pPr>
              <w:jc w:val="right"/>
              <w:rPr>
                <w:rFonts w:cs="Arial"/>
                <w:lang w:eastAsia="en-GB"/>
              </w:rPr>
            </w:pPr>
            <w:r w:rsidRPr="0063006B">
              <w:rPr>
                <w:rFonts w:cs="Arial"/>
                <w:lang w:eastAsia="en-GB"/>
              </w:rPr>
              <w:t> </w:t>
            </w:r>
          </w:p>
        </w:tc>
        <w:tc>
          <w:tcPr>
            <w:tcW w:w="3176" w:type="dxa"/>
            <w:tcBorders>
              <w:top w:val="nil"/>
              <w:left w:val="nil"/>
              <w:bottom w:val="nil"/>
              <w:right w:val="nil"/>
            </w:tcBorders>
            <w:shd w:val="clear" w:color="000000" w:fill="FFFFFF"/>
            <w:noWrap/>
            <w:vAlign w:val="bottom"/>
            <w:hideMark/>
          </w:tcPr>
          <w:p w14:paraId="6089AEE0" w14:textId="77777777" w:rsidR="0063006B" w:rsidRPr="0063006B" w:rsidRDefault="0063006B" w:rsidP="0070459C">
            <w:pPr>
              <w:rPr>
                <w:rFonts w:cs="Arial"/>
                <w:lang w:eastAsia="en-GB"/>
              </w:rPr>
            </w:pPr>
            <w:r w:rsidRPr="0063006B">
              <w:rPr>
                <w:rFonts w:cs="Arial"/>
                <w:lang w:eastAsia="en-GB"/>
              </w:rPr>
              <w:t> </w:t>
            </w:r>
          </w:p>
        </w:tc>
        <w:tc>
          <w:tcPr>
            <w:tcW w:w="1455" w:type="dxa"/>
            <w:tcBorders>
              <w:top w:val="nil"/>
              <w:left w:val="nil"/>
              <w:bottom w:val="nil"/>
              <w:right w:val="single" w:sz="4" w:space="0" w:color="auto"/>
            </w:tcBorders>
            <w:shd w:val="clear" w:color="000000" w:fill="FFFFFF"/>
            <w:noWrap/>
            <w:vAlign w:val="bottom"/>
            <w:hideMark/>
          </w:tcPr>
          <w:p w14:paraId="1D06AD0E" w14:textId="77777777" w:rsidR="0063006B" w:rsidRPr="0063006B" w:rsidRDefault="0063006B" w:rsidP="0070459C">
            <w:pPr>
              <w:jc w:val="right"/>
              <w:rPr>
                <w:rFonts w:cs="Arial"/>
                <w:lang w:eastAsia="en-GB"/>
              </w:rPr>
            </w:pPr>
            <w:r w:rsidRPr="0063006B">
              <w:rPr>
                <w:rFonts w:cs="Arial"/>
                <w:lang w:eastAsia="en-GB"/>
              </w:rPr>
              <w:t> </w:t>
            </w:r>
          </w:p>
        </w:tc>
      </w:tr>
      <w:tr w:rsidR="0063006B" w:rsidRPr="0063006B" w14:paraId="4D63E2F4" w14:textId="77777777" w:rsidTr="003B6AB1">
        <w:trPr>
          <w:trHeight w:val="300"/>
          <w:jc w:val="center"/>
        </w:trPr>
        <w:tc>
          <w:tcPr>
            <w:tcW w:w="1176" w:type="dxa"/>
            <w:tcBorders>
              <w:top w:val="nil"/>
              <w:left w:val="single" w:sz="4" w:space="0" w:color="auto"/>
              <w:bottom w:val="nil"/>
              <w:right w:val="nil"/>
            </w:tcBorders>
            <w:shd w:val="clear" w:color="000000" w:fill="FFFFFF"/>
            <w:noWrap/>
            <w:vAlign w:val="bottom"/>
            <w:hideMark/>
          </w:tcPr>
          <w:p w14:paraId="12AFD9B7" w14:textId="77777777" w:rsidR="0063006B" w:rsidRPr="0063006B" w:rsidRDefault="0063006B" w:rsidP="0070459C">
            <w:pPr>
              <w:jc w:val="right"/>
              <w:rPr>
                <w:rFonts w:cs="Arial"/>
                <w:lang w:eastAsia="en-GB"/>
              </w:rPr>
            </w:pPr>
            <w:r w:rsidRPr="0063006B">
              <w:rPr>
                <w:rFonts w:cs="Arial"/>
                <w:lang w:eastAsia="en-GB"/>
              </w:rPr>
              <w:t> </w:t>
            </w:r>
          </w:p>
        </w:tc>
        <w:tc>
          <w:tcPr>
            <w:tcW w:w="3176" w:type="dxa"/>
            <w:tcBorders>
              <w:top w:val="nil"/>
              <w:left w:val="nil"/>
              <w:bottom w:val="nil"/>
              <w:right w:val="nil"/>
            </w:tcBorders>
            <w:shd w:val="clear" w:color="000000" w:fill="FFFFFF"/>
            <w:noWrap/>
            <w:vAlign w:val="bottom"/>
            <w:hideMark/>
          </w:tcPr>
          <w:p w14:paraId="7F3FFA0C" w14:textId="77777777" w:rsidR="0063006B" w:rsidRPr="0063006B" w:rsidRDefault="0063006B" w:rsidP="0070459C">
            <w:pPr>
              <w:rPr>
                <w:rFonts w:cs="Arial"/>
                <w:b/>
                <w:bCs/>
                <w:lang w:eastAsia="en-GB"/>
              </w:rPr>
            </w:pPr>
            <w:r w:rsidRPr="0063006B">
              <w:rPr>
                <w:rFonts w:cs="Arial"/>
                <w:b/>
                <w:bCs/>
                <w:lang w:eastAsia="en-GB"/>
              </w:rPr>
              <w:t>Income in Advance</w:t>
            </w:r>
          </w:p>
        </w:tc>
        <w:tc>
          <w:tcPr>
            <w:tcW w:w="1455" w:type="dxa"/>
            <w:tcBorders>
              <w:top w:val="nil"/>
              <w:left w:val="nil"/>
              <w:bottom w:val="nil"/>
              <w:right w:val="single" w:sz="4" w:space="0" w:color="auto"/>
            </w:tcBorders>
            <w:shd w:val="clear" w:color="000000" w:fill="FFFFFF"/>
            <w:noWrap/>
            <w:vAlign w:val="bottom"/>
            <w:hideMark/>
          </w:tcPr>
          <w:p w14:paraId="5468A3E1" w14:textId="77777777" w:rsidR="0063006B" w:rsidRPr="0063006B" w:rsidRDefault="0063006B" w:rsidP="0070459C">
            <w:pPr>
              <w:jc w:val="right"/>
              <w:rPr>
                <w:rFonts w:cs="Arial"/>
                <w:lang w:eastAsia="en-GB"/>
              </w:rPr>
            </w:pPr>
            <w:r w:rsidRPr="0063006B">
              <w:rPr>
                <w:rFonts w:cs="Arial"/>
                <w:lang w:eastAsia="en-GB"/>
              </w:rPr>
              <w:t> </w:t>
            </w:r>
          </w:p>
        </w:tc>
      </w:tr>
      <w:tr w:rsidR="0063006B" w:rsidRPr="0063006B" w14:paraId="3F3D5516" w14:textId="77777777" w:rsidTr="003B6AB1">
        <w:trPr>
          <w:trHeight w:val="300"/>
          <w:jc w:val="center"/>
        </w:trPr>
        <w:tc>
          <w:tcPr>
            <w:tcW w:w="1176" w:type="dxa"/>
            <w:tcBorders>
              <w:top w:val="nil"/>
              <w:left w:val="single" w:sz="4" w:space="0" w:color="auto"/>
              <w:bottom w:val="nil"/>
              <w:right w:val="nil"/>
            </w:tcBorders>
            <w:shd w:val="clear" w:color="000000" w:fill="FFFFFF"/>
            <w:noWrap/>
            <w:vAlign w:val="bottom"/>
            <w:hideMark/>
          </w:tcPr>
          <w:p w14:paraId="6F7FE696" w14:textId="2AB550F7" w:rsidR="0063006B" w:rsidRPr="0063006B" w:rsidRDefault="008C4F0D" w:rsidP="0070459C">
            <w:pPr>
              <w:jc w:val="right"/>
              <w:rPr>
                <w:rFonts w:cs="Arial"/>
                <w:lang w:eastAsia="en-GB"/>
              </w:rPr>
            </w:pPr>
            <w:r>
              <w:rPr>
                <w:rFonts w:cs="Arial"/>
                <w:lang w:eastAsia="en-GB"/>
              </w:rPr>
              <w:t>0</w:t>
            </w:r>
          </w:p>
        </w:tc>
        <w:tc>
          <w:tcPr>
            <w:tcW w:w="3176" w:type="dxa"/>
            <w:tcBorders>
              <w:top w:val="nil"/>
              <w:left w:val="nil"/>
              <w:bottom w:val="nil"/>
              <w:right w:val="nil"/>
            </w:tcBorders>
            <w:shd w:val="clear" w:color="000000" w:fill="FFFFFF"/>
            <w:noWrap/>
            <w:vAlign w:val="bottom"/>
            <w:hideMark/>
          </w:tcPr>
          <w:p w14:paraId="18BE0DDE" w14:textId="77777777" w:rsidR="0063006B" w:rsidRPr="0063006B" w:rsidRDefault="0063006B" w:rsidP="0070459C">
            <w:pPr>
              <w:rPr>
                <w:rFonts w:cs="Arial"/>
                <w:lang w:eastAsia="en-GB"/>
              </w:rPr>
            </w:pPr>
            <w:r w:rsidRPr="0063006B">
              <w:rPr>
                <w:rFonts w:cs="Arial"/>
                <w:lang w:eastAsia="en-GB"/>
              </w:rPr>
              <w:t xml:space="preserve">    Government Departments</w:t>
            </w:r>
          </w:p>
        </w:tc>
        <w:tc>
          <w:tcPr>
            <w:tcW w:w="1455" w:type="dxa"/>
            <w:tcBorders>
              <w:top w:val="nil"/>
              <w:left w:val="nil"/>
              <w:bottom w:val="nil"/>
              <w:right w:val="single" w:sz="4" w:space="0" w:color="auto"/>
            </w:tcBorders>
            <w:shd w:val="clear" w:color="000000" w:fill="FFFFFF"/>
            <w:noWrap/>
            <w:vAlign w:val="bottom"/>
            <w:hideMark/>
          </w:tcPr>
          <w:p w14:paraId="4E26BD69" w14:textId="39E0D709" w:rsidR="0063006B" w:rsidRPr="0063006B" w:rsidRDefault="008C4F0D" w:rsidP="0070459C">
            <w:pPr>
              <w:jc w:val="right"/>
              <w:rPr>
                <w:rFonts w:cs="Arial"/>
                <w:lang w:eastAsia="en-GB"/>
              </w:rPr>
            </w:pPr>
            <w:r>
              <w:rPr>
                <w:rFonts w:cs="Arial"/>
                <w:lang w:eastAsia="en-GB"/>
              </w:rPr>
              <w:t>49</w:t>
            </w:r>
          </w:p>
        </w:tc>
      </w:tr>
      <w:tr w:rsidR="0063006B" w:rsidRPr="0063006B" w14:paraId="1C6F6DDB" w14:textId="77777777" w:rsidTr="003B6AB1">
        <w:trPr>
          <w:trHeight w:val="300"/>
          <w:jc w:val="center"/>
        </w:trPr>
        <w:tc>
          <w:tcPr>
            <w:tcW w:w="1176" w:type="dxa"/>
            <w:tcBorders>
              <w:top w:val="nil"/>
              <w:left w:val="single" w:sz="4" w:space="0" w:color="auto"/>
              <w:bottom w:val="nil"/>
              <w:right w:val="nil"/>
            </w:tcBorders>
            <w:shd w:val="clear" w:color="000000" w:fill="FFFFFF"/>
            <w:noWrap/>
            <w:vAlign w:val="bottom"/>
            <w:hideMark/>
          </w:tcPr>
          <w:p w14:paraId="3193127B" w14:textId="5D4E3443" w:rsidR="0063006B" w:rsidRPr="0063006B" w:rsidRDefault="008C4F0D" w:rsidP="0070459C">
            <w:pPr>
              <w:jc w:val="right"/>
              <w:rPr>
                <w:rFonts w:cs="Arial"/>
                <w:lang w:eastAsia="en-GB"/>
              </w:rPr>
            </w:pPr>
            <w:r>
              <w:rPr>
                <w:rFonts w:cs="Arial"/>
                <w:lang w:eastAsia="en-GB"/>
              </w:rPr>
              <w:t>173</w:t>
            </w:r>
          </w:p>
        </w:tc>
        <w:tc>
          <w:tcPr>
            <w:tcW w:w="3176" w:type="dxa"/>
            <w:tcBorders>
              <w:top w:val="nil"/>
              <w:left w:val="nil"/>
              <w:bottom w:val="nil"/>
              <w:right w:val="nil"/>
            </w:tcBorders>
            <w:shd w:val="clear" w:color="000000" w:fill="FFFFFF"/>
            <w:noWrap/>
            <w:vAlign w:val="bottom"/>
            <w:hideMark/>
          </w:tcPr>
          <w:p w14:paraId="7238C256" w14:textId="77777777" w:rsidR="0063006B" w:rsidRPr="0063006B" w:rsidRDefault="0063006B" w:rsidP="0070459C">
            <w:pPr>
              <w:rPr>
                <w:rFonts w:cs="Arial"/>
                <w:lang w:eastAsia="en-GB"/>
              </w:rPr>
            </w:pPr>
            <w:r w:rsidRPr="0063006B">
              <w:rPr>
                <w:rFonts w:cs="Arial"/>
                <w:lang w:eastAsia="en-GB"/>
              </w:rPr>
              <w:t xml:space="preserve">    Local Authorities</w:t>
            </w:r>
          </w:p>
        </w:tc>
        <w:tc>
          <w:tcPr>
            <w:tcW w:w="1455" w:type="dxa"/>
            <w:tcBorders>
              <w:top w:val="nil"/>
              <w:left w:val="nil"/>
              <w:bottom w:val="nil"/>
              <w:right w:val="single" w:sz="4" w:space="0" w:color="auto"/>
            </w:tcBorders>
            <w:shd w:val="clear" w:color="000000" w:fill="FFFFFF"/>
            <w:noWrap/>
            <w:vAlign w:val="bottom"/>
            <w:hideMark/>
          </w:tcPr>
          <w:p w14:paraId="06844C4A" w14:textId="3E0AA93B" w:rsidR="0063006B" w:rsidRPr="0063006B" w:rsidRDefault="00F760C4" w:rsidP="0070459C">
            <w:pPr>
              <w:jc w:val="right"/>
              <w:rPr>
                <w:rFonts w:cs="Arial"/>
                <w:lang w:eastAsia="en-GB"/>
              </w:rPr>
            </w:pPr>
            <w:r>
              <w:rPr>
                <w:rFonts w:cs="Arial"/>
                <w:lang w:eastAsia="en-GB"/>
              </w:rPr>
              <w:t>115</w:t>
            </w:r>
          </w:p>
        </w:tc>
      </w:tr>
      <w:tr w:rsidR="0063006B" w:rsidRPr="0063006B" w14:paraId="2469D4B7" w14:textId="77777777" w:rsidTr="003B6AB1">
        <w:trPr>
          <w:trHeight w:val="300"/>
          <w:jc w:val="center"/>
        </w:trPr>
        <w:tc>
          <w:tcPr>
            <w:tcW w:w="1176" w:type="dxa"/>
            <w:tcBorders>
              <w:top w:val="nil"/>
              <w:left w:val="single" w:sz="4" w:space="0" w:color="auto"/>
              <w:bottom w:val="nil"/>
              <w:right w:val="nil"/>
            </w:tcBorders>
            <w:shd w:val="clear" w:color="000000" w:fill="FFFFFF"/>
            <w:noWrap/>
            <w:vAlign w:val="bottom"/>
            <w:hideMark/>
          </w:tcPr>
          <w:p w14:paraId="2603342D" w14:textId="56E3D7C3" w:rsidR="0063006B" w:rsidRPr="0063006B" w:rsidRDefault="008C4F0D" w:rsidP="0070459C">
            <w:pPr>
              <w:jc w:val="right"/>
              <w:rPr>
                <w:rFonts w:cs="Arial"/>
                <w:lang w:eastAsia="en-GB"/>
              </w:rPr>
            </w:pPr>
            <w:r>
              <w:rPr>
                <w:rFonts w:cs="Arial"/>
                <w:lang w:eastAsia="en-GB"/>
              </w:rPr>
              <w:t>356</w:t>
            </w:r>
          </w:p>
        </w:tc>
        <w:tc>
          <w:tcPr>
            <w:tcW w:w="3176" w:type="dxa"/>
            <w:tcBorders>
              <w:top w:val="nil"/>
              <w:left w:val="nil"/>
              <w:bottom w:val="nil"/>
              <w:right w:val="nil"/>
            </w:tcBorders>
            <w:shd w:val="clear" w:color="000000" w:fill="FFFFFF"/>
            <w:noWrap/>
            <w:vAlign w:val="bottom"/>
            <w:hideMark/>
          </w:tcPr>
          <w:p w14:paraId="63F56FBF" w14:textId="77777777" w:rsidR="0063006B" w:rsidRPr="0063006B" w:rsidRDefault="0063006B" w:rsidP="0070459C">
            <w:pPr>
              <w:rPr>
                <w:rFonts w:cs="Arial"/>
                <w:lang w:eastAsia="en-GB"/>
              </w:rPr>
            </w:pPr>
            <w:r w:rsidRPr="0063006B">
              <w:rPr>
                <w:rFonts w:cs="Arial"/>
                <w:lang w:eastAsia="en-GB"/>
              </w:rPr>
              <w:t xml:space="preserve">    Other</w:t>
            </w:r>
          </w:p>
        </w:tc>
        <w:tc>
          <w:tcPr>
            <w:tcW w:w="1455" w:type="dxa"/>
            <w:tcBorders>
              <w:top w:val="nil"/>
              <w:left w:val="nil"/>
              <w:bottom w:val="nil"/>
              <w:right w:val="single" w:sz="4" w:space="0" w:color="auto"/>
            </w:tcBorders>
            <w:shd w:val="clear" w:color="000000" w:fill="FFFFFF"/>
            <w:noWrap/>
            <w:vAlign w:val="bottom"/>
            <w:hideMark/>
          </w:tcPr>
          <w:p w14:paraId="59CCE494" w14:textId="68610D5D" w:rsidR="0063006B" w:rsidRPr="0063006B" w:rsidRDefault="00F760C4" w:rsidP="0070459C">
            <w:pPr>
              <w:jc w:val="right"/>
              <w:rPr>
                <w:rFonts w:cs="Arial"/>
                <w:lang w:eastAsia="en-GB"/>
              </w:rPr>
            </w:pPr>
            <w:r>
              <w:rPr>
                <w:rFonts w:cs="Arial"/>
                <w:lang w:eastAsia="en-GB"/>
              </w:rPr>
              <w:t>311</w:t>
            </w:r>
          </w:p>
        </w:tc>
      </w:tr>
      <w:tr w:rsidR="0063006B" w:rsidRPr="0063006B" w14:paraId="621681D9" w14:textId="77777777" w:rsidTr="003B6AB1">
        <w:trPr>
          <w:trHeight w:val="300"/>
          <w:jc w:val="center"/>
        </w:trPr>
        <w:tc>
          <w:tcPr>
            <w:tcW w:w="1176" w:type="dxa"/>
            <w:tcBorders>
              <w:top w:val="nil"/>
              <w:left w:val="single" w:sz="4" w:space="0" w:color="auto"/>
              <w:bottom w:val="nil"/>
              <w:right w:val="nil"/>
            </w:tcBorders>
            <w:shd w:val="clear" w:color="000000" w:fill="FFFFFF"/>
            <w:noWrap/>
            <w:vAlign w:val="bottom"/>
            <w:hideMark/>
          </w:tcPr>
          <w:p w14:paraId="2841E132" w14:textId="77777777" w:rsidR="0063006B" w:rsidRPr="0063006B" w:rsidRDefault="0063006B" w:rsidP="0070459C">
            <w:pPr>
              <w:jc w:val="right"/>
              <w:rPr>
                <w:rFonts w:cs="Arial"/>
                <w:lang w:eastAsia="en-GB"/>
              </w:rPr>
            </w:pPr>
            <w:r w:rsidRPr="0063006B">
              <w:rPr>
                <w:rFonts w:cs="Arial"/>
                <w:lang w:eastAsia="en-GB"/>
              </w:rPr>
              <w:t> </w:t>
            </w:r>
          </w:p>
        </w:tc>
        <w:tc>
          <w:tcPr>
            <w:tcW w:w="3176" w:type="dxa"/>
            <w:tcBorders>
              <w:top w:val="nil"/>
              <w:left w:val="nil"/>
              <w:bottom w:val="nil"/>
              <w:right w:val="nil"/>
            </w:tcBorders>
            <w:shd w:val="clear" w:color="000000" w:fill="FFFFFF"/>
            <w:noWrap/>
            <w:vAlign w:val="bottom"/>
            <w:hideMark/>
          </w:tcPr>
          <w:p w14:paraId="02691382" w14:textId="77777777" w:rsidR="0063006B" w:rsidRPr="0063006B" w:rsidRDefault="0063006B" w:rsidP="0070459C">
            <w:pPr>
              <w:rPr>
                <w:rFonts w:cs="Arial"/>
                <w:b/>
                <w:bCs/>
                <w:lang w:eastAsia="en-GB"/>
              </w:rPr>
            </w:pPr>
            <w:r w:rsidRPr="0063006B">
              <w:rPr>
                <w:rFonts w:cs="Arial"/>
                <w:b/>
                <w:bCs/>
                <w:lang w:eastAsia="en-GB"/>
              </w:rPr>
              <w:t xml:space="preserve">Creditors   </w:t>
            </w:r>
          </w:p>
        </w:tc>
        <w:tc>
          <w:tcPr>
            <w:tcW w:w="1455" w:type="dxa"/>
            <w:tcBorders>
              <w:top w:val="nil"/>
              <w:left w:val="nil"/>
              <w:bottom w:val="nil"/>
              <w:right w:val="single" w:sz="4" w:space="0" w:color="auto"/>
            </w:tcBorders>
            <w:shd w:val="clear" w:color="000000" w:fill="FFFFFF"/>
            <w:noWrap/>
            <w:vAlign w:val="bottom"/>
            <w:hideMark/>
          </w:tcPr>
          <w:p w14:paraId="141E1BA0" w14:textId="77777777" w:rsidR="0063006B" w:rsidRPr="0063006B" w:rsidRDefault="0063006B" w:rsidP="0070459C">
            <w:pPr>
              <w:jc w:val="right"/>
              <w:rPr>
                <w:rFonts w:cs="Arial"/>
                <w:lang w:eastAsia="en-GB"/>
              </w:rPr>
            </w:pPr>
            <w:r w:rsidRPr="0063006B">
              <w:rPr>
                <w:rFonts w:cs="Arial"/>
                <w:lang w:eastAsia="en-GB"/>
              </w:rPr>
              <w:t> </w:t>
            </w:r>
          </w:p>
        </w:tc>
      </w:tr>
      <w:tr w:rsidR="0063006B" w:rsidRPr="0063006B" w14:paraId="3932F94F" w14:textId="77777777" w:rsidTr="003B6AB1">
        <w:trPr>
          <w:trHeight w:val="300"/>
          <w:jc w:val="center"/>
        </w:trPr>
        <w:tc>
          <w:tcPr>
            <w:tcW w:w="1176" w:type="dxa"/>
            <w:tcBorders>
              <w:top w:val="nil"/>
              <w:left w:val="single" w:sz="4" w:space="0" w:color="auto"/>
              <w:bottom w:val="nil"/>
              <w:right w:val="nil"/>
            </w:tcBorders>
            <w:shd w:val="clear" w:color="000000" w:fill="FFFFFF"/>
            <w:noWrap/>
            <w:vAlign w:val="bottom"/>
            <w:hideMark/>
          </w:tcPr>
          <w:p w14:paraId="1713806F" w14:textId="311DD6BF" w:rsidR="0063006B" w:rsidRPr="0063006B" w:rsidRDefault="008C4F0D" w:rsidP="0070459C">
            <w:pPr>
              <w:jc w:val="right"/>
              <w:rPr>
                <w:rFonts w:cs="Arial"/>
                <w:lang w:eastAsia="en-GB"/>
              </w:rPr>
            </w:pPr>
            <w:r>
              <w:rPr>
                <w:rFonts w:cs="Arial"/>
                <w:lang w:eastAsia="en-GB"/>
              </w:rPr>
              <w:t>129</w:t>
            </w:r>
          </w:p>
        </w:tc>
        <w:tc>
          <w:tcPr>
            <w:tcW w:w="3176" w:type="dxa"/>
            <w:tcBorders>
              <w:top w:val="nil"/>
              <w:left w:val="nil"/>
              <w:bottom w:val="nil"/>
              <w:right w:val="nil"/>
            </w:tcBorders>
            <w:shd w:val="clear" w:color="000000" w:fill="FFFFFF"/>
            <w:noWrap/>
            <w:vAlign w:val="bottom"/>
            <w:hideMark/>
          </w:tcPr>
          <w:p w14:paraId="6232E53C" w14:textId="77777777" w:rsidR="0063006B" w:rsidRPr="0063006B" w:rsidRDefault="0063006B" w:rsidP="0070459C">
            <w:pPr>
              <w:rPr>
                <w:rFonts w:cs="Arial"/>
                <w:lang w:eastAsia="en-GB"/>
              </w:rPr>
            </w:pPr>
            <w:r w:rsidRPr="0063006B">
              <w:rPr>
                <w:rFonts w:cs="Arial"/>
                <w:lang w:eastAsia="en-GB"/>
              </w:rPr>
              <w:t xml:space="preserve">    Government Departments</w:t>
            </w:r>
          </w:p>
        </w:tc>
        <w:tc>
          <w:tcPr>
            <w:tcW w:w="1455" w:type="dxa"/>
            <w:tcBorders>
              <w:top w:val="nil"/>
              <w:left w:val="nil"/>
              <w:bottom w:val="nil"/>
              <w:right w:val="single" w:sz="4" w:space="0" w:color="auto"/>
            </w:tcBorders>
            <w:shd w:val="clear" w:color="000000" w:fill="FFFFFF"/>
            <w:noWrap/>
            <w:vAlign w:val="bottom"/>
            <w:hideMark/>
          </w:tcPr>
          <w:p w14:paraId="55911081" w14:textId="22B8EBD2" w:rsidR="0063006B" w:rsidRPr="0063006B" w:rsidRDefault="00F760C4" w:rsidP="0070459C">
            <w:pPr>
              <w:jc w:val="right"/>
              <w:rPr>
                <w:rFonts w:cs="Arial"/>
                <w:lang w:eastAsia="en-GB"/>
              </w:rPr>
            </w:pPr>
            <w:r>
              <w:rPr>
                <w:rFonts w:cs="Arial"/>
                <w:lang w:eastAsia="en-GB"/>
              </w:rPr>
              <w:t>158</w:t>
            </w:r>
          </w:p>
        </w:tc>
      </w:tr>
      <w:tr w:rsidR="0063006B" w:rsidRPr="0063006B" w14:paraId="287C6A25" w14:textId="77777777" w:rsidTr="003B6AB1">
        <w:trPr>
          <w:trHeight w:val="300"/>
          <w:jc w:val="center"/>
        </w:trPr>
        <w:tc>
          <w:tcPr>
            <w:tcW w:w="1176" w:type="dxa"/>
            <w:tcBorders>
              <w:top w:val="nil"/>
              <w:left w:val="single" w:sz="4" w:space="0" w:color="auto"/>
              <w:bottom w:val="nil"/>
              <w:right w:val="nil"/>
            </w:tcBorders>
            <w:shd w:val="clear" w:color="000000" w:fill="FFFFFF"/>
            <w:noWrap/>
            <w:vAlign w:val="bottom"/>
            <w:hideMark/>
          </w:tcPr>
          <w:p w14:paraId="6D67A412" w14:textId="608D9480" w:rsidR="0063006B" w:rsidRPr="0063006B" w:rsidRDefault="008C4F0D" w:rsidP="0070459C">
            <w:pPr>
              <w:jc w:val="right"/>
              <w:rPr>
                <w:rFonts w:cs="Arial"/>
                <w:lang w:eastAsia="en-GB"/>
              </w:rPr>
            </w:pPr>
            <w:r>
              <w:rPr>
                <w:rFonts w:cs="Arial"/>
                <w:lang w:eastAsia="en-GB"/>
              </w:rPr>
              <w:t>0</w:t>
            </w:r>
          </w:p>
        </w:tc>
        <w:tc>
          <w:tcPr>
            <w:tcW w:w="3176" w:type="dxa"/>
            <w:tcBorders>
              <w:top w:val="nil"/>
              <w:left w:val="nil"/>
              <w:bottom w:val="nil"/>
              <w:right w:val="nil"/>
            </w:tcBorders>
            <w:shd w:val="clear" w:color="000000" w:fill="FFFFFF"/>
            <w:noWrap/>
            <w:vAlign w:val="bottom"/>
            <w:hideMark/>
          </w:tcPr>
          <w:p w14:paraId="3C0E4698" w14:textId="77777777" w:rsidR="0063006B" w:rsidRPr="0063006B" w:rsidRDefault="0063006B" w:rsidP="0070459C">
            <w:pPr>
              <w:rPr>
                <w:rFonts w:cs="Arial"/>
                <w:lang w:eastAsia="en-GB"/>
              </w:rPr>
            </w:pPr>
            <w:r w:rsidRPr="0063006B">
              <w:rPr>
                <w:rFonts w:cs="Arial"/>
                <w:lang w:eastAsia="en-GB"/>
              </w:rPr>
              <w:t xml:space="preserve">    Local Authorities</w:t>
            </w:r>
          </w:p>
        </w:tc>
        <w:tc>
          <w:tcPr>
            <w:tcW w:w="1455" w:type="dxa"/>
            <w:tcBorders>
              <w:top w:val="nil"/>
              <w:left w:val="nil"/>
              <w:bottom w:val="nil"/>
              <w:right w:val="single" w:sz="4" w:space="0" w:color="auto"/>
            </w:tcBorders>
            <w:shd w:val="clear" w:color="000000" w:fill="FFFFFF"/>
            <w:noWrap/>
            <w:vAlign w:val="bottom"/>
            <w:hideMark/>
          </w:tcPr>
          <w:p w14:paraId="0AB6F908" w14:textId="194CA685" w:rsidR="0063006B" w:rsidRPr="0063006B" w:rsidRDefault="00F760C4" w:rsidP="0070459C">
            <w:pPr>
              <w:jc w:val="right"/>
              <w:rPr>
                <w:rFonts w:cs="Arial"/>
                <w:lang w:eastAsia="en-GB"/>
              </w:rPr>
            </w:pPr>
            <w:r>
              <w:rPr>
                <w:rFonts w:cs="Arial"/>
                <w:lang w:eastAsia="en-GB"/>
              </w:rPr>
              <w:t>10</w:t>
            </w:r>
          </w:p>
        </w:tc>
      </w:tr>
      <w:tr w:rsidR="0063006B" w:rsidRPr="0063006B" w14:paraId="60E6034C" w14:textId="77777777" w:rsidTr="003B6AB1">
        <w:trPr>
          <w:trHeight w:val="300"/>
          <w:jc w:val="center"/>
        </w:trPr>
        <w:tc>
          <w:tcPr>
            <w:tcW w:w="1176" w:type="dxa"/>
            <w:tcBorders>
              <w:top w:val="nil"/>
              <w:left w:val="single" w:sz="4" w:space="0" w:color="auto"/>
              <w:bottom w:val="single" w:sz="4" w:space="0" w:color="auto"/>
              <w:right w:val="nil"/>
            </w:tcBorders>
            <w:shd w:val="clear" w:color="000000" w:fill="FFFFFF"/>
            <w:noWrap/>
            <w:vAlign w:val="bottom"/>
            <w:hideMark/>
          </w:tcPr>
          <w:p w14:paraId="633D2347" w14:textId="58157C9F" w:rsidR="0063006B" w:rsidRPr="0063006B" w:rsidRDefault="0063006B" w:rsidP="0070459C">
            <w:pPr>
              <w:jc w:val="right"/>
              <w:rPr>
                <w:rFonts w:cs="Arial"/>
                <w:lang w:eastAsia="en-GB"/>
              </w:rPr>
            </w:pPr>
            <w:r w:rsidRPr="0063006B">
              <w:rPr>
                <w:rFonts w:cs="Arial"/>
                <w:lang w:eastAsia="en-GB"/>
              </w:rPr>
              <w:t xml:space="preserve">    </w:t>
            </w:r>
            <w:r w:rsidR="008C4F0D">
              <w:rPr>
                <w:rFonts w:cs="Arial"/>
                <w:lang w:eastAsia="en-GB"/>
              </w:rPr>
              <w:t>1,672</w:t>
            </w:r>
            <w:r w:rsidRPr="0063006B">
              <w:rPr>
                <w:rFonts w:cs="Arial"/>
                <w:lang w:eastAsia="en-GB"/>
              </w:rPr>
              <w:t xml:space="preserve"> </w:t>
            </w:r>
          </w:p>
        </w:tc>
        <w:tc>
          <w:tcPr>
            <w:tcW w:w="3176" w:type="dxa"/>
            <w:tcBorders>
              <w:top w:val="nil"/>
              <w:left w:val="nil"/>
              <w:bottom w:val="nil"/>
              <w:right w:val="nil"/>
            </w:tcBorders>
            <w:shd w:val="clear" w:color="000000" w:fill="FFFFFF"/>
            <w:noWrap/>
            <w:vAlign w:val="bottom"/>
            <w:hideMark/>
          </w:tcPr>
          <w:p w14:paraId="3B7F4C76" w14:textId="77777777" w:rsidR="0063006B" w:rsidRPr="0063006B" w:rsidRDefault="0063006B" w:rsidP="0070459C">
            <w:pPr>
              <w:rPr>
                <w:rFonts w:cs="Arial"/>
                <w:lang w:eastAsia="en-GB"/>
              </w:rPr>
            </w:pPr>
            <w:r w:rsidRPr="0063006B">
              <w:rPr>
                <w:rFonts w:cs="Arial"/>
                <w:lang w:eastAsia="en-GB"/>
              </w:rPr>
              <w:t xml:space="preserve">    Other</w:t>
            </w:r>
          </w:p>
        </w:tc>
        <w:tc>
          <w:tcPr>
            <w:tcW w:w="1455" w:type="dxa"/>
            <w:tcBorders>
              <w:top w:val="nil"/>
              <w:left w:val="nil"/>
              <w:bottom w:val="single" w:sz="4" w:space="0" w:color="auto"/>
              <w:right w:val="single" w:sz="4" w:space="0" w:color="auto"/>
            </w:tcBorders>
            <w:shd w:val="clear" w:color="000000" w:fill="FFFFFF"/>
            <w:noWrap/>
            <w:vAlign w:val="bottom"/>
            <w:hideMark/>
          </w:tcPr>
          <w:p w14:paraId="1DA51366" w14:textId="2B84ECE4" w:rsidR="0063006B" w:rsidRPr="0063006B" w:rsidRDefault="0063006B" w:rsidP="003B6AB1">
            <w:pPr>
              <w:rPr>
                <w:rFonts w:cs="Arial"/>
                <w:lang w:eastAsia="en-GB"/>
              </w:rPr>
            </w:pPr>
            <w:r w:rsidRPr="0063006B">
              <w:rPr>
                <w:rFonts w:cs="Arial"/>
                <w:lang w:eastAsia="en-GB"/>
              </w:rPr>
              <w:t xml:space="preserve">         </w:t>
            </w:r>
            <w:r w:rsidR="003B6AB1">
              <w:rPr>
                <w:rFonts w:cs="Arial"/>
                <w:lang w:eastAsia="en-GB"/>
              </w:rPr>
              <w:t xml:space="preserve"> </w:t>
            </w:r>
            <w:r w:rsidRPr="0063006B">
              <w:rPr>
                <w:rFonts w:cs="Arial"/>
                <w:lang w:eastAsia="en-GB"/>
              </w:rPr>
              <w:t>1,</w:t>
            </w:r>
            <w:r w:rsidR="00F760C4">
              <w:rPr>
                <w:rFonts w:cs="Arial"/>
                <w:lang w:eastAsia="en-GB"/>
              </w:rPr>
              <w:t>46</w:t>
            </w:r>
            <w:r w:rsidR="002A6617">
              <w:rPr>
                <w:rFonts w:cs="Arial"/>
                <w:lang w:eastAsia="en-GB"/>
              </w:rPr>
              <w:t>4</w:t>
            </w:r>
            <w:r w:rsidRPr="0063006B">
              <w:rPr>
                <w:rFonts w:cs="Arial"/>
                <w:lang w:eastAsia="en-GB"/>
              </w:rPr>
              <w:t xml:space="preserve"> </w:t>
            </w:r>
          </w:p>
        </w:tc>
      </w:tr>
      <w:tr w:rsidR="0063006B" w:rsidRPr="0063006B" w14:paraId="6B5CB421" w14:textId="77777777" w:rsidTr="003B6AB1">
        <w:trPr>
          <w:trHeight w:val="310"/>
          <w:jc w:val="center"/>
        </w:trPr>
        <w:tc>
          <w:tcPr>
            <w:tcW w:w="1176" w:type="dxa"/>
            <w:tcBorders>
              <w:top w:val="nil"/>
              <w:left w:val="single" w:sz="4" w:space="0" w:color="auto"/>
              <w:bottom w:val="single" w:sz="4" w:space="0" w:color="auto"/>
              <w:right w:val="nil"/>
            </w:tcBorders>
            <w:shd w:val="clear" w:color="000000" w:fill="FFFFFF"/>
            <w:noWrap/>
            <w:vAlign w:val="bottom"/>
            <w:hideMark/>
          </w:tcPr>
          <w:p w14:paraId="3266FC4C" w14:textId="35F797F5" w:rsidR="0063006B" w:rsidRPr="0063006B" w:rsidRDefault="0063006B" w:rsidP="0070459C">
            <w:pPr>
              <w:jc w:val="right"/>
              <w:rPr>
                <w:rFonts w:cs="Arial"/>
                <w:b/>
                <w:bCs/>
                <w:lang w:eastAsia="en-GB"/>
              </w:rPr>
            </w:pPr>
            <w:r w:rsidRPr="0063006B">
              <w:rPr>
                <w:rFonts w:cs="Arial"/>
                <w:b/>
                <w:bCs/>
                <w:lang w:eastAsia="en-GB"/>
              </w:rPr>
              <w:t>2,</w:t>
            </w:r>
            <w:r w:rsidR="008C4F0D">
              <w:rPr>
                <w:rFonts w:cs="Arial"/>
                <w:b/>
                <w:bCs/>
                <w:lang w:eastAsia="en-GB"/>
              </w:rPr>
              <w:t>330</w:t>
            </w:r>
          </w:p>
        </w:tc>
        <w:tc>
          <w:tcPr>
            <w:tcW w:w="3176" w:type="dxa"/>
            <w:tcBorders>
              <w:top w:val="nil"/>
              <w:left w:val="nil"/>
              <w:bottom w:val="single" w:sz="4" w:space="0" w:color="auto"/>
              <w:right w:val="nil"/>
            </w:tcBorders>
            <w:shd w:val="clear" w:color="000000" w:fill="FFFFFF"/>
            <w:noWrap/>
            <w:vAlign w:val="bottom"/>
            <w:hideMark/>
          </w:tcPr>
          <w:p w14:paraId="33E9C34E" w14:textId="77777777" w:rsidR="0063006B" w:rsidRPr="0063006B" w:rsidRDefault="0063006B" w:rsidP="0070459C">
            <w:pPr>
              <w:rPr>
                <w:rFonts w:cs="Arial"/>
                <w:b/>
                <w:bCs/>
                <w:lang w:eastAsia="en-GB"/>
              </w:rPr>
            </w:pPr>
            <w:r w:rsidRPr="0063006B">
              <w:rPr>
                <w:rFonts w:cs="Arial"/>
                <w:b/>
                <w:bCs/>
                <w:lang w:eastAsia="en-GB"/>
              </w:rPr>
              <w:t>Total Creditors</w:t>
            </w:r>
          </w:p>
        </w:tc>
        <w:tc>
          <w:tcPr>
            <w:tcW w:w="1455" w:type="dxa"/>
            <w:tcBorders>
              <w:top w:val="nil"/>
              <w:left w:val="nil"/>
              <w:bottom w:val="single" w:sz="4" w:space="0" w:color="auto"/>
              <w:right w:val="single" w:sz="4" w:space="0" w:color="auto"/>
            </w:tcBorders>
            <w:shd w:val="clear" w:color="000000" w:fill="FFFFFF"/>
            <w:noWrap/>
            <w:vAlign w:val="bottom"/>
            <w:hideMark/>
          </w:tcPr>
          <w:p w14:paraId="29F65D0E" w14:textId="02CADC64" w:rsidR="0063006B" w:rsidRPr="0063006B" w:rsidRDefault="0063006B" w:rsidP="0070459C">
            <w:pPr>
              <w:jc w:val="right"/>
              <w:rPr>
                <w:rFonts w:cs="Arial"/>
                <w:b/>
                <w:bCs/>
                <w:lang w:eastAsia="en-GB"/>
              </w:rPr>
            </w:pPr>
            <w:r w:rsidRPr="0063006B">
              <w:rPr>
                <w:rFonts w:cs="Arial"/>
                <w:b/>
                <w:bCs/>
                <w:lang w:eastAsia="en-GB"/>
              </w:rPr>
              <w:t>2,</w:t>
            </w:r>
            <w:r w:rsidR="008C4F0D">
              <w:rPr>
                <w:rFonts w:cs="Arial"/>
                <w:b/>
                <w:bCs/>
                <w:lang w:eastAsia="en-GB"/>
              </w:rPr>
              <w:t>1</w:t>
            </w:r>
            <w:r w:rsidR="00F760C4">
              <w:rPr>
                <w:rFonts w:cs="Arial"/>
                <w:b/>
                <w:bCs/>
                <w:lang w:eastAsia="en-GB"/>
              </w:rPr>
              <w:t>0</w:t>
            </w:r>
            <w:r w:rsidR="002A6617">
              <w:rPr>
                <w:rFonts w:cs="Arial"/>
                <w:b/>
                <w:bCs/>
                <w:lang w:eastAsia="en-GB"/>
              </w:rPr>
              <w:t>7</w:t>
            </w:r>
          </w:p>
        </w:tc>
      </w:tr>
    </w:tbl>
    <w:p w14:paraId="5E1305D8" w14:textId="77777777" w:rsidR="0063006B" w:rsidRPr="0063006B" w:rsidRDefault="0063006B" w:rsidP="0070459C">
      <w:pPr>
        <w:rPr>
          <w:highlight w:val="yellow"/>
        </w:rPr>
      </w:pPr>
    </w:p>
    <w:p w14:paraId="485A48CC" w14:textId="77777777" w:rsidR="00E00863" w:rsidRPr="004D5CA8" w:rsidRDefault="00E00863" w:rsidP="0070459C">
      <w:pPr>
        <w:rPr>
          <w:highlight w:val="yellow"/>
        </w:rPr>
      </w:pPr>
    </w:p>
    <w:p w14:paraId="485A48CF" w14:textId="77777777" w:rsidR="000F1109" w:rsidRPr="004D5CA8" w:rsidRDefault="000F1109" w:rsidP="0070459C">
      <w:pPr>
        <w:rPr>
          <w:highlight w:val="yellow"/>
        </w:rPr>
      </w:pPr>
      <w:bookmarkStart w:id="442" w:name="_MON_1369728124"/>
      <w:bookmarkStart w:id="443" w:name="_MON_1369742019"/>
      <w:bookmarkStart w:id="444" w:name="_MON_1370195342"/>
      <w:bookmarkStart w:id="445" w:name="_MON_1372669002"/>
      <w:bookmarkStart w:id="446" w:name="_MON_1372669073"/>
      <w:bookmarkStart w:id="447" w:name="_MON_1372669193"/>
      <w:bookmarkStart w:id="448" w:name="_MON_1372838418"/>
      <w:bookmarkStart w:id="449" w:name="_MON_1395564999"/>
      <w:bookmarkStart w:id="450" w:name="_MON_1395565025"/>
      <w:bookmarkStart w:id="451" w:name="_MON_1401094936"/>
      <w:bookmarkStart w:id="452" w:name="_MON_1401539495"/>
      <w:bookmarkStart w:id="453" w:name="_MON_1429981743"/>
      <w:bookmarkStart w:id="454" w:name="_MON_1431795907"/>
      <w:bookmarkStart w:id="455" w:name="_MON_1362489950"/>
      <w:bookmarkStart w:id="456" w:name="_MON_1363762402"/>
      <w:bookmarkStart w:id="457" w:name="_MON_1363762465"/>
      <w:bookmarkStart w:id="458" w:name="_MON_1368531528"/>
      <w:bookmarkStart w:id="459" w:name="_MON_1368618593"/>
      <w:bookmarkStart w:id="460" w:name="_MON_1369553398"/>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485A48D0" w14:textId="6F213221" w:rsidR="00E00863" w:rsidRPr="006C7E96" w:rsidRDefault="00E00863" w:rsidP="0070459C">
      <w:pPr>
        <w:pStyle w:val="Subtitle"/>
        <w:numPr>
          <w:ilvl w:val="0"/>
          <w:numId w:val="47"/>
        </w:numPr>
        <w:tabs>
          <w:tab w:val="left" w:pos="-709"/>
          <w:tab w:val="left" w:pos="-284"/>
          <w:tab w:val="left" w:pos="-142"/>
          <w:tab w:val="left" w:pos="0"/>
          <w:tab w:val="left" w:pos="567"/>
        </w:tabs>
        <w:spacing w:line="240" w:lineRule="atLeast"/>
        <w:ind w:left="0" w:right="680" w:firstLine="0"/>
        <w:rPr>
          <w:rFonts w:ascii="Arial" w:hAnsi="Arial" w:cs="Arial"/>
          <w:b/>
          <w:i w:val="0"/>
          <w:sz w:val="23"/>
          <w:szCs w:val="23"/>
          <w:u w:val="none"/>
        </w:rPr>
      </w:pPr>
      <w:bookmarkStart w:id="461" w:name="_Toc167965822"/>
      <w:r w:rsidRPr="006C7E96">
        <w:rPr>
          <w:rStyle w:val="Heading2Char"/>
          <w:i w:val="0"/>
          <w:iCs w:val="0"/>
          <w:u w:val="none"/>
        </w:rPr>
        <w:t xml:space="preserve">Nature and Purpose of </w:t>
      </w:r>
      <w:r w:rsidR="00420AE5" w:rsidRPr="006C7E96">
        <w:rPr>
          <w:rStyle w:val="Heading2Char"/>
          <w:i w:val="0"/>
          <w:iCs w:val="0"/>
          <w:u w:val="none"/>
        </w:rPr>
        <w:t xml:space="preserve">General Fund Earmarked </w:t>
      </w:r>
      <w:r w:rsidRPr="006C7E96">
        <w:rPr>
          <w:rStyle w:val="Heading2Char"/>
          <w:i w:val="0"/>
          <w:iCs w:val="0"/>
          <w:u w:val="none"/>
        </w:rPr>
        <w:t>Reserves</w:t>
      </w:r>
      <w:bookmarkEnd w:id="461"/>
    </w:p>
    <w:p w14:paraId="485A48D1" w14:textId="77777777" w:rsidR="00E00863" w:rsidRPr="007245DE" w:rsidRDefault="00E00863" w:rsidP="0070459C">
      <w:pPr>
        <w:pStyle w:val="Elementheading"/>
        <w:numPr>
          <w:ilvl w:val="0"/>
          <w:numId w:val="0"/>
        </w:numPr>
        <w:tabs>
          <w:tab w:val="left" w:pos="567"/>
        </w:tabs>
        <w:rPr>
          <w:sz w:val="22"/>
          <w:szCs w:val="22"/>
        </w:rPr>
      </w:pPr>
    </w:p>
    <w:p w14:paraId="485A48D2" w14:textId="4F5C5E34" w:rsidR="00E00863" w:rsidRPr="007245DE" w:rsidRDefault="00E00863" w:rsidP="0070459C">
      <w:pPr>
        <w:tabs>
          <w:tab w:val="left" w:pos="567"/>
        </w:tabs>
        <w:spacing w:after="120"/>
      </w:pPr>
      <w:r w:rsidRPr="007245DE">
        <w:t>The Authority is required to maintain a number of reserves under the provisions of the Code. The reserves and their broad functions are as follows.</w:t>
      </w:r>
    </w:p>
    <w:p w14:paraId="144666DB" w14:textId="77777777" w:rsidR="00935A67" w:rsidRPr="007245DE" w:rsidRDefault="00935A67" w:rsidP="0070459C">
      <w:pPr>
        <w:tabs>
          <w:tab w:val="left" w:pos="567"/>
        </w:tabs>
        <w:spacing w:after="120"/>
        <w:rPr>
          <w:b/>
          <w:i/>
        </w:rPr>
      </w:pPr>
    </w:p>
    <w:p w14:paraId="485A48D4" w14:textId="1B2C79B9" w:rsidR="00E00863" w:rsidRPr="007245DE" w:rsidRDefault="00935A67" w:rsidP="0070459C">
      <w:pPr>
        <w:tabs>
          <w:tab w:val="left" w:pos="567"/>
        </w:tabs>
        <w:spacing w:after="120"/>
        <w:rPr>
          <w:b/>
          <w:i/>
        </w:rPr>
      </w:pPr>
      <w:r w:rsidRPr="007245DE">
        <w:rPr>
          <w:b/>
          <w:i/>
        </w:rPr>
        <w:t>Us</w:t>
      </w:r>
      <w:r w:rsidR="00E00863" w:rsidRPr="007245DE">
        <w:rPr>
          <w:b/>
          <w:i/>
        </w:rPr>
        <w:t>able, cash-backed reserves</w:t>
      </w:r>
    </w:p>
    <w:p w14:paraId="485A48D6" w14:textId="77777777" w:rsidR="00E00863" w:rsidRPr="007245DE" w:rsidRDefault="00E00863" w:rsidP="0070459C">
      <w:pPr>
        <w:tabs>
          <w:tab w:val="left" w:pos="567"/>
        </w:tabs>
        <w:spacing w:after="120"/>
      </w:pPr>
      <w:r w:rsidRPr="007245DE">
        <w:rPr>
          <w:b/>
        </w:rPr>
        <w:t>General Reserve</w:t>
      </w:r>
    </w:p>
    <w:p w14:paraId="485A48D7" w14:textId="77777777" w:rsidR="00E00863" w:rsidRPr="007245DE" w:rsidRDefault="00E00863" w:rsidP="0070459C">
      <w:pPr>
        <w:tabs>
          <w:tab w:val="left" w:pos="567"/>
        </w:tabs>
        <w:spacing w:after="120"/>
      </w:pPr>
      <w:r w:rsidRPr="007245DE">
        <w:t>This balance represents the cumulative surplus available to the Authority to support revenue spending and which has not been earmarked for a specific purpose.</w:t>
      </w:r>
    </w:p>
    <w:p w14:paraId="485A48D8" w14:textId="77777777" w:rsidR="00E00863" w:rsidRPr="007245DE" w:rsidRDefault="00E00863" w:rsidP="0070459C">
      <w:pPr>
        <w:tabs>
          <w:tab w:val="left" w:pos="567"/>
        </w:tabs>
        <w:spacing w:after="120"/>
      </w:pPr>
      <w:r w:rsidRPr="007245DE">
        <w:rPr>
          <w:b/>
        </w:rPr>
        <w:t>Earmarked Reserves</w:t>
      </w:r>
    </w:p>
    <w:p w14:paraId="485A48D9" w14:textId="77777777" w:rsidR="00E00863" w:rsidRPr="007245DE" w:rsidRDefault="00E00863" w:rsidP="0070459C">
      <w:pPr>
        <w:tabs>
          <w:tab w:val="left" w:pos="567"/>
        </w:tabs>
        <w:spacing w:after="120"/>
      </w:pPr>
      <w:r w:rsidRPr="007245DE">
        <w:t>This balance represents monies available to support revenue spending but which the Authority ha</w:t>
      </w:r>
      <w:r w:rsidR="00221024" w:rsidRPr="007245DE">
        <w:t>s</w:t>
      </w:r>
      <w:r w:rsidRPr="007245DE">
        <w:t xml:space="preserve"> earmarked for specific purposes.</w:t>
      </w:r>
      <w:r w:rsidR="00D95903" w:rsidRPr="007245DE">
        <w:t xml:space="preserve"> </w:t>
      </w:r>
      <w:r w:rsidRPr="007245DE">
        <w:t>Details of these specific purposes are shown in the table below:</w:t>
      </w:r>
    </w:p>
    <w:p w14:paraId="485A48DA" w14:textId="77777777" w:rsidR="00721791" w:rsidRPr="007245DE" w:rsidRDefault="00721791" w:rsidP="0070459C">
      <w:pPr>
        <w:tabs>
          <w:tab w:val="left" w:pos="567"/>
        </w:tabs>
        <w:spacing w:after="120"/>
      </w:pPr>
      <w:r w:rsidRPr="007245DE">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09"/>
      </w:tblGrid>
      <w:tr w:rsidR="00E00863" w:rsidRPr="007245DE" w14:paraId="485A48DD" w14:textId="77777777" w:rsidTr="008C0A1F">
        <w:trPr>
          <w:jc w:val="center"/>
        </w:trPr>
        <w:tc>
          <w:tcPr>
            <w:tcW w:w="2520" w:type="dxa"/>
          </w:tcPr>
          <w:p w14:paraId="485A48DB" w14:textId="77777777" w:rsidR="00E00863" w:rsidRPr="007245DE" w:rsidRDefault="00E00863" w:rsidP="0070459C">
            <w:r w:rsidRPr="007245DE">
              <w:lastRenderedPageBreak/>
              <w:t>Ring-fenced Funds Reserve</w:t>
            </w:r>
          </w:p>
        </w:tc>
        <w:tc>
          <w:tcPr>
            <w:tcW w:w="6509" w:type="dxa"/>
          </w:tcPr>
          <w:p w14:paraId="485A48DC" w14:textId="77777777" w:rsidR="00E00863" w:rsidRPr="007245DE" w:rsidRDefault="00A86299" w:rsidP="0070459C">
            <w:r w:rsidRPr="007245DE">
              <w:t>Used t</w:t>
            </w:r>
            <w:r w:rsidR="00E00863" w:rsidRPr="007245DE">
              <w:t xml:space="preserve">o </w:t>
            </w:r>
            <w:r w:rsidR="00751264" w:rsidRPr="007245DE">
              <w:t>set aside small amounts of funding allocated for specific purposes</w:t>
            </w:r>
            <w:r w:rsidR="00E47108" w:rsidRPr="007245DE">
              <w:t xml:space="preserve"> and projects running between years</w:t>
            </w:r>
          </w:p>
        </w:tc>
      </w:tr>
      <w:tr w:rsidR="00E041A1" w:rsidRPr="007245DE" w14:paraId="485A48E0" w14:textId="77777777" w:rsidTr="008C0A1F">
        <w:trPr>
          <w:jc w:val="center"/>
        </w:trPr>
        <w:tc>
          <w:tcPr>
            <w:tcW w:w="2520" w:type="dxa"/>
          </w:tcPr>
          <w:p w14:paraId="485A48DE" w14:textId="77777777" w:rsidR="00E041A1" w:rsidRPr="007245DE" w:rsidRDefault="00E041A1" w:rsidP="0070459C">
            <w:r w:rsidRPr="007245DE">
              <w:t>External Grants Reserve</w:t>
            </w:r>
          </w:p>
        </w:tc>
        <w:tc>
          <w:tcPr>
            <w:tcW w:w="6509" w:type="dxa"/>
          </w:tcPr>
          <w:p w14:paraId="485A48DF" w14:textId="77777777" w:rsidR="00E041A1" w:rsidRPr="007245DE" w:rsidRDefault="00E041A1" w:rsidP="0070459C">
            <w:r w:rsidRPr="007245DE">
              <w:t>To hold external grant monies until the time they are used to support service delivery</w:t>
            </w:r>
          </w:p>
        </w:tc>
      </w:tr>
      <w:tr w:rsidR="00E041A1" w:rsidRPr="007245DE" w14:paraId="485A48E9" w14:textId="77777777" w:rsidTr="008C0A1F">
        <w:trPr>
          <w:jc w:val="center"/>
        </w:trPr>
        <w:tc>
          <w:tcPr>
            <w:tcW w:w="2520" w:type="dxa"/>
          </w:tcPr>
          <w:p w14:paraId="485A48E7" w14:textId="77777777" w:rsidR="00E041A1" w:rsidRPr="007245DE" w:rsidRDefault="00E041A1" w:rsidP="0070459C">
            <w:r w:rsidRPr="007245DE">
              <w:t>Climate Change Reserve</w:t>
            </w:r>
          </w:p>
        </w:tc>
        <w:tc>
          <w:tcPr>
            <w:tcW w:w="6509" w:type="dxa"/>
          </w:tcPr>
          <w:p w14:paraId="485A48E8" w14:textId="77777777" w:rsidR="00E041A1" w:rsidRPr="007245DE" w:rsidRDefault="00E041A1" w:rsidP="0070459C">
            <w:r w:rsidRPr="007245DE">
              <w:t xml:space="preserve">Held to support </w:t>
            </w:r>
            <w:r w:rsidR="00E47108" w:rsidRPr="007245DE">
              <w:t xml:space="preserve">specific </w:t>
            </w:r>
            <w:r w:rsidRPr="007245DE">
              <w:t>proje</w:t>
            </w:r>
            <w:r w:rsidR="00E47108" w:rsidRPr="007245DE">
              <w:t xml:space="preserve">cts that reduce our own </w:t>
            </w:r>
            <w:r w:rsidRPr="007245DE">
              <w:t>climate change emissions and emissions projects in the Park</w:t>
            </w:r>
          </w:p>
        </w:tc>
      </w:tr>
      <w:tr w:rsidR="00E041A1" w:rsidRPr="007245DE" w14:paraId="485A48EC" w14:textId="77777777" w:rsidTr="008C0A1F">
        <w:trPr>
          <w:jc w:val="center"/>
        </w:trPr>
        <w:tc>
          <w:tcPr>
            <w:tcW w:w="2520" w:type="dxa"/>
          </w:tcPr>
          <w:p w14:paraId="485A48EA" w14:textId="77777777" w:rsidR="00E041A1" w:rsidRPr="007245DE" w:rsidRDefault="00E041A1" w:rsidP="0070459C">
            <w:r w:rsidRPr="007245DE">
              <w:t>Windermere Registration Reserve</w:t>
            </w:r>
          </w:p>
        </w:tc>
        <w:tc>
          <w:tcPr>
            <w:tcW w:w="6509" w:type="dxa"/>
          </w:tcPr>
          <w:p w14:paraId="485A48EB" w14:textId="77777777" w:rsidR="00E041A1" w:rsidRPr="007245DE" w:rsidRDefault="00E041A1" w:rsidP="0070459C">
            <w:r w:rsidRPr="007245DE">
              <w:t xml:space="preserve">Held to support </w:t>
            </w:r>
            <w:r w:rsidR="00382E71" w:rsidRPr="007245DE">
              <w:t xml:space="preserve">the management and administration costs of the </w:t>
            </w:r>
            <w:r w:rsidRPr="007245DE">
              <w:t xml:space="preserve">Windermere </w:t>
            </w:r>
            <w:r w:rsidR="00382E71" w:rsidRPr="007245DE">
              <w:t xml:space="preserve">Lake </w:t>
            </w:r>
            <w:r w:rsidRPr="007245DE">
              <w:t>Byelaw</w:t>
            </w:r>
            <w:r w:rsidR="00382E71" w:rsidRPr="007245DE">
              <w:t>s</w:t>
            </w:r>
          </w:p>
        </w:tc>
      </w:tr>
      <w:tr w:rsidR="005709CC" w:rsidRPr="007245DE" w14:paraId="485A48F2" w14:textId="77777777" w:rsidTr="008C0A1F">
        <w:trPr>
          <w:jc w:val="center"/>
        </w:trPr>
        <w:tc>
          <w:tcPr>
            <w:tcW w:w="2520" w:type="dxa"/>
          </w:tcPr>
          <w:p w14:paraId="485A48F0" w14:textId="77777777" w:rsidR="005709CC" w:rsidRPr="007245DE" w:rsidRDefault="00D53805" w:rsidP="0070459C">
            <w:r w:rsidRPr="007245DE">
              <w:t>UK National Parks Digital Partnership</w:t>
            </w:r>
          </w:p>
        </w:tc>
        <w:tc>
          <w:tcPr>
            <w:tcW w:w="6509" w:type="dxa"/>
          </w:tcPr>
          <w:p w14:paraId="485A48F1" w14:textId="77777777" w:rsidR="005709CC" w:rsidRPr="007245DE" w:rsidRDefault="005709CC" w:rsidP="0070459C">
            <w:pPr>
              <w:rPr>
                <w:rFonts w:cs="Arial"/>
              </w:rPr>
            </w:pPr>
            <w:r w:rsidRPr="007245DE">
              <w:t xml:space="preserve">Held </w:t>
            </w:r>
            <w:r w:rsidR="00D53805" w:rsidRPr="007245DE">
              <w:t xml:space="preserve">under agreement in </w:t>
            </w:r>
            <w:r w:rsidRPr="007245DE">
              <w:t xml:space="preserve">support </w:t>
            </w:r>
            <w:r w:rsidR="00D53805" w:rsidRPr="007245DE">
              <w:t>of service delivery for the UK National Parks Digital Partnership.</w:t>
            </w:r>
          </w:p>
        </w:tc>
      </w:tr>
      <w:tr w:rsidR="00D53805" w:rsidRPr="007245DE" w14:paraId="485A48F5" w14:textId="77777777" w:rsidTr="008C0A1F">
        <w:trPr>
          <w:jc w:val="center"/>
        </w:trPr>
        <w:tc>
          <w:tcPr>
            <w:tcW w:w="2520" w:type="dxa"/>
          </w:tcPr>
          <w:p w14:paraId="485A48F3" w14:textId="77777777" w:rsidR="00D53805" w:rsidRPr="007245DE" w:rsidRDefault="00D53805" w:rsidP="0070459C">
            <w:r w:rsidRPr="007245DE">
              <w:t>Cumbria Woodlands</w:t>
            </w:r>
          </w:p>
        </w:tc>
        <w:tc>
          <w:tcPr>
            <w:tcW w:w="6509" w:type="dxa"/>
          </w:tcPr>
          <w:p w14:paraId="485A48F4" w14:textId="2147ED0C" w:rsidR="00D53805" w:rsidRPr="007245DE" w:rsidRDefault="00D53805" w:rsidP="0070459C">
            <w:r w:rsidRPr="007245DE">
              <w:t>Held to support the Cumbria Woodlands service</w:t>
            </w:r>
            <w:r w:rsidR="00400441" w:rsidRPr="007245DE">
              <w:t xml:space="preserve"> and neutralise any impact on the Authority General Fund for Cumbria Woodlands work.</w:t>
            </w:r>
          </w:p>
        </w:tc>
      </w:tr>
      <w:tr w:rsidR="005709CC" w:rsidRPr="007245DE" w14:paraId="485A48F8" w14:textId="77777777" w:rsidTr="008C0A1F">
        <w:trPr>
          <w:jc w:val="center"/>
        </w:trPr>
        <w:tc>
          <w:tcPr>
            <w:tcW w:w="2520" w:type="dxa"/>
          </w:tcPr>
          <w:p w14:paraId="485A48F6" w14:textId="71DFB652" w:rsidR="005709CC" w:rsidRPr="007245DE" w:rsidRDefault="005709CC" w:rsidP="0070459C">
            <w:r w:rsidRPr="007245DE">
              <w:t>Invest</w:t>
            </w:r>
            <w:r w:rsidR="00CB374B">
              <w:t>ment</w:t>
            </w:r>
            <w:r w:rsidRPr="007245DE">
              <w:t xml:space="preserve"> Reserve</w:t>
            </w:r>
          </w:p>
        </w:tc>
        <w:tc>
          <w:tcPr>
            <w:tcW w:w="6509" w:type="dxa"/>
          </w:tcPr>
          <w:p w14:paraId="485A48F7" w14:textId="77777777" w:rsidR="005709CC" w:rsidRPr="007245DE" w:rsidRDefault="005709CC" w:rsidP="0070459C">
            <w:r w:rsidRPr="007245DE">
              <w:t>Held to provide funding to invest in new initiatives that can deliver additional financial contribution and / or improvements in direct delivery</w:t>
            </w:r>
          </w:p>
        </w:tc>
      </w:tr>
      <w:tr w:rsidR="005709CC" w:rsidRPr="007245DE" w14:paraId="485A48FF" w14:textId="77777777" w:rsidTr="008C0A1F">
        <w:trPr>
          <w:jc w:val="center"/>
        </w:trPr>
        <w:tc>
          <w:tcPr>
            <w:tcW w:w="2520" w:type="dxa"/>
          </w:tcPr>
          <w:p w14:paraId="485A48FD" w14:textId="77777777" w:rsidR="005709CC" w:rsidRPr="007245DE" w:rsidRDefault="005709CC" w:rsidP="0070459C">
            <w:r w:rsidRPr="007245DE">
              <w:t>Partnership Priorities Reserve</w:t>
            </w:r>
          </w:p>
        </w:tc>
        <w:tc>
          <w:tcPr>
            <w:tcW w:w="6509" w:type="dxa"/>
          </w:tcPr>
          <w:p w14:paraId="485A48FE" w14:textId="77777777" w:rsidR="005709CC" w:rsidRPr="007245DE" w:rsidRDefault="005709CC" w:rsidP="0070459C">
            <w:pPr>
              <w:rPr>
                <w:rFonts w:cs="Arial"/>
              </w:rPr>
            </w:pPr>
            <w:r w:rsidRPr="007245DE">
              <w:rPr>
                <w:rFonts w:cs="Arial"/>
              </w:rPr>
              <w:t>Held to support the achievement of priorities identified by the Lake District National Park Partnership through specific projects</w:t>
            </w:r>
          </w:p>
        </w:tc>
      </w:tr>
      <w:tr w:rsidR="005709CC" w:rsidRPr="007245DE" w14:paraId="485A4902" w14:textId="77777777" w:rsidTr="008C0A1F">
        <w:trPr>
          <w:jc w:val="center"/>
        </w:trPr>
        <w:tc>
          <w:tcPr>
            <w:tcW w:w="2520" w:type="dxa"/>
          </w:tcPr>
          <w:p w14:paraId="485A4900" w14:textId="77777777" w:rsidR="005709CC" w:rsidRPr="007245DE" w:rsidRDefault="005709CC" w:rsidP="0070459C">
            <w:r w:rsidRPr="007245DE">
              <w:t>Fix the Fells Reserve</w:t>
            </w:r>
          </w:p>
        </w:tc>
        <w:tc>
          <w:tcPr>
            <w:tcW w:w="6509" w:type="dxa"/>
          </w:tcPr>
          <w:p w14:paraId="485A4901" w14:textId="77777777" w:rsidR="005709CC" w:rsidRPr="007245DE" w:rsidRDefault="005709CC" w:rsidP="0070459C">
            <w:r w:rsidRPr="007245DE">
              <w:t>Held to manage income generated from donations, sponsorship and grants and associated expenditure on behalf of the Fix the Fells Partnership</w:t>
            </w:r>
          </w:p>
        </w:tc>
      </w:tr>
      <w:tr w:rsidR="005709CC" w:rsidRPr="007245DE" w14:paraId="485A4908" w14:textId="77777777" w:rsidTr="008C0A1F">
        <w:trPr>
          <w:jc w:val="center"/>
        </w:trPr>
        <w:tc>
          <w:tcPr>
            <w:tcW w:w="2520" w:type="dxa"/>
          </w:tcPr>
          <w:p w14:paraId="485A4906" w14:textId="77777777" w:rsidR="005709CC" w:rsidRPr="007245DE" w:rsidRDefault="005709CC" w:rsidP="0070459C">
            <w:r w:rsidRPr="007245DE">
              <w:t>Public Rights of Way Reserve</w:t>
            </w:r>
          </w:p>
        </w:tc>
        <w:tc>
          <w:tcPr>
            <w:tcW w:w="6509" w:type="dxa"/>
          </w:tcPr>
          <w:p w14:paraId="485A4907" w14:textId="77777777" w:rsidR="005709CC" w:rsidRPr="007245DE" w:rsidRDefault="005709CC" w:rsidP="0070459C">
            <w:r w:rsidRPr="007245DE">
              <w:t>Held to support the re-instatement of public rights of way following the December 2015 floods and the upgrade of paths within the extension area</w:t>
            </w:r>
          </w:p>
        </w:tc>
      </w:tr>
      <w:tr w:rsidR="005709CC" w:rsidRPr="007245DE" w14:paraId="485A490B" w14:textId="77777777" w:rsidTr="008C0A1F">
        <w:trPr>
          <w:jc w:val="center"/>
        </w:trPr>
        <w:tc>
          <w:tcPr>
            <w:tcW w:w="2520" w:type="dxa"/>
          </w:tcPr>
          <w:p w14:paraId="485A4909" w14:textId="77777777" w:rsidR="005709CC" w:rsidRPr="007245DE" w:rsidRDefault="005709CC" w:rsidP="0070459C">
            <w:r w:rsidRPr="007245DE">
              <w:t>Planning Application Fee Increase</w:t>
            </w:r>
          </w:p>
        </w:tc>
        <w:tc>
          <w:tcPr>
            <w:tcW w:w="6509" w:type="dxa"/>
          </w:tcPr>
          <w:p w14:paraId="485A490A" w14:textId="77777777" w:rsidR="005709CC" w:rsidRPr="007245DE" w:rsidRDefault="005709CC" w:rsidP="0070459C">
            <w:r w:rsidRPr="007245DE">
              <w:t>To hold income relating to the increase in planning application fees from Jan 18 until the time it is used to support service delivery</w:t>
            </w:r>
          </w:p>
        </w:tc>
      </w:tr>
      <w:tr w:rsidR="00400441" w:rsidRPr="007245DE" w14:paraId="03296E19" w14:textId="77777777" w:rsidTr="008C0A1F">
        <w:trPr>
          <w:jc w:val="center"/>
        </w:trPr>
        <w:tc>
          <w:tcPr>
            <w:tcW w:w="2520" w:type="dxa"/>
          </w:tcPr>
          <w:p w14:paraId="5F42C6D8" w14:textId="69BC6661" w:rsidR="00400441" w:rsidRPr="007245DE" w:rsidRDefault="00400441" w:rsidP="0070459C">
            <w:r w:rsidRPr="007245DE">
              <w:t>Visitor Services Trading Reserve</w:t>
            </w:r>
          </w:p>
        </w:tc>
        <w:tc>
          <w:tcPr>
            <w:tcW w:w="6509" w:type="dxa"/>
          </w:tcPr>
          <w:p w14:paraId="1FD32B1B" w14:textId="753C7843" w:rsidR="00400441" w:rsidRPr="007245DE" w:rsidRDefault="00400441" w:rsidP="0070459C">
            <w:r w:rsidRPr="007245DE">
              <w:t>A general contingency reserve specifically to smooth out trading performance within Visitor Services. This has a target balance of £500k.</w:t>
            </w:r>
          </w:p>
        </w:tc>
      </w:tr>
      <w:tr w:rsidR="00400441" w:rsidRPr="007245DE" w14:paraId="446B0E08" w14:textId="77777777" w:rsidTr="008C0A1F">
        <w:trPr>
          <w:jc w:val="center"/>
        </w:trPr>
        <w:tc>
          <w:tcPr>
            <w:tcW w:w="2520" w:type="dxa"/>
          </w:tcPr>
          <w:p w14:paraId="05189F49" w14:textId="62DD59EE" w:rsidR="00400441" w:rsidRPr="007245DE" w:rsidRDefault="00400441" w:rsidP="0070459C">
            <w:r w:rsidRPr="007245DE">
              <w:t>Biodiversity Net Gain Reserve</w:t>
            </w:r>
          </w:p>
        </w:tc>
        <w:tc>
          <w:tcPr>
            <w:tcW w:w="6509" w:type="dxa"/>
          </w:tcPr>
          <w:p w14:paraId="1CA36BCB" w14:textId="7B139C92" w:rsidR="00400441" w:rsidRPr="007245DE" w:rsidRDefault="00400441" w:rsidP="0070459C">
            <w:r w:rsidRPr="007245DE">
              <w:t>To hold amounts received specifically in relation to funding future BNG work</w:t>
            </w:r>
          </w:p>
        </w:tc>
      </w:tr>
      <w:tr w:rsidR="007245DE" w:rsidRPr="007245DE" w14:paraId="16CD59A0" w14:textId="77777777" w:rsidTr="008C0A1F">
        <w:trPr>
          <w:jc w:val="center"/>
        </w:trPr>
        <w:tc>
          <w:tcPr>
            <w:tcW w:w="2520" w:type="dxa"/>
          </w:tcPr>
          <w:p w14:paraId="5105D2FC" w14:textId="1BC9D0B9" w:rsidR="007245DE" w:rsidRPr="007245DE" w:rsidRDefault="007245DE" w:rsidP="0070459C">
            <w:r w:rsidRPr="007245DE">
              <w:t>Farming in protected Landscapes reserve</w:t>
            </w:r>
          </w:p>
        </w:tc>
        <w:tc>
          <w:tcPr>
            <w:tcW w:w="6509" w:type="dxa"/>
          </w:tcPr>
          <w:p w14:paraId="677BE356" w14:textId="1B023713" w:rsidR="007245DE" w:rsidRPr="007245DE" w:rsidRDefault="007245DE" w:rsidP="0070459C">
            <w:r w:rsidRPr="007245DE">
              <w:t>To hold funds to support work relating to administering the FiPL scheme.</w:t>
            </w:r>
          </w:p>
        </w:tc>
      </w:tr>
      <w:tr w:rsidR="007245DE" w:rsidRPr="004D5CA8" w14:paraId="31026778" w14:textId="77777777" w:rsidTr="008C0A1F">
        <w:trPr>
          <w:jc w:val="center"/>
        </w:trPr>
        <w:tc>
          <w:tcPr>
            <w:tcW w:w="2520" w:type="dxa"/>
          </w:tcPr>
          <w:p w14:paraId="37A13174" w14:textId="0DFBF637" w:rsidR="007245DE" w:rsidRPr="007245DE" w:rsidRDefault="007245DE" w:rsidP="0070459C">
            <w:r w:rsidRPr="007245DE">
              <w:t>Planning interim support reserve</w:t>
            </w:r>
          </w:p>
        </w:tc>
        <w:tc>
          <w:tcPr>
            <w:tcW w:w="6509" w:type="dxa"/>
          </w:tcPr>
          <w:p w14:paraId="3DF311E6" w14:textId="4FFB7F19" w:rsidR="007245DE" w:rsidRPr="007245DE" w:rsidRDefault="007245DE" w:rsidP="0070459C">
            <w:r w:rsidRPr="007245DE">
              <w:t>Funds held specifically to support planning service staffing.</w:t>
            </w:r>
          </w:p>
        </w:tc>
      </w:tr>
      <w:tr w:rsidR="007A0EFC" w:rsidRPr="004D5CA8" w14:paraId="3D66F195" w14:textId="77777777" w:rsidTr="008C0A1F">
        <w:trPr>
          <w:jc w:val="center"/>
        </w:trPr>
        <w:tc>
          <w:tcPr>
            <w:tcW w:w="2520" w:type="dxa"/>
          </w:tcPr>
          <w:p w14:paraId="05DCBAE3" w14:textId="59839274" w:rsidR="007A0EFC" w:rsidRPr="007245DE" w:rsidRDefault="007A0EFC" w:rsidP="0070459C">
            <w:r>
              <w:t>Inquiry reserve</w:t>
            </w:r>
          </w:p>
        </w:tc>
        <w:tc>
          <w:tcPr>
            <w:tcW w:w="6509" w:type="dxa"/>
          </w:tcPr>
          <w:p w14:paraId="7FFA38EE" w14:textId="7A676A7A" w:rsidR="007A0EFC" w:rsidRPr="007245DE" w:rsidRDefault="007A0EFC" w:rsidP="0070459C">
            <w:r>
              <w:t>Funds set aside for periodic planning enquiries</w:t>
            </w:r>
          </w:p>
        </w:tc>
      </w:tr>
      <w:tr w:rsidR="00CB374B" w:rsidRPr="004D5CA8" w14:paraId="3AE67578" w14:textId="77777777" w:rsidTr="008C0A1F">
        <w:trPr>
          <w:jc w:val="center"/>
        </w:trPr>
        <w:tc>
          <w:tcPr>
            <w:tcW w:w="2520" w:type="dxa"/>
          </w:tcPr>
          <w:p w14:paraId="4D60DF0B" w14:textId="7178DFFF" w:rsidR="00CB374B" w:rsidRDefault="00CB374B" w:rsidP="0070459C">
            <w:r>
              <w:t>Committed Salary Reserve</w:t>
            </w:r>
          </w:p>
        </w:tc>
        <w:tc>
          <w:tcPr>
            <w:tcW w:w="6509" w:type="dxa"/>
          </w:tcPr>
          <w:p w14:paraId="185974E7" w14:textId="753AEFC5" w:rsidR="00CB374B" w:rsidRDefault="00CB374B" w:rsidP="0070459C">
            <w:r>
              <w:t>Used to hold reserve funds where these have been committed to pay for future salary costs</w:t>
            </w:r>
          </w:p>
        </w:tc>
      </w:tr>
    </w:tbl>
    <w:p w14:paraId="485A490F" w14:textId="77777777" w:rsidR="00221024" w:rsidRPr="004D5CA8" w:rsidRDefault="00221024" w:rsidP="0070459C">
      <w:pPr>
        <w:spacing w:after="120"/>
        <w:rPr>
          <w:sz w:val="22"/>
          <w:szCs w:val="22"/>
          <w:highlight w:val="yellow"/>
        </w:rPr>
      </w:pPr>
    </w:p>
    <w:p w14:paraId="485A4914" w14:textId="77777777" w:rsidR="006A4B16" w:rsidRPr="004D5CA8" w:rsidRDefault="006A4B16" w:rsidP="0070459C">
      <w:pPr>
        <w:spacing w:after="120"/>
        <w:rPr>
          <w:sz w:val="22"/>
          <w:szCs w:val="22"/>
          <w:highlight w:val="yellow"/>
        </w:rPr>
      </w:pPr>
    </w:p>
    <w:p w14:paraId="485A4915" w14:textId="77777777" w:rsidR="00E40210" w:rsidRPr="004D5CA8" w:rsidRDefault="00E40210" w:rsidP="0070459C">
      <w:pPr>
        <w:spacing w:after="120"/>
        <w:rPr>
          <w:sz w:val="22"/>
          <w:szCs w:val="22"/>
          <w:highlight w:val="yellow"/>
        </w:rPr>
      </w:pPr>
    </w:p>
    <w:p w14:paraId="485A4916" w14:textId="77777777" w:rsidR="00E00863" w:rsidRPr="004D5CA8" w:rsidRDefault="00721791" w:rsidP="0070459C">
      <w:pPr>
        <w:tabs>
          <w:tab w:val="left" w:pos="567"/>
        </w:tabs>
        <w:spacing w:after="120"/>
        <w:rPr>
          <w:b/>
          <w:i/>
          <w:highlight w:val="yellow"/>
        </w:rPr>
      </w:pPr>
      <w:r w:rsidRPr="004D5CA8">
        <w:rPr>
          <w:b/>
          <w:i/>
          <w:highlight w:val="yellow"/>
        </w:rPr>
        <w:br w:type="page"/>
      </w:r>
    </w:p>
    <w:p w14:paraId="485A4917" w14:textId="77777777" w:rsidR="007F01E5" w:rsidRPr="004D5CA8" w:rsidRDefault="007F01E5" w:rsidP="0070459C">
      <w:pPr>
        <w:tabs>
          <w:tab w:val="left" w:pos="567"/>
        </w:tabs>
        <w:spacing w:after="120"/>
        <w:rPr>
          <w:b/>
          <w:i/>
          <w:sz w:val="22"/>
          <w:szCs w:val="22"/>
          <w:highlight w:val="yellow"/>
        </w:rPr>
      </w:pPr>
    </w:p>
    <w:p w14:paraId="485A4918" w14:textId="4BCBCA5F" w:rsidR="00E00863" w:rsidRPr="00257F2F" w:rsidRDefault="00E00863" w:rsidP="0070459C">
      <w:pPr>
        <w:pStyle w:val="Subtitle"/>
        <w:numPr>
          <w:ilvl w:val="0"/>
          <w:numId w:val="47"/>
        </w:numPr>
        <w:tabs>
          <w:tab w:val="left" w:pos="-709"/>
          <w:tab w:val="left" w:pos="-284"/>
          <w:tab w:val="left" w:pos="-142"/>
          <w:tab w:val="left" w:pos="0"/>
          <w:tab w:val="left" w:pos="567"/>
        </w:tabs>
        <w:spacing w:line="240" w:lineRule="atLeast"/>
        <w:ind w:left="0" w:right="680" w:firstLine="0"/>
        <w:rPr>
          <w:rFonts w:ascii="Arial" w:eastAsia="Times New Roman" w:hAnsi="Arial"/>
          <w:b/>
          <w:i w:val="0"/>
          <w:iCs w:val="0"/>
          <w:spacing w:val="0"/>
          <w:sz w:val="23"/>
          <w:szCs w:val="23"/>
          <w:u w:val="none"/>
          <w:lang w:eastAsia="en-US"/>
        </w:rPr>
      </w:pPr>
      <w:bookmarkStart w:id="462" w:name="_Toc167965823"/>
      <w:r w:rsidRPr="007055C3">
        <w:rPr>
          <w:rStyle w:val="Heading2Char"/>
          <w:i w:val="0"/>
          <w:iCs w:val="0"/>
          <w:u w:val="none"/>
        </w:rPr>
        <w:t xml:space="preserve">Summary of Movement on </w:t>
      </w:r>
      <w:r w:rsidR="00C569DB" w:rsidRPr="007055C3">
        <w:rPr>
          <w:rStyle w:val="Heading2Char"/>
          <w:i w:val="0"/>
          <w:iCs w:val="0"/>
          <w:u w:val="none"/>
        </w:rPr>
        <w:t>Usable</w:t>
      </w:r>
      <w:r w:rsidR="00420AE5" w:rsidRPr="007055C3">
        <w:rPr>
          <w:rStyle w:val="Heading2Char"/>
          <w:i w:val="0"/>
          <w:iCs w:val="0"/>
          <w:u w:val="none"/>
        </w:rPr>
        <w:t xml:space="preserve"> </w:t>
      </w:r>
      <w:r w:rsidRPr="007055C3">
        <w:rPr>
          <w:rStyle w:val="Heading2Char"/>
          <w:i w:val="0"/>
          <w:iCs w:val="0"/>
          <w:u w:val="none"/>
        </w:rPr>
        <w:t>Reserves</w:t>
      </w:r>
      <w:bookmarkEnd w:id="462"/>
      <w:r w:rsidR="00326683">
        <w:rPr>
          <w:rStyle w:val="Heading2Char"/>
          <w:i w:val="0"/>
          <w:iCs w:val="0"/>
          <w:u w:val="none"/>
        </w:rPr>
        <w:t xml:space="preserve"> </w:t>
      </w:r>
    </w:p>
    <w:p w14:paraId="05ECC2B8" w14:textId="77777777" w:rsidR="00257F2F" w:rsidRDefault="00257F2F" w:rsidP="0070459C">
      <w:pPr>
        <w:rPr>
          <w:highlight w:val="yellow"/>
        </w:rPr>
      </w:pPr>
    </w:p>
    <w:tbl>
      <w:tblPr>
        <w:tblW w:w="9866" w:type="dxa"/>
        <w:tblLook w:val="04A0" w:firstRow="1" w:lastRow="0" w:firstColumn="1" w:lastColumn="0" w:noHBand="0" w:noVBand="1"/>
      </w:tblPr>
      <w:tblGrid>
        <w:gridCol w:w="4180"/>
        <w:gridCol w:w="1197"/>
        <w:gridCol w:w="1128"/>
        <w:gridCol w:w="984"/>
        <w:gridCol w:w="1128"/>
        <w:gridCol w:w="1249"/>
      </w:tblGrid>
      <w:tr w:rsidR="00326683" w:rsidRPr="00326683" w14:paraId="697FAC8F" w14:textId="77777777" w:rsidTr="002A6617">
        <w:trPr>
          <w:trHeight w:val="1040"/>
        </w:trPr>
        <w:tc>
          <w:tcPr>
            <w:tcW w:w="4180" w:type="dxa"/>
            <w:vMerge w:val="restart"/>
            <w:tcBorders>
              <w:top w:val="single" w:sz="8" w:space="0" w:color="auto"/>
              <w:left w:val="single" w:sz="8" w:space="0" w:color="auto"/>
              <w:bottom w:val="single" w:sz="8" w:space="0" w:color="000000"/>
              <w:right w:val="single" w:sz="8" w:space="0" w:color="auto"/>
            </w:tcBorders>
            <w:shd w:val="clear" w:color="000000" w:fill="000000"/>
            <w:vAlign w:val="center"/>
            <w:hideMark/>
          </w:tcPr>
          <w:p w14:paraId="48BD8A2C" w14:textId="77777777" w:rsidR="00326683" w:rsidRPr="00326683" w:rsidRDefault="00326683" w:rsidP="00326683">
            <w:pPr>
              <w:rPr>
                <w:rFonts w:cs="Arial"/>
                <w:b/>
                <w:bCs/>
                <w:color w:val="FFFFFF"/>
                <w:sz w:val="20"/>
                <w:szCs w:val="20"/>
                <w:lang w:eastAsia="en-GB"/>
              </w:rPr>
            </w:pPr>
            <w:r w:rsidRPr="00326683">
              <w:rPr>
                <w:rFonts w:cs="Arial"/>
                <w:b/>
                <w:bCs/>
                <w:color w:val="FFFFFF"/>
                <w:sz w:val="20"/>
                <w:szCs w:val="20"/>
                <w:lang w:eastAsia="en-GB"/>
              </w:rPr>
              <w:t>Description</w:t>
            </w:r>
          </w:p>
        </w:tc>
        <w:tc>
          <w:tcPr>
            <w:tcW w:w="1197" w:type="dxa"/>
            <w:tcBorders>
              <w:top w:val="single" w:sz="8" w:space="0" w:color="auto"/>
              <w:left w:val="nil"/>
              <w:bottom w:val="nil"/>
              <w:right w:val="single" w:sz="8" w:space="0" w:color="auto"/>
            </w:tcBorders>
            <w:shd w:val="clear" w:color="000000" w:fill="000000"/>
            <w:vAlign w:val="center"/>
            <w:hideMark/>
          </w:tcPr>
          <w:p w14:paraId="2A6A860A" w14:textId="77777777" w:rsidR="00326683" w:rsidRPr="00326683" w:rsidRDefault="00326683" w:rsidP="00326683">
            <w:pPr>
              <w:jc w:val="center"/>
              <w:rPr>
                <w:rFonts w:cs="Arial"/>
                <w:b/>
                <w:bCs/>
                <w:color w:val="FFFFFF"/>
                <w:sz w:val="20"/>
                <w:szCs w:val="20"/>
                <w:lang w:eastAsia="en-GB"/>
              </w:rPr>
            </w:pPr>
            <w:r w:rsidRPr="00326683">
              <w:rPr>
                <w:rFonts w:cs="Arial"/>
                <w:b/>
                <w:bCs/>
                <w:color w:val="FFFFFF"/>
                <w:sz w:val="20"/>
                <w:szCs w:val="20"/>
                <w:lang w:eastAsia="en-GB"/>
              </w:rPr>
              <w:t>Balance 31 March 2022</w:t>
            </w:r>
          </w:p>
        </w:tc>
        <w:tc>
          <w:tcPr>
            <w:tcW w:w="1128" w:type="dxa"/>
            <w:tcBorders>
              <w:top w:val="single" w:sz="8" w:space="0" w:color="auto"/>
              <w:left w:val="nil"/>
              <w:bottom w:val="nil"/>
              <w:right w:val="single" w:sz="8" w:space="0" w:color="auto"/>
            </w:tcBorders>
            <w:shd w:val="clear" w:color="000000" w:fill="000000"/>
            <w:vAlign w:val="center"/>
            <w:hideMark/>
          </w:tcPr>
          <w:p w14:paraId="53A4EF1F" w14:textId="77777777" w:rsidR="00326683" w:rsidRPr="00326683" w:rsidRDefault="00326683" w:rsidP="00326683">
            <w:pPr>
              <w:jc w:val="center"/>
              <w:rPr>
                <w:rFonts w:cs="Arial"/>
                <w:b/>
                <w:bCs/>
                <w:color w:val="FFFFFF"/>
                <w:sz w:val="20"/>
                <w:szCs w:val="20"/>
                <w:lang w:eastAsia="en-GB"/>
              </w:rPr>
            </w:pPr>
            <w:r w:rsidRPr="00326683">
              <w:rPr>
                <w:rFonts w:cs="Arial"/>
                <w:b/>
                <w:bCs/>
                <w:color w:val="FFFFFF"/>
                <w:sz w:val="20"/>
                <w:szCs w:val="20"/>
                <w:lang w:eastAsia="en-GB"/>
              </w:rPr>
              <w:t>Transfers to/(from) reserves</w:t>
            </w:r>
          </w:p>
        </w:tc>
        <w:tc>
          <w:tcPr>
            <w:tcW w:w="984" w:type="dxa"/>
            <w:tcBorders>
              <w:top w:val="single" w:sz="8" w:space="0" w:color="auto"/>
              <w:left w:val="nil"/>
              <w:bottom w:val="nil"/>
              <w:right w:val="single" w:sz="8" w:space="0" w:color="auto"/>
            </w:tcBorders>
            <w:shd w:val="clear" w:color="000000" w:fill="000000"/>
            <w:vAlign w:val="center"/>
            <w:hideMark/>
          </w:tcPr>
          <w:p w14:paraId="797648A8" w14:textId="77777777" w:rsidR="00326683" w:rsidRPr="00326683" w:rsidRDefault="00326683" w:rsidP="00326683">
            <w:pPr>
              <w:jc w:val="center"/>
              <w:rPr>
                <w:rFonts w:cs="Arial"/>
                <w:b/>
                <w:bCs/>
                <w:color w:val="FFFFFF"/>
                <w:sz w:val="20"/>
                <w:szCs w:val="20"/>
                <w:lang w:eastAsia="en-GB"/>
              </w:rPr>
            </w:pPr>
            <w:r w:rsidRPr="00326683">
              <w:rPr>
                <w:rFonts w:cs="Arial"/>
                <w:b/>
                <w:bCs/>
                <w:color w:val="FFFFFF"/>
                <w:sz w:val="20"/>
                <w:szCs w:val="20"/>
                <w:lang w:eastAsia="en-GB"/>
              </w:rPr>
              <w:t>Balance 31 March 2023</w:t>
            </w:r>
          </w:p>
        </w:tc>
        <w:tc>
          <w:tcPr>
            <w:tcW w:w="1128" w:type="dxa"/>
            <w:tcBorders>
              <w:top w:val="single" w:sz="8" w:space="0" w:color="auto"/>
              <w:left w:val="nil"/>
              <w:bottom w:val="nil"/>
              <w:right w:val="single" w:sz="8" w:space="0" w:color="auto"/>
            </w:tcBorders>
            <w:shd w:val="clear" w:color="000000" w:fill="000000"/>
            <w:vAlign w:val="center"/>
            <w:hideMark/>
          </w:tcPr>
          <w:p w14:paraId="49CE5169" w14:textId="77777777" w:rsidR="00326683" w:rsidRPr="00326683" w:rsidRDefault="00326683" w:rsidP="00326683">
            <w:pPr>
              <w:jc w:val="center"/>
              <w:rPr>
                <w:rFonts w:cs="Arial"/>
                <w:b/>
                <w:bCs/>
                <w:color w:val="FFFFFF"/>
                <w:sz w:val="20"/>
                <w:szCs w:val="20"/>
                <w:lang w:eastAsia="en-GB"/>
              </w:rPr>
            </w:pPr>
            <w:r w:rsidRPr="00326683">
              <w:rPr>
                <w:rFonts w:cs="Arial"/>
                <w:b/>
                <w:bCs/>
                <w:color w:val="FFFFFF"/>
                <w:sz w:val="20"/>
                <w:szCs w:val="20"/>
                <w:lang w:eastAsia="en-GB"/>
              </w:rPr>
              <w:t>Transfers to/(from) reserves</w:t>
            </w:r>
          </w:p>
        </w:tc>
        <w:tc>
          <w:tcPr>
            <w:tcW w:w="1249" w:type="dxa"/>
            <w:tcBorders>
              <w:top w:val="single" w:sz="8" w:space="0" w:color="auto"/>
              <w:left w:val="nil"/>
              <w:bottom w:val="nil"/>
              <w:right w:val="single" w:sz="8" w:space="0" w:color="auto"/>
            </w:tcBorders>
            <w:shd w:val="clear" w:color="000000" w:fill="000000"/>
            <w:vAlign w:val="center"/>
            <w:hideMark/>
          </w:tcPr>
          <w:p w14:paraId="0B161711" w14:textId="77777777" w:rsidR="00326683" w:rsidRPr="00326683" w:rsidRDefault="00326683" w:rsidP="00326683">
            <w:pPr>
              <w:jc w:val="center"/>
              <w:rPr>
                <w:rFonts w:cs="Arial"/>
                <w:b/>
                <w:bCs/>
                <w:color w:val="FFFFFF"/>
                <w:sz w:val="20"/>
                <w:szCs w:val="20"/>
                <w:lang w:eastAsia="en-GB"/>
              </w:rPr>
            </w:pPr>
            <w:r w:rsidRPr="00326683">
              <w:rPr>
                <w:rFonts w:cs="Arial"/>
                <w:b/>
                <w:bCs/>
                <w:color w:val="FFFFFF"/>
                <w:sz w:val="20"/>
                <w:szCs w:val="20"/>
                <w:lang w:eastAsia="en-GB"/>
              </w:rPr>
              <w:t>Balance 31 March 2024</w:t>
            </w:r>
          </w:p>
        </w:tc>
      </w:tr>
      <w:tr w:rsidR="00326683" w:rsidRPr="00326683" w14:paraId="79D690D1" w14:textId="77777777" w:rsidTr="002A6617">
        <w:trPr>
          <w:trHeight w:val="300"/>
        </w:trPr>
        <w:tc>
          <w:tcPr>
            <w:tcW w:w="4180" w:type="dxa"/>
            <w:vMerge/>
            <w:tcBorders>
              <w:top w:val="single" w:sz="8" w:space="0" w:color="auto"/>
              <w:left w:val="single" w:sz="8" w:space="0" w:color="auto"/>
              <w:bottom w:val="single" w:sz="8" w:space="0" w:color="000000"/>
              <w:right w:val="single" w:sz="8" w:space="0" w:color="auto"/>
            </w:tcBorders>
            <w:vAlign w:val="center"/>
            <w:hideMark/>
          </w:tcPr>
          <w:p w14:paraId="620BCB6E" w14:textId="77777777" w:rsidR="00326683" w:rsidRPr="00326683" w:rsidRDefault="00326683" w:rsidP="00326683">
            <w:pPr>
              <w:rPr>
                <w:rFonts w:cs="Arial"/>
                <w:b/>
                <w:bCs/>
                <w:color w:val="FFFFFF"/>
                <w:sz w:val="20"/>
                <w:szCs w:val="20"/>
                <w:lang w:eastAsia="en-GB"/>
              </w:rPr>
            </w:pPr>
          </w:p>
        </w:tc>
        <w:tc>
          <w:tcPr>
            <w:tcW w:w="1197" w:type="dxa"/>
            <w:tcBorders>
              <w:top w:val="nil"/>
              <w:left w:val="nil"/>
              <w:bottom w:val="nil"/>
              <w:right w:val="single" w:sz="8" w:space="0" w:color="auto"/>
            </w:tcBorders>
            <w:shd w:val="clear" w:color="000000" w:fill="000000"/>
            <w:vAlign w:val="center"/>
            <w:hideMark/>
          </w:tcPr>
          <w:p w14:paraId="798820DC" w14:textId="77777777" w:rsidR="00326683" w:rsidRPr="00326683" w:rsidRDefault="00326683" w:rsidP="00326683">
            <w:pPr>
              <w:jc w:val="center"/>
              <w:rPr>
                <w:rFonts w:cs="Arial"/>
                <w:b/>
                <w:bCs/>
                <w:color w:val="FFFFFF"/>
                <w:sz w:val="20"/>
                <w:szCs w:val="20"/>
                <w:lang w:eastAsia="en-GB"/>
              </w:rPr>
            </w:pPr>
            <w:r w:rsidRPr="00326683">
              <w:rPr>
                <w:rFonts w:cs="Arial"/>
                <w:b/>
                <w:bCs/>
                <w:color w:val="FFFFFF"/>
                <w:sz w:val="20"/>
                <w:szCs w:val="20"/>
                <w:lang w:eastAsia="en-GB"/>
              </w:rPr>
              <w:t>£0</w:t>
            </w:r>
          </w:p>
        </w:tc>
        <w:tc>
          <w:tcPr>
            <w:tcW w:w="1128" w:type="dxa"/>
            <w:tcBorders>
              <w:top w:val="nil"/>
              <w:left w:val="nil"/>
              <w:bottom w:val="nil"/>
              <w:right w:val="single" w:sz="8" w:space="0" w:color="auto"/>
            </w:tcBorders>
            <w:shd w:val="clear" w:color="000000" w:fill="000000"/>
            <w:vAlign w:val="center"/>
            <w:hideMark/>
          </w:tcPr>
          <w:p w14:paraId="76619952" w14:textId="77777777" w:rsidR="00326683" w:rsidRPr="00326683" w:rsidRDefault="00326683" w:rsidP="00326683">
            <w:pPr>
              <w:jc w:val="center"/>
              <w:rPr>
                <w:rFonts w:cs="Arial"/>
                <w:b/>
                <w:bCs/>
                <w:color w:val="FFFFFF"/>
                <w:sz w:val="20"/>
                <w:szCs w:val="20"/>
                <w:lang w:eastAsia="en-GB"/>
              </w:rPr>
            </w:pPr>
            <w:r w:rsidRPr="00326683">
              <w:rPr>
                <w:rFonts w:cs="Arial"/>
                <w:b/>
                <w:bCs/>
                <w:color w:val="FFFFFF"/>
                <w:sz w:val="20"/>
                <w:szCs w:val="20"/>
                <w:lang w:eastAsia="en-GB"/>
              </w:rPr>
              <w:t>£0</w:t>
            </w:r>
          </w:p>
        </w:tc>
        <w:tc>
          <w:tcPr>
            <w:tcW w:w="984" w:type="dxa"/>
            <w:tcBorders>
              <w:top w:val="nil"/>
              <w:left w:val="nil"/>
              <w:bottom w:val="nil"/>
              <w:right w:val="single" w:sz="8" w:space="0" w:color="auto"/>
            </w:tcBorders>
            <w:shd w:val="clear" w:color="000000" w:fill="000000"/>
            <w:vAlign w:val="center"/>
            <w:hideMark/>
          </w:tcPr>
          <w:p w14:paraId="1943D34E" w14:textId="77777777" w:rsidR="00326683" w:rsidRPr="00326683" w:rsidRDefault="00326683" w:rsidP="00326683">
            <w:pPr>
              <w:jc w:val="center"/>
              <w:rPr>
                <w:rFonts w:cs="Arial"/>
                <w:b/>
                <w:bCs/>
                <w:color w:val="FFFFFF"/>
                <w:sz w:val="20"/>
                <w:szCs w:val="20"/>
                <w:lang w:eastAsia="en-GB"/>
              </w:rPr>
            </w:pPr>
            <w:r w:rsidRPr="00326683">
              <w:rPr>
                <w:rFonts w:cs="Arial"/>
                <w:b/>
                <w:bCs/>
                <w:color w:val="FFFFFF"/>
                <w:sz w:val="20"/>
                <w:szCs w:val="20"/>
                <w:lang w:eastAsia="en-GB"/>
              </w:rPr>
              <w:t>£0</w:t>
            </w:r>
          </w:p>
        </w:tc>
        <w:tc>
          <w:tcPr>
            <w:tcW w:w="1128" w:type="dxa"/>
            <w:tcBorders>
              <w:top w:val="nil"/>
              <w:left w:val="nil"/>
              <w:bottom w:val="nil"/>
              <w:right w:val="single" w:sz="8" w:space="0" w:color="auto"/>
            </w:tcBorders>
            <w:shd w:val="clear" w:color="000000" w:fill="000000"/>
            <w:vAlign w:val="center"/>
            <w:hideMark/>
          </w:tcPr>
          <w:p w14:paraId="5A0E1C32" w14:textId="77777777" w:rsidR="00326683" w:rsidRPr="00326683" w:rsidRDefault="00326683" w:rsidP="00326683">
            <w:pPr>
              <w:jc w:val="center"/>
              <w:rPr>
                <w:rFonts w:cs="Arial"/>
                <w:b/>
                <w:bCs/>
                <w:color w:val="FFFFFF"/>
                <w:sz w:val="20"/>
                <w:szCs w:val="20"/>
                <w:lang w:eastAsia="en-GB"/>
              </w:rPr>
            </w:pPr>
            <w:r w:rsidRPr="00326683">
              <w:rPr>
                <w:rFonts w:cs="Arial"/>
                <w:b/>
                <w:bCs/>
                <w:color w:val="FFFFFF"/>
                <w:sz w:val="20"/>
                <w:szCs w:val="20"/>
                <w:lang w:eastAsia="en-GB"/>
              </w:rPr>
              <w:t>£0</w:t>
            </w:r>
          </w:p>
        </w:tc>
        <w:tc>
          <w:tcPr>
            <w:tcW w:w="1249" w:type="dxa"/>
            <w:tcBorders>
              <w:top w:val="nil"/>
              <w:left w:val="nil"/>
              <w:bottom w:val="nil"/>
              <w:right w:val="single" w:sz="8" w:space="0" w:color="auto"/>
            </w:tcBorders>
            <w:shd w:val="clear" w:color="000000" w:fill="000000"/>
            <w:vAlign w:val="center"/>
            <w:hideMark/>
          </w:tcPr>
          <w:p w14:paraId="6A5C813A" w14:textId="77777777" w:rsidR="00326683" w:rsidRPr="00326683" w:rsidRDefault="00326683" w:rsidP="00326683">
            <w:pPr>
              <w:jc w:val="center"/>
              <w:rPr>
                <w:rFonts w:cs="Arial"/>
                <w:b/>
                <w:bCs/>
                <w:color w:val="FFFFFF"/>
                <w:sz w:val="20"/>
                <w:szCs w:val="20"/>
                <w:lang w:eastAsia="en-GB"/>
              </w:rPr>
            </w:pPr>
            <w:r w:rsidRPr="00326683">
              <w:rPr>
                <w:rFonts w:cs="Arial"/>
                <w:b/>
                <w:bCs/>
                <w:color w:val="FFFFFF"/>
                <w:sz w:val="20"/>
                <w:szCs w:val="20"/>
                <w:lang w:eastAsia="en-GB"/>
              </w:rPr>
              <w:t>£0</w:t>
            </w:r>
          </w:p>
        </w:tc>
      </w:tr>
      <w:tr w:rsidR="00326683" w:rsidRPr="00326683" w14:paraId="5F866A88"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377EA0B5" w14:textId="77777777" w:rsidR="00326683" w:rsidRPr="00326683" w:rsidRDefault="00326683" w:rsidP="00326683">
            <w:pPr>
              <w:rPr>
                <w:rFonts w:cs="Arial"/>
                <w:b/>
                <w:bCs/>
                <w:color w:val="000000"/>
                <w:sz w:val="20"/>
                <w:szCs w:val="20"/>
                <w:lang w:eastAsia="en-GB"/>
              </w:rPr>
            </w:pPr>
            <w:r w:rsidRPr="00326683">
              <w:rPr>
                <w:rFonts w:cs="Arial"/>
                <w:b/>
                <w:bCs/>
                <w:color w:val="000000"/>
                <w:sz w:val="20"/>
                <w:szCs w:val="20"/>
                <w:lang w:eastAsia="en-GB"/>
              </w:rPr>
              <w:t>Usable Reserves - capital</w:t>
            </w:r>
          </w:p>
        </w:tc>
        <w:tc>
          <w:tcPr>
            <w:tcW w:w="1197" w:type="dxa"/>
            <w:tcBorders>
              <w:top w:val="nil"/>
              <w:left w:val="nil"/>
              <w:bottom w:val="nil"/>
              <w:right w:val="nil"/>
            </w:tcBorders>
            <w:shd w:val="clear" w:color="auto" w:fill="auto"/>
            <w:noWrap/>
            <w:vAlign w:val="bottom"/>
            <w:hideMark/>
          </w:tcPr>
          <w:p w14:paraId="0FE8001F" w14:textId="77777777" w:rsidR="00326683" w:rsidRPr="00326683" w:rsidRDefault="00326683" w:rsidP="00326683">
            <w:pPr>
              <w:rPr>
                <w:rFonts w:cs="Arial"/>
                <w:b/>
                <w:bCs/>
                <w:color w:val="000000"/>
                <w:sz w:val="20"/>
                <w:szCs w:val="20"/>
                <w:lang w:eastAsia="en-GB"/>
              </w:rPr>
            </w:pPr>
          </w:p>
        </w:tc>
        <w:tc>
          <w:tcPr>
            <w:tcW w:w="1128" w:type="dxa"/>
            <w:tcBorders>
              <w:top w:val="nil"/>
              <w:left w:val="nil"/>
              <w:bottom w:val="nil"/>
              <w:right w:val="nil"/>
            </w:tcBorders>
            <w:shd w:val="clear" w:color="auto" w:fill="auto"/>
            <w:noWrap/>
            <w:vAlign w:val="bottom"/>
            <w:hideMark/>
          </w:tcPr>
          <w:p w14:paraId="525959DC" w14:textId="77777777" w:rsidR="00326683" w:rsidRPr="00326683" w:rsidRDefault="00326683" w:rsidP="00326683">
            <w:pPr>
              <w:rPr>
                <w:rFonts w:ascii="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48D93A64" w14:textId="77777777" w:rsidR="00326683" w:rsidRPr="00326683" w:rsidRDefault="00326683" w:rsidP="00326683">
            <w:pPr>
              <w:rPr>
                <w:rFonts w:ascii="Times New Roman" w:hAnsi="Times New Roman"/>
                <w:sz w:val="20"/>
                <w:szCs w:val="20"/>
                <w:lang w:eastAsia="en-GB"/>
              </w:rPr>
            </w:pPr>
          </w:p>
        </w:tc>
        <w:tc>
          <w:tcPr>
            <w:tcW w:w="1128" w:type="dxa"/>
            <w:tcBorders>
              <w:top w:val="nil"/>
              <w:left w:val="nil"/>
              <w:bottom w:val="nil"/>
              <w:right w:val="nil"/>
            </w:tcBorders>
            <w:shd w:val="clear" w:color="auto" w:fill="auto"/>
            <w:noWrap/>
            <w:vAlign w:val="bottom"/>
            <w:hideMark/>
          </w:tcPr>
          <w:p w14:paraId="50A1F6A1" w14:textId="77777777" w:rsidR="00326683" w:rsidRPr="00326683" w:rsidRDefault="00326683" w:rsidP="00326683">
            <w:pPr>
              <w:rPr>
                <w:rFonts w:ascii="Times New Roman" w:hAnsi="Times New Roman"/>
                <w:sz w:val="20"/>
                <w:szCs w:val="20"/>
                <w:lang w:eastAsia="en-GB"/>
              </w:rPr>
            </w:pPr>
          </w:p>
        </w:tc>
        <w:tc>
          <w:tcPr>
            <w:tcW w:w="1249" w:type="dxa"/>
            <w:tcBorders>
              <w:top w:val="nil"/>
              <w:left w:val="nil"/>
              <w:bottom w:val="nil"/>
              <w:right w:val="single" w:sz="8" w:space="0" w:color="auto"/>
            </w:tcBorders>
            <w:shd w:val="clear" w:color="auto" w:fill="auto"/>
            <w:noWrap/>
            <w:vAlign w:val="center"/>
            <w:hideMark/>
          </w:tcPr>
          <w:p w14:paraId="707F5255"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 </w:t>
            </w:r>
          </w:p>
        </w:tc>
      </w:tr>
      <w:tr w:rsidR="00326683" w:rsidRPr="00326683" w14:paraId="5AFDE1BC" w14:textId="77777777" w:rsidTr="002A6617">
        <w:trPr>
          <w:trHeight w:val="300"/>
        </w:trPr>
        <w:tc>
          <w:tcPr>
            <w:tcW w:w="4180" w:type="dxa"/>
            <w:tcBorders>
              <w:top w:val="nil"/>
              <w:left w:val="single" w:sz="8" w:space="0" w:color="auto"/>
              <w:bottom w:val="nil"/>
              <w:right w:val="nil"/>
            </w:tcBorders>
            <w:shd w:val="clear" w:color="auto" w:fill="auto"/>
            <w:noWrap/>
            <w:vAlign w:val="center"/>
            <w:hideMark/>
          </w:tcPr>
          <w:p w14:paraId="42B1D3B9"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Useable Capital Receipts Reserve</w:t>
            </w:r>
          </w:p>
        </w:tc>
        <w:tc>
          <w:tcPr>
            <w:tcW w:w="1197" w:type="dxa"/>
            <w:tcBorders>
              <w:top w:val="nil"/>
              <w:left w:val="nil"/>
              <w:bottom w:val="nil"/>
              <w:right w:val="nil"/>
            </w:tcBorders>
            <w:shd w:val="clear" w:color="auto" w:fill="auto"/>
            <w:noWrap/>
            <w:vAlign w:val="center"/>
            <w:hideMark/>
          </w:tcPr>
          <w:p w14:paraId="3B1444C3"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0</w:t>
            </w:r>
          </w:p>
        </w:tc>
        <w:tc>
          <w:tcPr>
            <w:tcW w:w="1128" w:type="dxa"/>
            <w:tcBorders>
              <w:top w:val="nil"/>
              <w:left w:val="nil"/>
              <w:bottom w:val="nil"/>
              <w:right w:val="nil"/>
            </w:tcBorders>
            <w:shd w:val="clear" w:color="auto" w:fill="auto"/>
            <w:noWrap/>
            <w:vAlign w:val="center"/>
            <w:hideMark/>
          </w:tcPr>
          <w:p w14:paraId="139EBD8A"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1275</w:t>
            </w:r>
          </w:p>
        </w:tc>
        <w:tc>
          <w:tcPr>
            <w:tcW w:w="984" w:type="dxa"/>
            <w:tcBorders>
              <w:top w:val="nil"/>
              <w:left w:val="nil"/>
              <w:bottom w:val="nil"/>
              <w:right w:val="nil"/>
            </w:tcBorders>
            <w:shd w:val="clear" w:color="auto" w:fill="auto"/>
            <w:noWrap/>
            <w:vAlign w:val="center"/>
            <w:hideMark/>
          </w:tcPr>
          <w:p w14:paraId="4BDA22A9"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1275</w:t>
            </w:r>
          </w:p>
        </w:tc>
        <w:tc>
          <w:tcPr>
            <w:tcW w:w="1128" w:type="dxa"/>
            <w:tcBorders>
              <w:top w:val="nil"/>
              <w:left w:val="nil"/>
              <w:bottom w:val="nil"/>
              <w:right w:val="nil"/>
            </w:tcBorders>
            <w:shd w:val="clear" w:color="auto" w:fill="auto"/>
            <w:noWrap/>
            <w:vAlign w:val="center"/>
            <w:hideMark/>
          </w:tcPr>
          <w:p w14:paraId="0A708AD5" w14:textId="4F9296A4" w:rsidR="00326683" w:rsidRPr="00326683" w:rsidRDefault="004F67EB" w:rsidP="00326683">
            <w:pPr>
              <w:jc w:val="right"/>
              <w:rPr>
                <w:rFonts w:cs="Arial"/>
                <w:color w:val="000000"/>
                <w:sz w:val="20"/>
                <w:szCs w:val="20"/>
                <w:lang w:eastAsia="en-GB"/>
              </w:rPr>
            </w:pPr>
            <w:r>
              <w:rPr>
                <w:rFonts w:cs="Arial"/>
                <w:color w:val="000000"/>
                <w:sz w:val="20"/>
                <w:szCs w:val="20"/>
                <w:lang w:eastAsia="en-GB"/>
              </w:rPr>
              <w:t>-455</w:t>
            </w:r>
          </w:p>
        </w:tc>
        <w:tc>
          <w:tcPr>
            <w:tcW w:w="1249" w:type="dxa"/>
            <w:tcBorders>
              <w:top w:val="nil"/>
              <w:left w:val="nil"/>
              <w:bottom w:val="nil"/>
              <w:right w:val="single" w:sz="8" w:space="0" w:color="auto"/>
            </w:tcBorders>
            <w:shd w:val="clear" w:color="auto" w:fill="auto"/>
            <w:noWrap/>
            <w:vAlign w:val="center"/>
            <w:hideMark/>
          </w:tcPr>
          <w:p w14:paraId="1A8AD444" w14:textId="5E8ECD45" w:rsidR="00326683" w:rsidRPr="00326683" w:rsidRDefault="004F67EB" w:rsidP="00326683">
            <w:pPr>
              <w:jc w:val="right"/>
              <w:rPr>
                <w:rFonts w:cs="Arial"/>
                <w:color w:val="000000"/>
                <w:sz w:val="20"/>
                <w:szCs w:val="20"/>
                <w:lang w:eastAsia="en-GB"/>
              </w:rPr>
            </w:pPr>
            <w:r>
              <w:rPr>
                <w:rFonts w:cs="Arial"/>
                <w:color w:val="000000"/>
                <w:sz w:val="20"/>
                <w:szCs w:val="20"/>
                <w:lang w:eastAsia="en-GB"/>
              </w:rPr>
              <w:t>820</w:t>
            </w:r>
          </w:p>
        </w:tc>
      </w:tr>
      <w:tr w:rsidR="00326683" w:rsidRPr="00326683" w14:paraId="692653CA" w14:textId="77777777" w:rsidTr="002A6617">
        <w:trPr>
          <w:trHeight w:val="320"/>
        </w:trPr>
        <w:tc>
          <w:tcPr>
            <w:tcW w:w="4180" w:type="dxa"/>
            <w:tcBorders>
              <w:top w:val="nil"/>
              <w:left w:val="single" w:sz="8" w:space="0" w:color="auto"/>
              <w:bottom w:val="nil"/>
              <w:right w:val="nil"/>
            </w:tcBorders>
            <w:shd w:val="clear" w:color="auto" w:fill="auto"/>
            <w:noWrap/>
            <w:vAlign w:val="center"/>
            <w:hideMark/>
          </w:tcPr>
          <w:p w14:paraId="58C9C981"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Capital Grants Unapplied Reserve</w:t>
            </w:r>
          </w:p>
        </w:tc>
        <w:tc>
          <w:tcPr>
            <w:tcW w:w="1197" w:type="dxa"/>
            <w:tcBorders>
              <w:top w:val="nil"/>
              <w:left w:val="nil"/>
              <w:bottom w:val="nil"/>
              <w:right w:val="nil"/>
            </w:tcBorders>
            <w:shd w:val="clear" w:color="auto" w:fill="auto"/>
            <w:noWrap/>
            <w:vAlign w:val="center"/>
            <w:hideMark/>
          </w:tcPr>
          <w:p w14:paraId="50443C65"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283</w:t>
            </w:r>
          </w:p>
        </w:tc>
        <w:tc>
          <w:tcPr>
            <w:tcW w:w="1128" w:type="dxa"/>
            <w:tcBorders>
              <w:top w:val="nil"/>
              <w:left w:val="nil"/>
              <w:bottom w:val="nil"/>
              <w:right w:val="nil"/>
            </w:tcBorders>
            <w:shd w:val="clear" w:color="auto" w:fill="auto"/>
            <w:noWrap/>
            <w:vAlign w:val="center"/>
            <w:hideMark/>
          </w:tcPr>
          <w:p w14:paraId="64CDC30F"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-28</w:t>
            </w:r>
          </w:p>
        </w:tc>
        <w:tc>
          <w:tcPr>
            <w:tcW w:w="984" w:type="dxa"/>
            <w:tcBorders>
              <w:top w:val="nil"/>
              <w:left w:val="nil"/>
              <w:bottom w:val="nil"/>
              <w:right w:val="nil"/>
            </w:tcBorders>
            <w:shd w:val="clear" w:color="auto" w:fill="auto"/>
            <w:noWrap/>
            <w:vAlign w:val="center"/>
            <w:hideMark/>
          </w:tcPr>
          <w:p w14:paraId="44C10485"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255</w:t>
            </w:r>
          </w:p>
        </w:tc>
        <w:tc>
          <w:tcPr>
            <w:tcW w:w="1128" w:type="dxa"/>
            <w:tcBorders>
              <w:top w:val="nil"/>
              <w:left w:val="nil"/>
              <w:bottom w:val="nil"/>
              <w:right w:val="nil"/>
            </w:tcBorders>
            <w:shd w:val="clear" w:color="auto" w:fill="auto"/>
            <w:noWrap/>
            <w:vAlign w:val="center"/>
            <w:hideMark/>
          </w:tcPr>
          <w:p w14:paraId="3BD735A3" w14:textId="2B39D04A"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w:t>
            </w:r>
            <w:r w:rsidR="004F67EB">
              <w:rPr>
                <w:rFonts w:cs="Arial"/>
                <w:color w:val="000000"/>
                <w:sz w:val="20"/>
                <w:szCs w:val="20"/>
                <w:lang w:eastAsia="en-GB"/>
              </w:rPr>
              <w:t>3</w:t>
            </w:r>
          </w:p>
        </w:tc>
        <w:tc>
          <w:tcPr>
            <w:tcW w:w="1249" w:type="dxa"/>
            <w:tcBorders>
              <w:top w:val="nil"/>
              <w:left w:val="nil"/>
              <w:bottom w:val="nil"/>
              <w:right w:val="single" w:sz="8" w:space="0" w:color="auto"/>
            </w:tcBorders>
            <w:shd w:val="clear" w:color="auto" w:fill="auto"/>
            <w:noWrap/>
            <w:vAlign w:val="center"/>
            <w:hideMark/>
          </w:tcPr>
          <w:p w14:paraId="4A318774" w14:textId="61760374"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w:t>
            </w:r>
            <w:r w:rsidR="004F67EB">
              <w:rPr>
                <w:rFonts w:cs="Arial"/>
                <w:color w:val="000000"/>
                <w:sz w:val="20"/>
                <w:szCs w:val="20"/>
                <w:lang w:eastAsia="en-GB"/>
              </w:rPr>
              <w:t>52</w:t>
            </w:r>
          </w:p>
        </w:tc>
      </w:tr>
      <w:tr w:rsidR="00326683" w:rsidRPr="00326683" w14:paraId="1DF3F6D9" w14:textId="77777777" w:rsidTr="002A6617">
        <w:trPr>
          <w:trHeight w:val="290"/>
        </w:trPr>
        <w:tc>
          <w:tcPr>
            <w:tcW w:w="4180" w:type="dxa"/>
            <w:tcBorders>
              <w:top w:val="single" w:sz="8" w:space="0" w:color="auto"/>
              <w:left w:val="single" w:sz="8" w:space="0" w:color="auto"/>
              <w:bottom w:val="nil"/>
              <w:right w:val="nil"/>
            </w:tcBorders>
            <w:shd w:val="clear" w:color="auto" w:fill="auto"/>
            <w:noWrap/>
            <w:vAlign w:val="center"/>
            <w:hideMark/>
          </w:tcPr>
          <w:p w14:paraId="7E6966BD" w14:textId="77777777" w:rsidR="00326683" w:rsidRPr="00326683" w:rsidRDefault="00326683" w:rsidP="00326683">
            <w:pPr>
              <w:rPr>
                <w:rFonts w:cs="Arial"/>
                <w:b/>
                <w:bCs/>
                <w:color w:val="000000"/>
                <w:sz w:val="20"/>
                <w:szCs w:val="20"/>
                <w:lang w:eastAsia="en-GB"/>
              </w:rPr>
            </w:pPr>
            <w:r w:rsidRPr="00326683">
              <w:rPr>
                <w:rFonts w:cs="Arial"/>
                <w:b/>
                <w:bCs/>
                <w:color w:val="000000"/>
                <w:sz w:val="20"/>
                <w:szCs w:val="20"/>
                <w:lang w:eastAsia="en-GB"/>
              </w:rPr>
              <w:t>Total capital reserves</w:t>
            </w:r>
          </w:p>
        </w:tc>
        <w:tc>
          <w:tcPr>
            <w:tcW w:w="1197" w:type="dxa"/>
            <w:tcBorders>
              <w:top w:val="single" w:sz="8" w:space="0" w:color="auto"/>
              <w:left w:val="nil"/>
              <w:bottom w:val="nil"/>
              <w:right w:val="nil"/>
            </w:tcBorders>
            <w:shd w:val="clear" w:color="auto" w:fill="auto"/>
            <w:noWrap/>
            <w:vAlign w:val="center"/>
            <w:hideMark/>
          </w:tcPr>
          <w:p w14:paraId="2C975241" w14:textId="77777777" w:rsidR="00326683" w:rsidRPr="00326683" w:rsidRDefault="00326683" w:rsidP="00326683">
            <w:pPr>
              <w:jc w:val="right"/>
              <w:rPr>
                <w:rFonts w:cs="Arial"/>
                <w:b/>
                <w:bCs/>
                <w:color w:val="000000"/>
                <w:sz w:val="20"/>
                <w:szCs w:val="20"/>
                <w:lang w:eastAsia="en-GB"/>
              </w:rPr>
            </w:pPr>
            <w:r w:rsidRPr="00326683">
              <w:rPr>
                <w:rFonts w:cs="Arial"/>
                <w:b/>
                <w:bCs/>
                <w:color w:val="000000"/>
                <w:sz w:val="20"/>
                <w:szCs w:val="20"/>
                <w:lang w:eastAsia="en-GB"/>
              </w:rPr>
              <w:t>283</w:t>
            </w:r>
          </w:p>
        </w:tc>
        <w:tc>
          <w:tcPr>
            <w:tcW w:w="1128" w:type="dxa"/>
            <w:tcBorders>
              <w:top w:val="single" w:sz="8" w:space="0" w:color="auto"/>
              <w:left w:val="nil"/>
              <w:bottom w:val="nil"/>
              <w:right w:val="nil"/>
            </w:tcBorders>
            <w:shd w:val="clear" w:color="auto" w:fill="auto"/>
            <w:noWrap/>
            <w:vAlign w:val="center"/>
            <w:hideMark/>
          </w:tcPr>
          <w:p w14:paraId="443B492D" w14:textId="77777777" w:rsidR="00326683" w:rsidRPr="00326683" w:rsidRDefault="00326683" w:rsidP="00326683">
            <w:pPr>
              <w:jc w:val="right"/>
              <w:rPr>
                <w:rFonts w:cs="Arial"/>
                <w:b/>
                <w:bCs/>
                <w:color w:val="000000"/>
                <w:sz w:val="20"/>
                <w:szCs w:val="20"/>
                <w:lang w:eastAsia="en-GB"/>
              </w:rPr>
            </w:pPr>
            <w:r w:rsidRPr="00326683">
              <w:rPr>
                <w:rFonts w:cs="Arial"/>
                <w:b/>
                <w:bCs/>
                <w:color w:val="000000"/>
                <w:sz w:val="20"/>
                <w:szCs w:val="20"/>
                <w:lang w:eastAsia="en-GB"/>
              </w:rPr>
              <w:t>1247</w:t>
            </w:r>
          </w:p>
        </w:tc>
        <w:tc>
          <w:tcPr>
            <w:tcW w:w="984" w:type="dxa"/>
            <w:tcBorders>
              <w:top w:val="single" w:sz="8" w:space="0" w:color="auto"/>
              <w:left w:val="nil"/>
              <w:bottom w:val="nil"/>
              <w:right w:val="nil"/>
            </w:tcBorders>
            <w:shd w:val="clear" w:color="auto" w:fill="auto"/>
            <w:noWrap/>
            <w:vAlign w:val="center"/>
            <w:hideMark/>
          </w:tcPr>
          <w:p w14:paraId="31731AB7" w14:textId="77777777" w:rsidR="00326683" w:rsidRPr="00326683" w:rsidRDefault="00326683" w:rsidP="00326683">
            <w:pPr>
              <w:jc w:val="right"/>
              <w:rPr>
                <w:rFonts w:cs="Arial"/>
                <w:b/>
                <w:bCs/>
                <w:color w:val="000000"/>
                <w:sz w:val="20"/>
                <w:szCs w:val="20"/>
                <w:lang w:eastAsia="en-GB"/>
              </w:rPr>
            </w:pPr>
            <w:r w:rsidRPr="00326683">
              <w:rPr>
                <w:rFonts w:cs="Arial"/>
                <w:b/>
                <w:bCs/>
                <w:color w:val="000000"/>
                <w:sz w:val="20"/>
                <w:szCs w:val="20"/>
                <w:lang w:eastAsia="en-GB"/>
              </w:rPr>
              <w:t>1530</w:t>
            </w:r>
          </w:p>
        </w:tc>
        <w:tc>
          <w:tcPr>
            <w:tcW w:w="1128" w:type="dxa"/>
            <w:tcBorders>
              <w:top w:val="single" w:sz="8" w:space="0" w:color="auto"/>
              <w:left w:val="nil"/>
              <w:bottom w:val="nil"/>
              <w:right w:val="nil"/>
            </w:tcBorders>
            <w:shd w:val="clear" w:color="auto" w:fill="auto"/>
            <w:noWrap/>
            <w:vAlign w:val="center"/>
            <w:hideMark/>
          </w:tcPr>
          <w:p w14:paraId="27D4B061" w14:textId="3A08106C" w:rsidR="00326683" w:rsidRPr="00326683" w:rsidRDefault="00326683" w:rsidP="00326683">
            <w:pPr>
              <w:jc w:val="right"/>
              <w:rPr>
                <w:rFonts w:cs="Arial"/>
                <w:b/>
                <w:bCs/>
                <w:color w:val="000000"/>
                <w:sz w:val="20"/>
                <w:szCs w:val="20"/>
                <w:lang w:eastAsia="en-GB"/>
              </w:rPr>
            </w:pPr>
            <w:r w:rsidRPr="00326683">
              <w:rPr>
                <w:rFonts w:cs="Arial"/>
                <w:b/>
                <w:bCs/>
                <w:color w:val="000000"/>
                <w:sz w:val="20"/>
                <w:szCs w:val="20"/>
                <w:lang w:eastAsia="en-GB"/>
              </w:rPr>
              <w:t>-</w:t>
            </w:r>
            <w:r w:rsidR="004F67EB">
              <w:rPr>
                <w:rFonts w:cs="Arial"/>
                <w:b/>
                <w:bCs/>
                <w:color w:val="000000"/>
                <w:sz w:val="20"/>
                <w:szCs w:val="20"/>
                <w:lang w:eastAsia="en-GB"/>
              </w:rPr>
              <w:t>458</w:t>
            </w:r>
          </w:p>
        </w:tc>
        <w:tc>
          <w:tcPr>
            <w:tcW w:w="1249" w:type="dxa"/>
            <w:tcBorders>
              <w:top w:val="single" w:sz="8" w:space="0" w:color="auto"/>
              <w:left w:val="nil"/>
              <w:bottom w:val="nil"/>
              <w:right w:val="single" w:sz="8" w:space="0" w:color="auto"/>
            </w:tcBorders>
            <w:shd w:val="clear" w:color="auto" w:fill="auto"/>
            <w:noWrap/>
            <w:vAlign w:val="center"/>
            <w:hideMark/>
          </w:tcPr>
          <w:p w14:paraId="257F412C" w14:textId="23E200D0" w:rsidR="00326683" w:rsidRPr="00326683" w:rsidRDefault="00326683" w:rsidP="00326683">
            <w:pPr>
              <w:jc w:val="right"/>
              <w:rPr>
                <w:rFonts w:cs="Arial"/>
                <w:b/>
                <w:bCs/>
                <w:color w:val="000000"/>
                <w:sz w:val="20"/>
                <w:szCs w:val="20"/>
                <w:lang w:eastAsia="en-GB"/>
              </w:rPr>
            </w:pPr>
            <w:r w:rsidRPr="00326683">
              <w:rPr>
                <w:rFonts w:cs="Arial"/>
                <w:b/>
                <w:bCs/>
                <w:color w:val="000000"/>
                <w:sz w:val="20"/>
                <w:szCs w:val="20"/>
                <w:lang w:eastAsia="en-GB"/>
              </w:rPr>
              <w:t>1,</w:t>
            </w:r>
            <w:r w:rsidR="004F67EB">
              <w:rPr>
                <w:rFonts w:cs="Arial"/>
                <w:b/>
                <w:bCs/>
                <w:color w:val="000000"/>
                <w:sz w:val="20"/>
                <w:szCs w:val="20"/>
                <w:lang w:eastAsia="en-GB"/>
              </w:rPr>
              <w:t>072</w:t>
            </w:r>
          </w:p>
        </w:tc>
      </w:tr>
      <w:tr w:rsidR="00326683" w:rsidRPr="00326683" w14:paraId="00705A67"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3351AFB6"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 </w:t>
            </w:r>
          </w:p>
        </w:tc>
        <w:tc>
          <w:tcPr>
            <w:tcW w:w="1197" w:type="dxa"/>
            <w:tcBorders>
              <w:top w:val="nil"/>
              <w:left w:val="nil"/>
              <w:bottom w:val="nil"/>
              <w:right w:val="nil"/>
            </w:tcBorders>
            <w:shd w:val="clear" w:color="auto" w:fill="auto"/>
            <w:noWrap/>
            <w:vAlign w:val="bottom"/>
            <w:hideMark/>
          </w:tcPr>
          <w:p w14:paraId="5FCE9A87" w14:textId="77777777" w:rsidR="00326683" w:rsidRPr="00326683" w:rsidRDefault="00326683" w:rsidP="00326683">
            <w:pPr>
              <w:rPr>
                <w:rFonts w:cs="Arial"/>
                <w:color w:val="000000"/>
                <w:sz w:val="20"/>
                <w:szCs w:val="20"/>
                <w:lang w:eastAsia="en-GB"/>
              </w:rPr>
            </w:pPr>
          </w:p>
        </w:tc>
        <w:tc>
          <w:tcPr>
            <w:tcW w:w="1128" w:type="dxa"/>
            <w:tcBorders>
              <w:top w:val="nil"/>
              <w:left w:val="nil"/>
              <w:bottom w:val="nil"/>
              <w:right w:val="nil"/>
            </w:tcBorders>
            <w:shd w:val="clear" w:color="auto" w:fill="auto"/>
            <w:noWrap/>
            <w:vAlign w:val="bottom"/>
            <w:hideMark/>
          </w:tcPr>
          <w:p w14:paraId="140B1CD7" w14:textId="77777777" w:rsidR="00326683" w:rsidRPr="00326683" w:rsidRDefault="00326683" w:rsidP="00326683">
            <w:pPr>
              <w:rPr>
                <w:rFonts w:ascii="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095E17E2" w14:textId="77777777" w:rsidR="00326683" w:rsidRPr="00326683" w:rsidRDefault="00326683" w:rsidP="00326683">
            <w:pPr>
              <w:rPr>
                <w:rFonts w:ascii="Times New Roman" w:hAnsi="Times New Roman"/>
                <w:sz w:val="20"/>
                <w:szCs w:val="20"/>
                <w:lang w:eastAsia="en-GB"/>
              </w:rPr>
            </w:pPr>
          </w:p>
        </w:tc>
        <w:tc>
          <w:tcPr>
            <w:tcW w:w="1128" w:type="dxa"/>
            <w:tcBorders>
              <w:top w:val="nil"/>
              <w:left w:val="nil"/>
              <w:bottom w:val="nil"/>
              <w:right w:val="nil"/>
            </w:tcBorders>
            <w:shd w:val="clear" w:color="auto" w:fill="auto"/>
            <w:noWrap/>
            <w:vAlign w:val="bottom"/>
            <w:hideMark/>
          </w:tcPr>
          <w:p w14:paraId="79C70048" w14:textId="77777777" w:rsidR="00326683" w:rsidRPr="00326683" w:rsidRDefault="00326683" w:rsidP="00326683">
            <w:pPr>
              <w:rPr>
                <w:rFonts w:ascii="Times New Roman" w:hAnsi="Times New Roman"/>
                <w:sz w:val="20"/>
                <w:szCs w:val="20"/>
                <w:lang w:eastAsia="en-GB"/>
              </w:rPr>
            </w:pPr>
          </w:p>
        </w:tc>
        <w:tc>
          <w:tcPr>
            <w:tcW w:w="1249" w:type="dxa"/>
            <w:tcBorders>
              <w:top w:val="nil"/>
              <w:left w:val="nil"/>
              <w:bottom w:val="nil"/>
              <w:right w:val="single" w:sz="8" w:space="0" w:color="auto"/>
            </w:tcBorders>
            <w:shd w:val="clear" w:color="auto" w:fill="auto"/>
            <w:noWrap/>
            <w:vAlign w:val="center"/>
            <w:hideMark/>
          </w:tcPr>
          <w:p w14:paraId="6262B96C"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 </w:t>
            </w:r>
          </w:p>
        </w:tc>
      </w:tr>
      <w:tr w:rsidR="00326683" w:rsidRPr="00326683" w14:paraId="7354DD17"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7148BFB0" w14:textId="77777777" w:rsidR="00326683" w:rsidRPr="00326683" w:rsidRDefault="00326683" w:rsidP="00326683">
            <w:pPr>
              <w:rPr>
                <w:rFonts w:cs="Arial"/>
                <w:b/>
                <w:bCs/>
                <w:color w:val="000000"/>
                <w:sz w:val="20"/>
                <w:szCs w:val="20"/>
                <w:lang w:eastAsia="en-GB"/>
              </w:rPr>
            </w:pPr>
            <w:r w:rsidRPr="00326683">
              <w:rPr>
                <w:rFonts w:cs="Arial"/>
                <w:b/>
                <w:bCs/>
                <w:color w:val="000000"/>
                <w:sz w:val="20"/>
                <w:szCs w:val="20"/>
                <w:lang w:eastAsia="en-GB"/>
              </w:rPr>
              <w:t xml:space="preserve">Usable Reserves - revenue </w:t>
            </w:r>
          </w:p>
        </w:tc>
        <w:tc>
          <w:tcPr>
            <w:tcW w:w="1197" w:type="dxa"/>
            <w:tcBorders>
              <w:top w:val="nil"/>
              <w:left w:val="nil"/>
              <w:bottom w:val="nil"/>
              <w:right w:val="nil"/>
            </w:tcBorders>
            <w:shd w:val="clear" w:color="auto" w:fill="auto"/>
            <w:noWrap/>
            <w:vAlign w:val="bottom"/>
            <w:hideMark/>
          </w:tcPr>
          <w:p w14:paraId="0EEEAB78" w14:textId="77777777" w:rsidR="00326683" w:rsidRPr="00326683" w:rsidRDefault="00326683" w:rsidP="00326683">
            <w:pPr>
              <w:rPr>
                <w:rFonts w:cs="Arial"/>
                <w:b/>
                <w:bCs/>
                <w:color w:val="000000"/>
                <w:sz w:val="20"/>
                <w:szCs w:val="20"/>
                <w:lang w:eastAsia="en-GB"/>
              </w:rPr>
            </w:pPr>
          </w:p>
        </w:tc>
        <w:tc>
          <w:tcPr>
            <w:tcW w:w="1128" w:type="dxa"/>
            <w:tcBorders>
              <w:top w:val="nil"/>
              <w:left w:val="nil"/>
              <w:bottom w:val="nil"/>
              <w:right w:val="nil"/>
            </w:tcBorders>
            <w:shd w:val="clear" w:color="auto" w:fill="auto"/>
            <w:noWrap/>
            <w:vAlign w:val="bottom"/>
            <w:hideMark/>
          </w:tcPr>
          <w:p w14:paraId="7534C23A" w14:textId="77777777" w:rsidR="00326683" w:rsidRPr="00326683" w:rsidRDefault="00326683" w:rsidP="00326683">
            <w:pPr>
              <w:rPr>
                <w:rFonts w:ascii="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040C2EA6" w14:textId="77777777" w:rsidR="00326683" w:rsidRPr="00326683" w:rsidRDefault="00326683" w:rsidP="00326683">
            <w:pPr>
              <w:rPr>
                <w:rFonts w:ascii="Times New Roman" w:hAnsi="Times New Roman"/>
                <w:sz w:val="20"/>
                <w:szCs w:val="20"/>
                <w:lang w:eastAsia="en-GB"/>
              </w:rPr>
            </w:pPr>
          </w:p>
        </w:tc>
        <w:tc>
          <w:tcPr>
            <w:tcW w:w="1128" w:type="dxa"/>
            <w:tcBorders>
              <w:top w:val="nil"/>
              <w:left w:val="nil"/>
              <w:bottom w:val="nil"/>
              <w:right w:val="nil"/>
            </w:tcBorders>
            <w:shd w:val="clear" w:color="auto" w:fill="auto"/>
            <w:noWrap/>
            <w:vAlign w:val="bottom"/>
            <w:hideMark/>
          </w:tcPr>
          <w:p w14:paraId="62664848" w14:textId="77777777" w:rsidR="00326683" w:rsidRPr="00326683" w:rsidRDefault="00326683" w:rsidP="00326683">
            <w:pPr>
              <w:rPr>
                <w:rFonts w:ascii="Times New Roman" w:hAnsi="Times New Roman"/>
                <w:sz w:val="20"/>
                <w:szCs w:val="20"/>
                <w:lang w:eastAsia="en-GB"/>
              </w:rPr>
            </w:pPr>
          </w:p>
        </w:tc>
        <w:tc>
          <w:tcPr>
            <w:tcW w:w="1249" w:type="dxa"/>
            <w:tcBorders>
              <w:top w:val="nil"/>
              <w:left w:val="nil"/>
              <w:bottom w:val="nil"/>
              <w:right w:val="single" w:sz="8" w:space="0" w:color="auto"/>
            </w:tcBorders>
            <w:shd w:val="clear" w:color="auto" w:fill="auto"/>
            <w:noWrap/>
            <w:vAlign w:val="center"/>
            <w:hideMark/>
          </w:tcPr>
          <w:p w14:paraId="08EFD1EB"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 </w:t>
            </w:r>
          </w:p>
        </w:tc>
      </w:tr>
      <w:tr w:rsidR="00326683" w:rsidRPr="00326683" w14:paraId="38E981F9"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19B2A874" w14:textId="77777777" w:rsidR="00326683" w:rsidRPr="00326683" w:rsidRDefault="00326683" w:rsidP="00326683">
            <w:pPr>
              <w:rPr>
                <w:rFonts w:cs="Arial"/>
                <w:b/>
                <w:bCs/>
                <w:color w:val="000000"/>
                <w:sz w:val="20"/>
                <w:szCs w:val="20"/>
                <w:lang w:eastAsia="en-GB"/>
              </w:rPr>
            </w:pPr>
            <w:r w:rsidRPr="00326683">
              <w:rPr>
                <w:rFonts w:cs="Arial"/>
                <w:b/>
                <w:bCs/>
                <w:color w:val="000000"/>
                <w:sz w:val="20"/>
                <w:szCs w:val="20"/>
                <w:lang w:eastAsia="en-GB"/>
              </w:rPr>
              <w:t>Earmarked Reserves</w:t>
            </w:r>
          </w:p>
        </w:tc>
        <w:tc>
          <w:tcPr>
            <w:tcW w:w="1197" w:type="dxa"/>
            <w:tcBorders>
              <w:top w:val="nil"/>
              <w:left w:val="nil"/>
              <w:bottom w:val="nil"/>
              <w:right w:val="nil"/>
            </w:tcBorders>
            <w:shd w:val="clear" w:color="auto" w:fill="auto"/>
            <w:noWrap/>
            <w:vAlign w:val="bottom"/>
            <w:hideMark/>
          </w:tcPr>
          <w:p w14:paraId="75F52F99" w14:textId="77777777" w:rsidR="00326683" w:rsidRPr="00326683" w:rsidRDefault="00326683" w:rsidP="00326683">
            <w:pPr>
              <w:rPr>
                <w:rFonts w:cs="Arial"/>
                <w:b/>
                <w:bCs/>
                <w:color w:val="000000"/>
                <w:sz w:val="20"/>
                <w:szCs w:val="20"/>
                <w:lang w:eastAsia="en-GB"/>
              </w:rPr>
            </w:pPr>
          </w:p>
        </w:tc>
        <w:tc>
          <w:tcPr>
            <w:tcW w:w="1128" w:type="dxa"/>
            <w:tcBorders>
              <w:top w:val="nil"/>
              <w:left w:val="nil"/>
              <w:bottom w:val="nil"/>
              <w:right w:val="nil"/>
            </w:tcBorders>
            <w:shd w:val="clear" w:color="auto" w:fill="auto"/>
            <w:noWrap/>
            <w:vAlign w:val="bottom"/>
            <w:hideMark/>
          </w:tcPr>
          <w:p w14:paraId="5A2FE908" w14:textId="77777777" w:rsidR="00326683" w:rsidRPr="00326683" w:rsidRDefault="00326683" w:rsidP="00326683">
            <w:pPr>
              <w:rPr>
                <w:rFonts w:ascii="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7B0BB9D6" w14:textId="77777777" w:rsidR="00326683" w:rsidRPr="00326683" w:rsidRDefault="00326683" w:rsidP="00326683">
            <w:pPr>
              <w:rPr>
                <w:rFonts w:ascii="Times New Roman" w:hAnsi="Times New Roman"/>
                <w:sz w:val="20"/>
                <w:szCs w:val="20"/>
                <w:lang w:eastAsia="en-GB"/>
              </w:rPr>
            </w:pPr>
          </w:p>
        </w:tc>
        <w:tc>
          <w:tcPr>
            <w:tcW w:w="1128" w:type="dxa"/>
            <w:tcBorders>
              <w:top w:val="nil"/>
              <w:left w:val="nil"/>
              <w:bottom w:val="nil"/>
              <w:right w:val="nil"/>
            </w:tcBorders>
            <w:shd w:val="clear" w:color="auto" w:fill="auto"/>
            <w:noWrap/>
            <w:vAlign w:val="bottom"/>
            <w:hideMark/>
          </w:tcPr>
          <w:p w14:paraId="0BE53018" w14:textId="77777777" w:rsidR="00326683" w:rsidRPr="00326683" w:rsidRDefault="00326683" w:rsidP="00326683">
            <w:pPr>
              <w:rPr>
                <w:rFonts w:ascii="Times New Roman" w:hAnsi="Times New Roman"/>
                <w:sz w:val="20"/>
                <w:szCs w:val="20"/>
                <w:lang w:eastAsia="en-GB"/>
              </w:rPr>
            </w:pPr>
          </w:p>
        </w:tc>
        <w:tc>
          <w:tcPr>
            <w:tcW w:w="1249" w:type="dxa"/>
            <w:tcBorders>
              <w:top w:val="nil"/>
              <w:left w:val="nil"/>
              <w:bottom w:val="nil"/>
              <w:right w:val="single" w:sz="8" w:space="0" w:color="auto"/>
            </w:tcBorders>
            <w:shd w:val="clear" w:color="auto" w:fill="auto"/>
            <w:noWrap/>
            <w:vAlign w:val="center"/>
            <w:hideMark/>
          </w:tcPr>
          <w:p w14:paraId="7272CB2D"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 </w:t>
            </w:r>
          </w:p>
        </w:tc>
      </w:tr>
      <w:tr w:rsidR="00326683" w:rsidRPr="00326683" w14:paraId="3E5E067C"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712BF469"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Ring-fenced Funds Reserve</w:t>
            </w:r>
          </w:p>
        </w:tc>
        <w:tc>
          <w:tcPr>
            <w:tcW w:w="1197" w:type="dxa"/>
            <w:tcBorders>
              <w:top w:val="nil"/>
              <w:left w:val="nil"/>
              <w:bottom w:val="nil"/>
              <w:right w:val="nil"/>
            </w:tcBorders>
            <w:shd w:val="clear" w:color="auto" w:fill="auto"/>
            <w:noWrap/>
            <w:vAlign w:val="center"/>
            <w:hideMark/>
          </w:tcPr>
          <w:p w14:paraId="3E4C60DF"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253</w:t>
            </w:r>
          </w:p>
        </w:tc>
        <w:tc>
          <w:tcPr>
            <w:tcW w:w="1128" w:type="dxa"/>
            <w:tcBorders>
              <w:top w:val="nil"/>
              <w:left w:val="nil"/>
              <w:bottom w:val="nil"/>
              <w:right w:val="nil"/>
            </w:tcBorders>
            <w:shd w:val="clear" w:color="auto" w:fill="auto"/>
            <w:noWrap/>
            <w:vAlign w:val="center"/>
            <w:hideMark/>
          </w:tcPr>
          <w:p w14:paraId="132D2740"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-86</w:t>
            </w:r>
          </w:p>
        </w:tc>
        <w:tc>
          <w:tcPr>
            <w:tcW w:w="984" w:type="dxa"/>
            <w:tcBorders>
              <w:top w:val="nil"/>
              <w:left w:val="nil"/>
              <w:bottom w:val="nil"/>
              <w:right w:val="nil"/>
            </w:tcBorders>
            <w:shd w:val="clear" w:color="auto" w:fill="auto"/>
            <w:noWrap/>
            <w:vAlign w:val="center"/>
            <w:hideMark/>
          </w:tcPr>
          <w:p w14:paraId="46478CBB"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167</w:t>
            </w:r>
          </w:p>
        </w:tc>
        <w:tc>
          <w:tcPr>
            <w:tcW w:w="1128" w:type="dxa"/>
            <w:tcBorders>
              <w:top w:val="nil"/>
              <w:left w:val="nil"/>
              <w:bottom w:val="nil"/>
              <w:right w:val="nil"/>
            </w:tcBorders>
            <w:shd w:val="clear" w:color="auto" w:fill="auto"/>
            <w:noWrap/>
            <w:vAlign w:val="center"/>
            <w:hideMark/>
          </w:tcPr>
          <w:p w14:paraId="41EEAA8A" w14:textId="3FCD50F1" w:rsidR="00326683" w:rsidRPr="00326683" w:rsidRDefault="004F67EB" w:rsidP="00326683">
            <w:pPr>
              <w:jc w:val="right"/>
              <w:rPr>
                <w:rFonts w:cs="Arial"/>
                <w:color w:val="000000"/>
                <w:sz w:val="20"/>
                <w:szCs w:val="20"/>
                <w:lang w:eastAsia="en-GB"/>
              </w:rPr>
            </w:pPr>
            <w:r>
              <w:rPr>
                <w:rFonts w:cs="Arial"/>
                <w:color w:val="000000"/>
                <w:sz w:val="20"/>
                <w:szCs w:val="20"/>
                <w:lang w:eastAsia="en-GB"/>
              </w:rPr>
              <w:t>13</w:t>
            </w:r>
          </w:p>
        </w:tc>
        <w:tc>
          <w:tcPr>
            <w:tcW w:w="1249" w:type="dxa"/>
            <w:tcBorders>
              <w:top w:val="nil"/>
              <w:left w:val="nil"/>
              <w:bottom w:val="nil"/>
              <w:right w:val="single" w:sz="8" w:space="0" w:color="auto"/>
            </w:tcBorders>
            <w:shd w:val="clear" w:color="auto" w:fill="auto"/>
            <w:noWrap/>
            <w:vAlign w:val="center"/>
            <w:hideMark/>
          </w:tcPr>
          <w:p w14:paraId="7C114A58" w14:textId="7B2DFEAC" w:rsidR="00326683" w:rsidRPr="00326683" w:rsidRDefault="004F67EB" w:rsidP="00326683">
            <w:pPr>
              <w:jc w:val="right"/>
              <w:rPr>
                <w:rFonts w:cs="Arial"/>
                <w:color w:val="000000"/>
                <w:sz w:val="20"/>
                <w:szCs w:val="20"/>
                <w:lang w:eastAsia="en-GB"/>
              </w:rPr>
            </w:pPr>
            <w:r>
              <w:rPr>
                <w:rFonts w:cs="Arial"/>
                <w:color w:val="000000"/>
                <w:sz w:val="20"/>
                <w:szCs w:val="20"/>
                <w:lang w:eastAsia="en-GB"/>
              </w:rPr>
              <w:t>180</w:t>
            </w:r>
          </w:p>
        </w:tc>
      </w:tr>
      <w:tr w:rsidR="00326683" w:rsidRPr="00326683" w14:paraId="658967AA"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382B87E8"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External Grants Reserve</w:t>
            </w:r>
          </w:p>
        </w:tc>
        <w:tc>
          <w:tcPr>
            <w:tcW w:w="1197" w:type="dxa"/>
            <w:tcBorders>
              <w:top w:val="nil"/>
              <w:left w:val="nil"/>
              <w:bottom w:val="nil"/>
              <w:right w:val="nil"/>
            </w:tcBorders>
            <w:shd w:val="clear" w:color="auto" w:fill="auto"/>
            <w:noWrap/>
            <w:vAlign w:val="center"/>
            <w:hideMark/>
          </w:tcPr>
          <w:p w14:paraId="7909A658"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493</w:t>
            </w:r>
          </w:p>
        </w:tc>
        <w:tc>
          <w:tcPr>
            <w:tcW w:w="1128" w:type="dxa"/>
            <w:tcBorders>
              <w:top w:val="nil"/>
              <w:left w:val="nil"/>
              <w:bottom w:val="nil"/>
              <w:right w:val="nil"/>
            </w:tcBorders>
            <w:shd w:val="clear" w:color="auto" w:fill="auto"/>
            <w:noWrap/>
            <w:vAlign w:val="center"/>
            <w:hideMark/>
          </w:tcPr>
          <w:p w14:paraId="023F80B9"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-72</w:t>
            </w:r>
          </w:p>
        </w:tc>
        <w:tc>
          <w:tcPr>
            <w:tcW w:w="984" w:type="dxa"/>
            <w:tcBorders>
              <w:top w:val="nil"/>
              <w:left w:val="nil"/>
              <w:bottom w:val="nil"/>
              <w:right w:val="nil"/>
            </w:tcBorders>
            <w:shd w:val="clear" w:color="auto" w:fill="auto"/>
            <w:noWrap/>
            <w:vAlign w:val="center"/>
            <w:hideMark/>
          </w:tcPr>
          <w:p w14:paraId="5939EB55"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421</w:t>
            </w:r>
          </w:p>
        </w:tc>
        <w:tc>
          <w:tcPr>
            <w:tcW w:w="1128" w:type="dxa"/>
            <w:tcBorders>
              <w:top w:val="nil"/>
              <w:left w:val="nil"/>
              <w:bottom w:val="nil"/>
              <w:right w:val="nil"/>
            </w:tcBorders>
            <w:shd w:val="clear" w:color="auto" w:fill="auto"/>
            <w:noWrap/>
            <w:vAlign w:val="center"/>
            <w:hideMark/>
          </w:tcPr>
          <w:p w14:paraId="1E060994"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-215</w:t>
            </w:r>
          </w:p>
        </w:tc>
        <w:tc>
          <w:tcPr>
            <w:tcW w:w="1249" w:type="dxa"/>
            <w:tcBorders>
              <w:top w:val="nil"/>
              <w:left w:val="nil"/>
              <w:bottom w:val="nil"/>
              <w:right w:val="single" w:sz="8" w:space="0" w:color="auto"/>
            </w:tcBorders>
            <w:shd w:val="clear" w:color="auto" w:fill="auto"/>
            <w:noWrap/>
            <w:vAlign w:val="center"/>
            <w:hideMark/>
          </w:tcPr>
          <w:p w14:paraId="68AA3A3F"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206</w:t>
            </w:r>
          </w:p>
        </w:tc>
      </w:tr>
      <w:tr w:rsidR="00326683" w:rsidRPr="00326683" w14:paraId="07C2CD71"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635ACA5C"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Biodiversity Net Gain Reserve</w:t>
            </w:r>
          </w:p>
        </w:tc>
        <w:tc>
          <w:tcPr>
            <w:tcW w:w="1197" w:type="dxa"/>
            <w:tcBorders>
              <w:top w:val="nil"/>
              <w:left w:val="nil"/>
              <w:bottom w:val="nil"/>
              <w:right w:val="nil"/>
            </w:tcBorders>
            <w:shd w:val="clear" w:color="auto" w:fill="auto"/>
            <w:noWrap/>
            <w:vAlign w:val="center"/>
            <w:hideMark/>
          </w:tcPr>
          <w:p w14:paraId="2D1210F4"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0</w:t>
            </w:r>
          </w:p>
        </w:tc>
        <w:tc>
          <w:tcPr>
            <w:tcW w:w="1128" w:type="dxa"/>
            <w:tcBorders>
              <w:top w:val="nil"/>
              <w:left w:val="nil"/>
              <w:bottom w:val="nil"/>
              <w:right w:val="nil"/>
            </w:tcBorders>
            <w:shd w:val="clear" w:color="auto" w:fill="auto"/>
            <w:noWrap/>
            <w:vAlign w:val="center"/>
            <w:hideMark/>
          </w:tcPr>
          <w:p w14:paraId="292118D7"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75</w:t>
            </w:r>
          </w:p>
        </w:tc>
        <w:tc>
          <w:tcPr>
            <w:tcW w:w="984" w:type="dxa"/>
            <w:tcBorders>
              <w:top w:val="nil"/>
              <w:left w:val="nil"/>
              <w:bottom w:val="nil"/>
              <w:right w:val="nil"/>
            </w:tcBorders>
            <w:shd w:val="clear" w:color="auto" w:fill="auto"/>
            <w:noWrap/>
            <w:vAlign w:val="center"/>
            <w:hideMark/>
          </w:tcPr>
          <w:p w14:paraId="75C2AC6B"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75</w:t>
            </w:r>
          </w:p>
        </w:tc>
        <w:tc>
          <w:tcPr>
            <w:tcW w:w="1128" w:type="dxa"/>
            <w:tcBorders>
              <w:top w:val="nil"/>
              <w:left w:val="nil"/>
              <w:bottom w:val="nil"/>
              <w:right w:val="nil"/>
            </w:tcBorders>
            <w:shd w:val="clear" w:color="auto" w:fill="auto"/>
            <w:noWrap/>
            <w:vAlign w:val="center"/>
            <w:hideMark/>
          </w:tcPr>
          <w:p w14:paraId="485D8D8A"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-5</w:t>
            </w:r>
          </w:p>
        </w:tc>
        <w:tc>
          <w:tcPr>
            <w:tcW w:w="1249" w:type="dxa"/>
            <w:tcBorders>
              <w:top w:val="nil"/>
              <w:left w:val="nil"/>
              <w:bottom w:val="nil"/>
              <w:right w:val="single" w:sz="8" w:space="0" w:color="auto"/>
            </w:tcBorders>
            <w:shd w:val="clear" w:color="auto" w:fill="auto"/>
            <w:noWrap/>
            <w:vAlign w:val="center"/>
            <w:hideMark/>
          </w:tcPr>
          <w:p w14:paraId="480BCCF6"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70</w:t>
            </w:r>
          </w:p>
        </w:tc>
      </w:tr>
      <w:tr w:rsidR="00326683" w:rsidRPr="00326683" w14:paraId="1FE1D8AD"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575013E2"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Climate Change Reserve</w:t>
            </w:r>
          </w:p>
        </w:tc>
        <w:tc>
          <w:tcPr>
            <w:tcW w:w="1197" w:type="dxa"/>
            <w:tcBorders>
              <w:top w:val="nil"/>
              <w:left w:val="nil"/>
              <w:bottom w:val="nil"/>
              <w:right w:val="nil"/>
            </w:tcBorders>
            <w:shd w:val="clear" w:color="auto" w:fill="auto"/>
            <w:noWrap/>
            <w:vAlign w:val="center"/>
            <w:hideMark/>
          </w:tcPr>
          <w:p w14:paraId="3617A8E8"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0</w:t>
            </w:r>
          </w:p>
        </w:tc>
        <w:tc>
          <w:tcPr>
            <w:tcW w:w="1128" w:type="dxa"/>
            <w:tcBorders>
              <w:top w:val="nil"/>
              <w:left w:val="nil"/>
              <w:bottom w:val="nil"/>
              <w:right w:val="nil"/>
            </w:tcBorders>
            <w:shd w:val="clear" w:color="auto" w:fill="auto"/>
            <w:noWrap/>
            <w:vAlign w:val="center"/>
            <w:hideMark/>
          </w:tcPr>
          <w:p w14:paraId="44B7A406"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0</w:t>
            </w:r>
          </w:p>
        </w:tc>
        <w:tc>
          <w:tcPr>
            <w:tcW w:w="984" w:type="dxa"/>
            <w:tcBorders>
              <w:top w:val="nil"/>
              <w:left w:val="nil"/>
              <w:bottom w:val="nil"/>
              <w:right w:val="nil"/>
            </w:tcBorders>
            <w:shd w:val="clear" w:color="auto" w:fill="auto"/>
            <w:noWrap/>
            <w:vAlign w:val="center"/>
            <w:hideMark/>
          </w:tcPr>
          <w:p w14:paraId="541C488E"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0</w:t>
            </w:r>
          </w:p>
        </w:tc>
        <w:tc>
          <w:tcPr>
            <w:tcW w:w="1128" w:type="dxa"/>
            <w:tcBorders>
              <w:top w:val="nil"/>
              <w:left w:val="nil"/>
              <w:bottom w:val="nil"/>
              <w:right w:val="nil"/>
            </w:tcBorders>
            <w:shd w:val="clear" w:color="auto" w:fill="auto"/>
            <w:noWrap/>
            <w:vAlign w:val="center"/>
            <w:hideMark/>
          </w:tcPr>
          <w:p w14:paraId="5C184946"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5</w:t>
            </w:r>
          </w:p>
        </w:tc>
        <w:tc>
          <w:tcPr>
            <w:tcW w:w="1249" w:type="dxa"/>
            <w:tcBorders>
              <w:top w:val="nil"/>
              <w:left w:val="nil"/>
              <w:bottom w:val="nil"/>
              <w:right w:val="single" w:sz="8" w:space="0" w:color="auto"/>
            </w:tcBorders>
            <w:shd w:val="clear" w:color="auto" w:fill="auto"/>
            <w:noWrap/>
            <w:vAlign w:val="center"/>
            <w:hideMark/>
          </w:tcPr>
          <w:p w14:paraId="2ABFEC88"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5</w:t>
            </w:r>
          </w:p>
        </w:tc>
      </w:tr>
      <w:tr w:rsidR="00326683" w:rsidRPr="00326683" w14:paraId="369397C9"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36423253"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Windermere Registration Reserve</w:t>
            </w:r>
          </w:p>
        </w:tc>
        <w:tc>
          <w:tcPr>
            <w:tcW w:w="1197" w:type="dxa"/>
            <w:tcBorders>
              <w:top w:val="nil"/>
              <w:left w:val="nil"/>
              <w:bottom w:val="nil"/>
              <w:right w:val="nil"/>
            </w:tcBorders>
            <w:shd w:val="clear" w:color="auto" w:fill="auto"/>
            <w:noWrap/>
            <w:vAlign w:val="center"/>
            <w:hideMark/>
          </w:tcPr>
          <w:p w14:paraId="24916CF3"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20</w:t>
            </w:r>
          </w:p>
        </w:tc>
        <w:tc>
          <w:tcPr>
            <w:tcW w:w="1128" w:type="dxa"/>
            <w:tcBorders>
              <w:top w:val="nil"/>
              <w:left w:val="nil"/>
              <w:bottom w:val="nil"/>
              <w:right w:val="nil"/>
            </w:tcBorders>
            <w:shd w:val="clear" w:color="auto" w:fill="auto"/>
            <w:noWrap/>
            <w:vAlign w:val="center"/>
            <w:hideMark/>
          </w:tcPr>
          <w:p w14:paraId="7A0D7519"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-10</w:t>
            </w:r>
          </w:p>
        </w:tc>
        <w:tc>
          <w:tcPr>
            <w:tcW w:w="984" w:type="dxa"/>
            <w:tcBorders>
              <w:top w:val="nil"/>
              <w:left w:val="nil"/>
              <w:bottom w:val="nil"/>
              <w:right w:val="nil"/>
            </w:tcBorders>
            <w:shd w:val="clear" w:color="auto" w:fill="auto"/>
            <w:noWrap/>
            <w:vAlign w:val="center"/>
            <w:hideMark/>
          </w:tcPr>
          <w:p w14:paraId="71524394"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10</w:t>
            </w:r>
          </w:p>
        </w:tc>
        <w:tc>
          <w:tcPr>
            <w:tcW w:w="1128" w:type="dxa"/>
            <w:tcBorders>
              <w:top w:val="nil"/>
              <w:left w:val="nil"/>
              <w:bottom w:val="nil"/>
              <w:right w:val="nil"/>
            </w:tcBorders>
            <w:shd w:val="clear" w:color="auto" w:fill="auto"/>
            <w:noWrap/>
            <w:vAlign w:val="center"/>
            <w:hideMark/>
          </w:tcPr>
          <w:p w14:paraId="7BF77C93"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0</w:t>
            </w:r>
          </w:p>
        </w:tc>
        <w:tc>
          <w:tcPr>
            <w:tcW w:w="1249" w:type="dxa"/>
            <w:tcBorders>
              <w:top w:val="nil"/>
              <w:left w:val="nil"/>
              <w:bottom w:val="nil"/>
              <w:right w:val="single" w:sz="8" w:space="0" w:color="auto"/>
            </w:tcBorders>
            <w:shd w:val="clear" w:color="auto" w:fill="auto"/>
            <w:noWrap/>
            <w:vAlign w:val="center"/>
            <w:hideMark/>
          </w:tcPr>
          <w:p w14:paraId="6072FE53"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10</w:t>
            </w:r>
          </w:p>
        </w:tc>
      </w:tr>
      <w:tr w:rsidR="00326683" w:rsidRPr="00326683" w14:paraId="08D89F40"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5732C77F"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Cumbria Woodlands</w:t>
            </w:r>
          </w:p>
        </w:tc>
        <w:tc>
          <w:tcPr>
            <w:tcW w:w="1197" w:type="dxa"/>
            <w:tcBorders>
              <w:top w:val="nil"/>
              <w:left w:val="nil"/>
              <w:bottom w:val="nil"/>
              <w:right w:val="nil"/>
            </w:tcBorders>
            <w:shd w:val="clear" w:color="auto" w:fill="auto"/>
            <w:noWrap/>
            <w:vAlign w:val="center"/>
            <w:hideMark/>
          </w:tcPr>
          <w:p w14:paraId="521C25EF"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91</w:t>
            </w:r>
          </w:p>
        </w:tc>
        <w:tc>
          <w:tcPr>
            <w:tcW w:w="1128" w:type="dxa"/>
            <w:tcBorders>
              <w:top w:val="nil"/>
              <w:left w:val="nil"/>
              <w:bottom w:val="nil"/>
              <w:right w:val="nil"/>
            </w:tcBorders>
            <w:shd w:val="clear" w:color="auto" w:fill="auto"/>
            <w:noWrap/>
            <w:vAlign w:val="center"/>
            <w:hideMark/>
          </w:tcPr>
          <w:p w14:paraId="1CE810A7"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-9</w:t>
            </w:r>
          </w:p>
        </w:tc>
        <w:tc>
          <w:tcPr>
            <w:tcW w:w="984" w:type="dxa"/>
            <w:tcBorders>
              <w:top w:val="nil"/>
              <w:left w:val="nil"/>
              <w:bottom w:val="nil"/>
              <w:right w:val="nil"/>
            </w:tcBorders>
            <w:shd w:val="clear" w:color="auto" w:fill="auto"/>
            <w:noWrap/>
            <w:vAlign w:val="center"/>
            <w:hideMark/>
          </w:tcPr>
          <w:p w14:paraId="0DD38D72"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82</w:t>
            </w:r>
          </w:p>
        </w:tc>
        <w:tc>
          <w:tcPr>
            <w:tcW w:w="1128" w:type="dxa"/>
            <w:tcBorders>
              <w:top w:val="nil"/>
              <w:left w:val="nil"/>
              <w:bottom w:val="nil"/>
              <w:right w:val="nil"/>
            </w:tcBorders>
            <w:shd w:val="clear" w:color="auto" w:fill="auto"/>
            <w:noWrap/>
            <w:vAlign w:val="center"/>
            <w:hideMark/>
          </w:tcPr>
          <w:p w14:paraId="07E5F96D"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24</w:t>
            </w:r>
          </w:p>
        </w:tc>
        <w:tc>
          <w:tcPr>
            <w:tcW w:w="1249" w:type="dxa"/>
            <w:tcBorders>
              <w:top w:val="nil"/>
              <w:left w:val="nil"/>
              <w:bottom w:val="nil"/>
              <w:right w:val="single" w:sz="8" w:space="0" w:color="auto"/>
            </w:tcBorders>
            <w:shd w:val="clear" w:color="auto" w:fill="auto"/>
            <w:noWrap/>
            <w:vAlign w:val="center"/>
            <w:hideMark/>
          </w:tcPr>
          <w:p w14:paraId="1C9E881E"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106</w:t>
            </w:r>
          </w:p>
        </w:tc>
      </w:tr>
      <w:tr w:rsidR="00326683" w:rsidRPr="00326683" w14:paraId="17950E06"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7961FE23"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Investing for our Future</w:t>
            </w:r>
          </w:p>
        </w:tc>
        <w:tc>
          <w:tcPr>
            <w:tcW w:w="1197" w:type="dxa"/>
            <w:tcBorders>
              <w:top w:val="nil"/>
              <w:left w:val="nil"/>
              <w:bottom w:val="nil"/>
              <w:right w:val="nil"/>
            </w:tcBorders>
            <w:shd w:val="clear" w:color="auto" w:fill="auto"/>
            <w:noWrap/>
            <w:vAlign w:val="center"/>
            <w:hideMark/>
          </w:tcPr>
          <w:p w14:paraId="3F5F8524"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281</w:t>
            </w:r>
          </w:p>
        </w:tc>
        <w:tc>
          <w:tcPr>
            <w:tcW w:w="1128" w:type="dxa"/>
            <w:tcBorders>
              <w:top w:val="nil"/>
              <w:left w:val="nil"/>
              <w:bottom w:val="nil"/>
              <w:right w:val="nil"/>
            </w:tcBorders>
            <w:shd w:val="clear" w:color="auto" w:fill="auto"/>
            <w:noWrap/>
            <w:vAlign w:val="center"/>
            <w:hideMark/>
          </w:tcPr>
          <w:p w14:paraId="4E839CCE"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0</w:t>
            </w:r>
          </w:p>
        </w:tc>
        <w:tc>
          <w:tcPr>
            <w:tcW w:w="984" w:type="dxa"/>
            <w:tcBorders>
              <w:top w:val="nil"/>
              <w:left w:val="nil"/>
              <w:bottom w:val="nil"/>
              <w:right w:val="nil"/>
            </w:tcBorders>
            <w:shd w:val="clear" w:color="auto" w:fill="auto"/>
            <w:noWrap/>
            <w:vAlign w:val="center"/>
            <w:hideMark/>
          </w:tcPr>
          <w:p w14:paraId="2A2365CD"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281</w:t>
            </w:r>
          </w:p>
        </w:tc>
        <w:tc>
          <w:tcPr>
            <w:tcW w:w="1128" w:type="dxa"/>
            <w:tcBorders>
              <w:top w:val="nil"/>
              <w:left w:val="nil"/>
              <w:bottom w:val="nil"/>
              <w:right w:val="nil"/>
            </w:tcBorders>
            <w:shd w:val="clear" w:color="auto" w:fill="auto"/>
            <w:noWrap/>
            <w:vAlign w:val="center"/>
            <w:hideMark/>
          </w:tcPr>
          <w:p w14:paraId="2B053095"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0</w:t>
            </w:r>
          </w:p>
        </w:tc>
        <w:tc>
          <w:tcPr>
            <w:tcW w:w="1249" w:type="dxa"/>
            <w:tcBorders>
              <w:top w:val="nil"/>
              <w:left w:val="nil"/>
              <w:bottom w:val="nil"/>
              <w:right w:val="single" w:sz="8" w:space="0" w:color="auto"/>
            </w:tcBorders>
            <w:shd w:val="clear" w:color="auto" w:fill="auto"/>
            <w:noWrap/>
            <w:vAlign w:val="center"/>
            <w:hideMark/>
          </w:tcPr>
          <w:p w14:paraId="01258612"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281</w:t>
            </w:r>
          </w:p>
        </w:tc>
      </w:tr>
      <w:tr w:rsidR="00326683" w:rsidRPr="00326683" w14:paraId="5659F799"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4C47B979"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Inquiry reserve</w:t>
            </w:r>
          </w:p>
        </w:tc>
        <w:tc>
          <w:tcPr>
            <w:tcW w:w="1197" w:type="dxa"/>
            <w:tcBorders>
              <w:top w:val="nil"/>
              <w:left w:val="nil"/>
              <w:bottom w:val="nil"/>
              <w:right w:val="nil"/>
            </w:tcBorders>
            <w:shd w:val="clear" w:color="auto" w:fill="auto"/>
            <w:noWrap/>
            <w:vAlign w:val="center"/>
            <w:hideMark/>
          </w:tcPr>
          <w:p w14:paraId="76A32C43"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0</w:t>
            </w:r>
          </w:p>
        </w:tc>
        <w:tc>
          <w:tcPr>
            <w:tcW w:w="1128" w:type="dxa"/>
            <w:tcBorders>
              <w:top w:val="nil"/>
              <w:left w:val="nil"/>
              <w:bottom w:val="nil"/>
              <w:right w:val="nil"/>
            </w:tcBorders>
            <w:shd w:val="clear" w:color="auto" w:fill="auto"/>
            <w:noWrap/>
            <w:vAlign w:val="center"/>
            <w:hideMark/>
          </w:tcPr>
          <w:p w14:paraId="6CE5EBA4"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15</w:t>
            </w:r>
          </w:p>
        </w:tc>
        <w:tc>
          <w:tcPr>
            <w:tcW w:w="984" w:type="dxa"/>
            <w:tcBorders>
              <w:top w:val="nil"/>
              <w:left w:val="nil"/>
              <w:bottom w:val="nil"/>
              <w:right w:val="nil"/>
            </w:tcBorders>
            <w:shd w:val="clear" w:color="auto" w:fill="auto"/>
            <w:noWrap/>
            <w:vAlign w:val="center"/>
            <w:hideMark/>
          </w:tcPr>
          <w:p w14:paraId="4B8DE298"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15</w:t>
            </w:r>
          </w:p>
        </w:tc>
        <w:tc>
          <w:tcPr>
            <w:tcW w:w="1128" w:type="dxa"/>
            <w:tcBorders>
              <w:top w:val="nil"/>
              <w:left w:val="nil"/>
              <w:bottom w:val="nil"/>
              <w:right w:val="nil"/>
            </w:tcBorders>
            <w:shd w:val="clear" w:color="auto" w:fill="auto"/>
            <w:noWrap/>
            <w:vAlign w:val="center"/>
            <w:hideMark/>
          </w:tcPr>
          <w:p w14:paraId="1D3AD057"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100</w:t>
            </w:r>
          </w:p>
        </w:tc>
        <w:tc>
          <w:tcPr>
            <w:tcW w:w="1249" w:type="dxa"/>
            <w:tcBorders>
              <w:top w:val="nil"/>
              <w:left w:val="nil"/>
              <w:bottom w:val="nil"/>
              <w:right w:val="single" w:sz="8" w:space="0" w:color="auto"/>
            </w:tcBorders>
            <w:shd w:val="clear" w:color="auto" w:fill="auto"/>
            <w:noWrap/>
            <w:vAlign w:val="center"/>
            <w:hideMark/>
          </w:tcPr>
          <w:p w14:paraId="74575B64"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115</w:t>
            </w:r>
          </w:p>
        </w:tc>
      </w:tr>
      <w:tr w:rsidR="00326683" w:rsidRPr="00326683" w14:paraId="41B00A0B"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547C948E"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Partnership Priorities Reserve</w:t>
            </w:r>
          </w:p>
        </w:tc>
        <w:tc>
          <w:tcPr>
            <w:tcW w:w="1197" w:type="dxa"/>
            <w:tcBorders>
              <w:top w:val="nil"/>
              <w:left w:val="nil"/>
              <w:bottom w:val="nil"/>
              <w:right w:val="nil"/>
            </w:tcBorders>
            <w:shd w:val="clear" w:color="auto" w:fill="auto"/>
            <w:noWrap/>
            <w:vAlign w:val="center"/>
            <w:hideMark/>
          </w:tcPr>
          <w:p w14:paraId="4A5BDB9C"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116</w:t>
            </w:r>
          </w:p>
        </w:tc>
        <w:tc>
          <w:tcPr>
            <w:tcW w:w="1128" w:type="dxa"/>
            <w:tcBorders>
              <w:top w:val="nil"/>
              <w:left w:val="nil"/>
              <w:bottom w:val="nil"/>
              <w:right w:val="nil"/>
            </w:tcBorders>
            <w:shd w:val="clear" w:color="auto" w:fill="auto"/>
            <w:noWrap/>
            <w:vAlign w:val="center"/>
            <w:hideMark/>
          </w:tcPr>
          <w:p w14:paraId="4104C936"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136</w:t>
            </w:r>
          </w:p>
        </w:tc>
        <w:tc>
          <w:tcPr>
            <w:tcW w:w="984" w:type="dxa"/>
            <w:tcBorders>
              <w:top w:val="nil"/>
              <w:left w:val="nil"/>
              <w:bottom w:val="nil"/>
              <w:right w:val="nil"/>
            </w:tcBorders>
            <w:shd w:val="clear" w:color="auto" w:fill="auto"/>
            <w:noWrap/>
            <w:vAlign w:val="center"/>
            <w:hideMark/>
          </w:tcPr>
          <w:p w14:paraId="6FA7F8C7"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252</w:t>
            </w:r>
          </w:p>
        </w:tc>
        <w:tc>
          <w:tcPr>
            <w:tcW w:w="1128" w:type="dxa"/>
            <w:tcBorders>
              <w:top w:val="nil"/>
              <w:left w:val="nil"/>
              <w:bottom w:val="nil"/>
              <w:right w:val="nil"/>
            </w:tcBorders>
            <w:shd w:val="clear" w:color="auto" w:fill="auto"/>
            <w:noWrap/>
            <w:vAlign w:val="center"/>
            <w:hideMark/>
          </w:tcPr>
          <w:p w14:paraId="19FFD42B" w14:textId="0D8A2AB2"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w:t>
            </w:r>
            <w:r w:rsidR="004F67EB">
              <w:rPr>
                <w:rFonts w:cs="Arial"/>
                <w:color w:val="000000"/>
                <w:sz w:val="20"/>
                <w:szCs w:val="20"/>
                <w:lang w:eastAsia="en-GB"/>
              </w:rPr>
              <w:t>76</w:t>
            </w:r>
          </w:p>
        </w:tc>
        <w:tc>
          <w:tcPr>
            <w:tcW w:w="1249" w:type="dxa"/>
            <w:tcBorders>
              <w:top w:val="nil"/>
              <w:left w:val="nil"/>
              <w:bottom w:val="nil"/>
              <w:right w:val="single" w:sz="8" w:space="0" w:color="auto"/>
            </w:tcBorders>
            <w:shd w:val="clear" w:color="auto" w:fill="auto"/>
            <w:noWrap/>
            <w:vAlign w:val="center"/>
            <w:hideMark/>
          </w:tcPr>
          <w:p w14:paraId="067B426D" w14:textId="42940B2B"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w:t>
            </w:r>
            <w:r w:rsidR="004F67EB">
              <w:rPr>
                <w:rFonts w:cs="Arial"/>
                <w:color w:val="000000"/>
                <w:sz w:val="20"/>
                <w:szCs w:val="20"/>
                <w:lang w:eastAsia="en-GB"/>
              </w:rPr>
              <w:t>76</w:t>
            </w:r>
          </w:p>
        </w:tc>
      </w:tr>
      <w:tr w:rsidR="00326683" w:rsidRPr="00326683" w14:paraId="67851CD0"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197E158D"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Fix the Fells Reserve</w:t>
            </w:r>
          </w:p>
        </w:tc>
        <w:tc>
          <w:tcPr>
            <w:tcW w:w="1197" w:type="dxa"/>
            <w:tcBorders>
              <w:top w:val="nil"/>
              <w:left w:val="nil"/>
              <w:bottom w:val="nil"/>
              <w:right w:val="nil"/>
            </w:tcBorders>
            <w:shd w:val="clear" w:color="auto" w:fill="auto"/>
            <w:noWrap/>
            <w:vAlign w:val="center"/>
            <w:hideMark/>
          </w:tcPr>
          <w:p w14:paraId="150D75A0"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166</w:t>
            </w:r>
          </w:p>
        </w:tc>
        <w:tc>
          <w:tcPr>
            <w:tcW w:w="1128" w:type="dxa"/>
            <w:tcBorders>
              <w:top w:val="nil"/>
              <w:left w:val="nil"/>
              <w:bottom w:val="nil"/>
              <w:right w:val="nil"/>
            </w:tcBorders>
            <w:shd w:val="clear" w:color="auto" w:fill="auto"/>
            <w:noWrap/>
            <w:vAlign w:val="center"/>
            <w:hideMark/>
          </w:tcPr>
          <w:p w14:paraId="406645D4"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-128</w:t>
            </w:r>
          </w:p>
        </w:tc>
        <w:tc>
          <w:tcPr>
            <w:tcW w:w="984" w:type="dxa"/>
            <w:tcBorders>
              <w:top w:val="nil"/>
              <w:left w:val="nil"/>
              <w:bottom w:val="nil"/>
              <w:right w:val="nil"/>
            </w:tcBorders>
            <w:shd w:val="clear" w:color="auto" w:fill="auto"/>
            <w:noWrap/>
            <w:vAlign w:val="center"/>
            <w:hideMark/>
          </w:tcPr>
          <w:p w14:paraId="2E91B387"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38</w:t>
            </w:r>
          </w:p>
        </w:tc>
        <w:tc>
          <w:tcPr>
            <w:tcW w:w="1128" w:type="dxa"/>
            <w:tcBorders>
              <w:top w:val="nil"/>
              <w:left w:val="nil"/>
              <w:bottom w:val="nil"/>
              <w:right w:val="nil"/>
            </w:tcBorders>
            <w:shd w:val="clear" w:color="auto" w:fill="auto"/>
            <w:noWrap/>
            <w:vAlign w:val="center"/>
            <w:hideMark/>
          </w:tcPr>
          <w:p w14:paraId="26A10FE5" w14:textId="5485A428" w:rsidR="00326683" w:rsidRPr="00326683" w:rsidRDefault="004F67EB" w:rsidP="00326683">
            <w:pPr>
              <w:jc w:val="right"/>
              <w:rPr>
                <w:rFonts w:cs="Arial"/>
                <w:color w:val="000000"/>
                <w:sz w:val="20"/>
                <w:szCs w:val="20"/>
                <w:lang w:eastAsia="en-GB"/>
              </w:rPr>
            </w:pPr>
            <w:r>
              <w:rPr>
                <w:rFonts w:cs="Arial"/>
                <w:color w:val="000000"/>
                <w:sz w:val="20"/>
                <w:szCs w:val="20"/>
                <w:lang w:eastAsia="en-GB"/>
              </w:rPr>
              <w:t>81</w:t>
            </w:r>
          </w:p>
        </w:tc>
        <w:tc>
          <w:tcPr>
            <w:tcW w:w="1249" w:type="dxa"/>
            <w:tcBorders>
              <w:top w:val="nil"/>
              <w:left w:val="nil"/>
              <w:bottom w:val="nil"/>
              <w:right w:val="single" w:sz="8" w:space="0" w:color="auto"/>
            </w:tcBorders>
            <w:shd w:val="clear" w:color="auto" w:fill="auto"/>
            <w:noWrap/>
            <w:vAlign w:val="center"/>
            <w:hideMark/>
          </w:tcPr>
          <w:p w14:paraId="0BEB9378" w14:textId="4BA2CC83"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w:t>
            </w:r>
            <w:r w:rsidR="004F67EB">
              <w:rPr>
                <w:rFonts w:cs="Arial"/>
                <w:color w:val="000000"/>
                <w:sz w:val="20"/>
                <w:szCs w:val="20"/>
                <w:lang w:eastAsia="en-GB"/>
              </w:rPr>
              <w:t>19</w:t>
            </w:r>
          </w:p>
        </w:tc>
      </w:tr>
      <w:tr w:rsidR="00326683" w:rsidRPr="00326683" w14:paraId="42203D46"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78AF3692"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Committed Salary reserve</w:t>
            </w:r>
          </w:p>
        </w:tc>
        <w:tc>
          <w:tcPr>
            <w:tcW w:w="1197" w:type="dxa"/>
            <w:tcBorders>
              <w:top w:val="nil"/>
              <w:left w:val="nil"/>
              <w:bottom w:val="nil"/>
              <w:right w:val="nil"/>
            </w:tcBorders>
            <w:shd w:val="clear" w:color="auto" w:fill="auto"/>
            <w:noWrap/>
            <w:vAlign w:val="center"/>
            <w:hideMark/>
          </w:tcPr>
          <w:p w14:paraId="74CD652A"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0</w:t>
            </w:r>
          </w:p>
        </w:tc>
        <w:tc>
          <w:tcPr>
            <w:tcW w:w="1128" w:type="dxa"/>
            <w:tcBorders>
              <w:top w:val="nil"/>
              <w:left w:val="nil"/>
              <w:bottom w:val="nil"/>
              <w:right w:val="nil"/>
            </w:tcBorders>
            <w:shd w:val="clear" w:color="auto" w:fill="auto"/>
            <w:noWrap/>
            <w:vAlign w:val="center"/>
            <w:hideMark/>
          </w:tcPr>
          <w:p w14:paraId="06AEEC48"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0</w:t>
            </w:r>
          </w:p>
        </w:tc>
        <w:tc>
          <w:tcPr>
            <w:tcW w:w="984" w:type="dxa"/>
            <w:tcBorders>
              <w:top w:val="nil"/>
              <w:left w:val="nil"/>
              <w:bottom w:val="nil"/>
              <w:right w:val="nil"/>
            </w:tcBorders>
            <w:shd w:val="clear" w:color="auto" w:fill="auto"/>
            <w:noWrap/>
            <w:vAlign w:val="center"/>
            <w:hideMark/>
          </w:tcPr>
          <w:p w14:paraId="7FAB288B"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0</w:t>
            </w:r>
          </w:p>
        </w:tc>
        <w:tc>
          <w:tcPr>
            <w:tcW w:w="1128" w:type="dxa"/>
            <w:tcBorders>
              <w:top w:val="nil"/>
              <w:left w:val="nil"/>
              <w:bottom w:val="nil"/>
              <w:right w:val="nil"/>
            </w:tcBorders>
            <w:shd w:val="clear" w:color="auto" w:fill="auto"/>
            <w:noWrap/>
            <w:vAlign w:val="center"/>
            <w:hideMark/>
          </w:tcPr>
          <w:p w14:paraId="643F6B02" w14:textId="394B9233" w:rsidR="00326683" w:rsidRPr="00326683" w:rsidRDefault="004F67EB" w:rsidP="00326683">
            <w:pPr>
              <w:jc w:val="right"/>
              <w:rPr>
                <w:rFonts w:cs="Arial"/>
                <w:color w:val="000000"/>
                <w:sz w:val="20"/>
                <w:szCs w:val="20"/>
                <w:lang w:eastAsia="en-GB"/>
              </w:rPr>
            </w:pPr>
            <w:r>
              <w:rPr>
                <w:rFonts w:cs="Arial"/>
                <w:color w:val="000000"/>
                <w:sz w:val="20"/>
                <w:szCs w:val="20"/>
                <w:lang w:eastAsia="en-GB"/>
              </w:rPr>
              <w:t>403</w:t>
            </w:r>
          </w:p>
        </w:tc>
        <w:tc>
          <w:tcPr>
            <w:tcW w:w="1249" w:type="dxa"/>
            <w:tcBorders>
              <w:top w:val="nil"/>
              <w:left w:val="nil"/>
              <w:bottom w:val="nil"/>
              <w:right w:val="single" w:sz="8" w:space="0" w:color="auto"/>
            </w:tcBorders>
            <w:shd w:val="clear" w:color="auto" w:fill="auto"/>
            <w:noWrap/>
            <w:vAlign w:val="center"/>
            <w:hideMark/>
          </w:tcPr>
          <w:p w14:paraId="6FF91825" w14:textId="762A12FC" w:rsidR="00326683" w:rsidRPr="00326683" w:rsidRDefault="004F67EB" w:rsidP="00326683">
            <w:pPr>
              <w:jc w:val="right"/>
              <w:rPr>
                <w:rFonts w:cs="Arial"/>
                <w:color w:val="000000"/>
                <w:sz w:val="20"/>
                <w:szCs w:val="20"/>
                <w:lang w:eastAsia="en-GB"/>
              </w:rPr>
            </w:pPr>
            <w:r>
              <w:rPr>
                <w:rFonts w:cs="Arial"/>
                <w:color w:val="000000"/>
                <w:sz w:val="20"/>
                <w:szCs w:val="20"/>
                <w:lang w:eastAsia="en-GB"/>
              </w:rPr>
              <w:t>403</w:t>
            </w:r>
          </w:p>
        </w:tc>
      </w:tr>
      <w:tr w:rsidR="00326683" w:rsidRPr="00326683" w14:paraId="04EABACA"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69DB8DC1"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Public Rights of Way Reserve</w:t>
            </w:r>
          </w:p>
        </w:tc>
        <w:tc>
          <w:tcPr>
            <w:tcW w:w="1197" w:type="dxa"/>
            <w:tcBorders>
              <w:top w:val="nil"/>
              <w:left w:val="nil"/>
              <w:bottom w:val="nil"/>
              <w:right w:val="nil"/>
            </w:tcBorders>
            <w:shd w:val="clear" w:color="auto" w:fill="auto"/>
            <w:noWrap/>
            <w:vAlign w:val="center"/>
            <w:hideMark/>
          </w:tcPr>
          <w:p w14:paraId="26DA1176"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87</w:t>
            </w:r>
          </w:p>
        </w:tc>
        <w:tc>
          <w:tcPr>
            <w:tcW w:w="1128" w:type="dxa"/>
            <w:tcBorders>
              <w:top w:val="nil"/>
              <w:left w:val="nil"/>
              <w:bottom w:val="nil"/>
              <w:right w:val="nil"/>
            </w:tcBorders>
            <w:shd w:val="clear" w:color="auto" w:fill="auto"/>
            <w:noWrap/>
            <w:vAlign w:val="center"/>
            <w:hideMark/>
          </w:tcPr>
          <w:p w14:paraId="16DCA85F"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-40</w:t>
            </w:r>
          </w:p>
        </w:tc>
        <w:tc>
          <w:tcPr>
            <w:tcW w:w="984" w:type="dxa"/>
            <w:tcBorders>
              <w:top w:val="nil"/>
              <w:left w:val="nil"/>
              <w:bottom w:val="nil"/>
              <w:right w:val="nil"/>
            </w:tcBorders>
            <w:shd w:val="clear" w:color="auto" w:fill="auto"/>
            <w:noWrap/>
            <w:vAlign w:val="center"/>
            <w:hideMark/>
          </w:tcPr>
          <w:p w14:paraId="2A340973"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47</w:t>
            </w:r>
          </w:p>
        </w:tc>
        <w:tc>
          <w:tcPr>
            <w:tcW w:w="1128" w:type="dxa"/>
            <w:tcBorders>
              <w:top w:val="nil"/>
              <w:left w:val="nil"/>
              <w:bottom w:val="nil"/>
              <w:right w:val="nil"/>
            </w:tcBorders>
            <w:shd w:val="clear" w:color="auto" w:fill="auto"/>
            <w:noWrap/>
            <w:vAlign w:val="center"/>
            <w:hideMark/>
          </w:tcPr>
          <w:p w14:paraId="295B3873" w14:textId="3685A477" w:rsidR="00326683" w:rsidRPr="00326683" w:rsidRDefault="004F67EB" w:rsidP="00326683">
            <w:pPr>
              <w:jc w:val="right"/>
              <w:rPr>
                <w:rFonts w:cs="Arial"/>
                <w:color w:val="000000"/>
                <w:sz w:val="20"/>
                <w:szCs w:val="20"/>
                <w:lang w:eastAsia="en-GB"/>
              </w:rPr>
            </w:pPr>
            <w:r>
              <w:rPr>
                <w:rFonts w:cs="Arial"/>
                <w:color w:val="000000"/>
                <w:sz w:val="20"/>
                <w:szCs w:val="20"/>
                <w:lang w:eastAsia="en-GB"/>
              </w:rPr>
              <w:t>26</w:t>
            </w:r>
          </w:p>
        </w:tc>
        <w:tc>
          <w:tcPr>
            <w:tcW w:w="1249" w:type="dxa"/>
            <w:tcBorders>
              <w:top w:val="nil"/>
              <w:left w:val="nil"/>
              <w:bottom w:val="nil"/>
              <w:right w:val="single" w:sz="8" w:space="0" w:color="auto"/>
            </w:tcBorders>
            <w:shd w:val="clear" w:color="auto" w:fill="auto"/>
            <w:noWrap/>
            <w:vAlign w:val="center"/>
            <w:hideMark/>
          </w:tcPr>
          <w:p w14:paraId="2B916C0B" w14:textId="15DD6491" w:rsidR="00326683" w:rsidRPr="00326683" w:rsidRDefault="004F67EB" w:rsidP="00326683">
            <w:pPr>
              <w:jc w:val="right"/>
              <w:rPr>
                <w:rFonts w:cs="Arial"/>
                <w:color w:val="000000"/>
                <w:sz w:val="20"/>
                <w:szCs w:val="20"/>
                <w:lang w:eastAsia="en-GB"/>
              </w:rPr>
            </w:pPr>
            <w:r>
              <w:rPr>
                <w:rFonts w:cs="Arial"/>
                <w:color w:val="000000"/>
                <w:sz w:val="20"/>
                <w:szCs w:val="20"/>
                <w:lang w:eastAsia="en-GB"/>
              </w:rPr>
              <w:t>73</w:t>
            </w:r>
          </w:p>
        </w:tc>
      </w:tr>
      <w:tr w:rsidR="00326683" w:rsidRPr="00326683" w14:paraId="359394EE"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3C0C943A"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Planning Fee Increase Reserve</w:t>
            </w:r>
          </w:p>
        </w:tc>
        <w:tc>
          <w:tcPr>
            <w:tcW w:w="1197" w:type="dxa"/>
            <w:tcBorders>
              <w:top w:val="nil"/>
              <w:left w:val="nil"/>
              <w:bottom w:val="nil"/>
              <w:right w:val="nil"/>
            </w:tcBorders>
            <w:shd w:val="clear" w:color="auto" w:fill="auto"/>
            <w:noWrap/>
            <w:vAlign w:val="center"/>
            <w:hideMark/>
          </w:tcPr>
          <w:p w14:paraId="499F3B6D"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201</w:t>
            </w:r>
          </w:p>
        </w:tc>
        <w:tc>
          <w:tcPr>
            <w:tcW w:w="1128" w:type="dxa"/>
            <w:tcBorders>
              <w:top w:val="nil"/>
              <w:left w:val="nil"/>
              <w:bottom w:val="nil"/>
              <w:right w:val="nil"/>
            </w:tcBorders>
            <w:shd w:val="clear" w:color="auto" w:fill="auto"/>
            <w:noWrap/>
            <w:vAlign w:val="center"/>
            <w:hideMark/>
          </w:tcPr>
          <w:p w14:paraId="7CB7B3F0"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-175</w:t>
            </w:r>
          </w:p>
        </w:tc>
        <w:tc>
          <w:tcPr>
            <w:tcW w:w="984" w:type="dxa"/>
            <w:tcBorders>
              <w:top w:val="nil"/>
              <w:left w:val="nil"/>
              <w:bottom w:val="nil"/>
              <w:right w:val="nil"/>
            </w:tcBorders>
            <w:shd w:val="clear" w:color="auto" w:fill="auto"/>
            <w:noWrap/>
            <w:vAlign w:val="center"/>
            <w:hideMark/>
          </w:tcPr>
          <w:p w14:paraId="2E7EFB3F"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26</w:t>
            </w:r>
          </w:p>
        </w:tc>
        <w:tc>
          <w:tcPr>
            <w:tcW w:w="1128" w:type="dxa"/>
            <w:tcBorders>
              <w:top w:val="nil"/>
              <w:left w:val="nil"/>
              <w:bottom w:val="nil"/>
              <w:right w:val="nil"/>
            </w:tcBorders>
            <w:shd w:val="clear" w:color="auto" w:fill="auto"/>
            <w:noWrap/>
            <w:vAlign w:val="center"/>
            <w:hideMark/>
          </w:tcPr>
          <w:p w14:paraId="58795981"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-26</w:t>
            </w:r>
          </w:p>
        </w:tc>
        <w:tc>
          <w:tcPr>
            <w:tcW w:w="1249" w:type="dxa"/>
            <w:tcBorders>
              <w:top w:val="nil"/>
              <w:left w:val="nil"/>
              <w:bottom w:val="nil"/>
              <w:right w:val="single" w:sz="8" w:space="0" w:color="auto"/>
            </w:tcBorders>
            <w:shd w:val="clear" w:color="auto" w:fill="auto"/>
            <w:noWrap/>
            <w:vAlign w:val="center"/>
            <w:hideMark/>
          </w:tcPr>
          <w:p w14:paraId="426B9DDA"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0</w:t>
            </w:r>
          </w:p>
        </w:tc>
      </w:tr>
      <w:tr w:rsidR="00326683" w:rsidRPr="00326683" w14:paraId="3DA29770"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79C5350A"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Planning Interim Support Reserve</w:t>
            </w:r>
          </w:p>
        </w:tc>
        <w:tc>
          <w:tcPr>
            <w:tcW w:w="1197" w:type="dxa"/>
            <w:tcBorders>
              <w:top w:val="nil"/>
              <w:left w:val="nil"/>
              <w:bottom w:val="nil"/>
              <w:right w:val="nil"/>
            </w:tcBorders>
            <w:shd w:val="clear" w:color="auto" w:fill="auto"/>
            <w:noWrap/>
            <w:vAlign w:val="bottom"/>
            <w:hideMark/>
          </w:tcPr>
          <w:p w14:paraId="1D90C4E2" w14:textId="77777777" w:rsidR="00326683" w:rsidRPr="00326683" w:rsidRDefault="00326683" w:rsidP="00326683">
            <w:pPr>
              <w:jc w:val="right"/>
              <w:rPr>
                <w:rFonts w:ascii="Times New Roman" w:hAnsi="Times New Roman"/>
                <w:color w:val="000000"/>
                <w:sz w:val="20"/>
                <w:szCs w:val="20"/>
                <w:lang w:eastAsia="en-GB"/>
              </w:rPr>
            </w:pPr>
            <w:r w:rsidRPr="00326683">
              <w:rPr>
                <w:rFonts w:ascii="Times New Roman" w:hAnsi="Times New Roman" w:cs="Arial"/>
                <w:color w:val="000000"/>
                <w:sz w:val="20"/>
                <w:szCs w:val="20"/>
                <w:lang w:eastAsia="en-GB"/>
              </w:rPr>
              <w:t>0</w:t>
            </w:r>
          </w:p>
        </w:tc>
        <w:tc>
          <w:tcPr>
            <w:tcW w:w="1128" w:type="dxa"/>
            <w:tcBorders>
              <w:top w:val="nil"/>
              <w:left w:val="nil"/>
              <w:bottom w:val="nil"/>
              <w:right w:val="nil"/>
            </w:tcBorders>
            <w:shd w:val="clear" w:color="auto" w:fill="auto"/>
            <w:noWrap/>
            <w:vAlign w:val="bottom"/>
            <w:hideMark/>
          </w:tcPr>
          <w:p w14:paraId="55DDDC81" w14:textId="77777777" w:rsidR="00326683" w:rsidRPr="00326683" w:rsidRDefault="00326683" w:rsidP="00326683">
            <w:pPr>
              <w:jc w:val="right"/>
              <w:rPr>
                <w:rFonts w:ascii="Times New Roman" w:hAnsi="Times New Roman"/>
                <w:color w:val="000000"/>
                <w:sz w:val="20"/>
                <w:szCs w:val="20"/>
                <w:lang w:eastAsia="en-GB"/>
              </w:rPr>
            </w:pPr>
            <w:r w:rsidRPr="00326683">
              <w:rPr>
                <w:rFonts w:ascii="Times New Roman" w:hAnsi="Times New Roman" w:cs="Arial"/>
                <w:color w:val="000000"/>
                <w:sz w:val="20"/>
                <w:szCs w:val="20"/>
                <w:lang w:eastAsia="en-GB"/>
              </w:rPr>
              <w:t>106</w:t>
            </w:r>
          </w:p>
        </w:tc>
        <w:tc>
          <w:tcPr>
            <w:tcW w:w="984" w:type="dxa"/>
            <w:tcBorders>
              <w:top w:val="nil"/>
              <w:left w:val="nil"/>
              <w:bottom w:val="nil"/>
              <w:right w:val="nil"/>
            </w:tcBorders>
            <w:shd w:val="clear" w:color="auto" w:fill="auto"/>
            <w:noWrap/>
            <w:vAlign w:val="center"/>
            <w:hideMark/>
          </w:tcPr>
          <w:p w14:paraId="3B6128DD"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106</w:t>
            </w:r>
          </w:p>
        </w:tc>
        <w:tc>
          <w:tcPr>
            <w:tcW w:w="1128" w:type="dxa"/>
            <w:tcBorders>
              <w:top w:val="nil"/>
              <w:left w:val="nil"/>
              <w:bottom w:val="nil"/>
              <w:right w:val="nil"/>
            </w:tcBorders>
            <w:shd w:val="clear" w:color="auto" w:fill="auto"/>
            <w:noWrap/>
            <w:vAlign w:val="center"/>
            <w:hideMark/>
          </w:tcPr>
          <w:p w14:paraId="1969849F"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-42</w:t>
            </w:r>
          </w:p>
        </w:tc>
        <w:tc>
          <w:tcPr>
            <w:tcW w:w="1249" w:type="dxa"/>
            <w:tcBorders>
              <w:top w:val="nil"/>
              <w:left w:val="nil"/>
              <w:bottom w:val="nil"/>
              <w:right w:val="single" w:sz="8" w:space="0" w:color="auto"/>
            </w:tcBorders>
            <w:shd w:val="clear" w:color="auto" w:fill="auto"/>
            <w:noWrap/>
            <w:vAlign w:val="center"/>
            <w:hideMark/>
          </w:tcPr>
          <w:p w14:paraId="0011958B"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64</w:t>
            </w:r>
          </w:p>
        </w:tc>
      </w:tr>
      <w:tr w:rsidR="00326683" w:rsidRPr="00326683" w14:paraId="544C61CC"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21988865"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National Parks Portal Reserve</w:t>
            </w:r>
          </w:p>
        </w:tc>
        <w:tc>
          <w:tcPr>
            <w:tcW w:w="1197" w:type="dxa"/>
            <w:tcBorders>
              <w:top w:val="nil"/>
              <w:left w:val="nil"/>
              <w:bottom w:val="nil"/>
              <w:right w:val="nil"/>
            </w:tcBorders>
            <w:shd w:val="clear" w:color="auto" w:fill="auto"/>
            <w:noWrap/>
            <w:vAlign w:val="center"/>
            <w:hideMark/>
          </w:tcPr>
          <w:p w14:paraId="73B55099"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24</w:t>
            </w:r>
          </w:p>
        </w:tc>
        <w:tc>
          <w:tcPr>
            <w:tcW w:w="1128" w:type="dxa"/>
            <w:tcBorders>
              <w:top w:val="nil"/>
              <w:left w:val="nil"/>
              <w:bottom w:val="nil"/>
              <w:right w:val="nil"/>
            </w:tcBorders>
            <w:shd w:val="clear" w:color="auto" w:fill="auto"/>
            <w:noWrap/>
            <w:vAlign w:val="center"/>
            <w:hideMark/>
          </w:tcPr>
          <w:p w14:paraId="0DE1E97B"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-5</w:t>
            </w:r>
          </w:p>
        </w:tc>
        <w:tc>
          <w:tcPr>
            <w:tcW w:w="984" w:type="dxa"/>
            <w:tcBorders>
              <w:top w:val="nil"/>
              <w:left w:val="nil"/>
              <w:bottom w:val="nil"/>
              <w:right w:val="nil"/>
            </w:tcBorders>
            <w:shd w:val="clear" w:color="auto" w:fill="auto"/>
            <w:noWrap/>
            <w:vAlign w:val="center"/>
            <w:hideMark/>
          </w:tcPr>
          <w:p w14:paraId="2EC6DCBD"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19</w:t>
            </w:r>
          </w:p>
        </w:tc>
        <w:tc>
          <w:tcPr>
            <w:tcW w:w="1128" w:type="dxa"/>
            <w:tcBorders>
              <w:top w:val="nil"/>
              <w:left w:val="nil"/>
              <w:bottom w:val="nil"/>
              <w:right w:val="nil"/>
            </w:tcBorders>
            <w:shd w:val="clear" w:color="auto" w:fill="auto"/>
            <w:noWrap/>
            <w:vAlign w:val="center"/>
            <w:hideMark/>
          </w:tcPr>
          <w:p w14:paraId="1E0F1C53"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-19</w:t>
            </w:r>
          </w:p>
        </w:tc>
        <w:tc>
          <w:tcPr>
            <w:tcW w:w="1249" w:type="dxa"/>
            <w:tcBorders>
              <w:top w:val="nil"/>
              <w:left w:val="nil"/>
              <w:bottom w:val="nil"/>
              <w:right w:val="single" w:sz="8" w:space="0" w:color="auto"/>
            </w:tcBorders>
            <w:shd w:val="clear" w:color="auto" w:fill="auto"/>
            <w:noWrap/>
            <w:vAlign w:val="center"/>
            <w:hideMark/>
          </w:tcPr>
          <w:p w14:paraId="44BE5194"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0</w:t>
            </w:r>
          </w:p>
        </w:tc>
      </w:tr>
      <w:tr w:rsidR="00326683" w:rsidRPr="00326683" w14:paraId="6453076B"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1150B072"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Farming in Protected Landscapes</w:t>
            </w:r>
          </w:p>
        </w:tc>
        <w:tc>
          <w:tcPr>
            <w:tcW w:w="1197" w:type="dxa"/>
            <w:tcBorders>
              <w:top w:val="nil"/>
              <w:left w:val="nil"/>
              <w:bottom w:val="nil"/>
              <w:right w:val="nil"/>
            </w:tcBorders>
            <w:shd w:val="clear" w:color="auto" w:fill="auto"/>
            <w:noWrap/>
            <w:vAlign w:val="center"/>
            <w:hideMark/>
          </w:tcPr>
          <w:p w14:paraId="5F8DB704"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44</w:t>
            </w:r>
          </w:p>
        </w:tc>
        <w:tc>
          <w:tcPr>
            <w:tcW w:w="1128" w:type="dxa"/>
            <w:tcBorders>
              <w:top w:val="nil"/>
              <w:left w:val="nil"/>
              <w:bottom w:val="nil"/>
              <w:right w:val="nil"/>
            </w:tcBorders>
            <w:shd w:val="clear" w:color="auto" w:fill="auto"/>
            <w:noWrap/>
            <w:vAlign w:val="center"/>
            <w:hideMark/>
          </w:tcPr>
          <w:p w14:paraId="5AB2F7BB"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7</w:t>
            </w:r>
          </w:p>
        </w:tc>
        <w:tc>
          <w:tcPr>
            <w:tcW w:w="984" w:type="dxa"/>
            <w:tcBorders>
              <w:top w:val="nil"/>
              <w:left w:val="nil"/>
              <w:bottom w:val="nil"/>
              <w:right w:val="nil"/>
            </w:tcBorders>
            <w:shd w:val="clear" w:color="auto" w:fill="auto"/>
            <w:noWrap/>
            <w:vAlign w:val="center"/>
            <w:hideMark/>
          </w:tcPr>
          <w:p w14:paraId="1ED6B4A0"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51</w:t>
            </w:r>
          </w:p>
        </w:tc>
        <w:tc>
          <w:tcPr>
            <w:tcW w:w="1128" w:type="dxa"/>
            <w:tcBorders>
              <w:top w:val="nil"/>
              <w:left w:val="nil"/>
              <w:bottom w:val="nil"/>
              <w:right w:val="nil"/>
            </w:tcBorders>
            <w:shd w:val="clear" w:color="auto" w:fill="auto"/>
            <w:noWrap/>
            <w:vAlign w:val="center"/>
            <w:hideMark/>
          </w:tcPr>
          <w:p w14:paraId="2DDC22FC" w14:textId="7865B0D9"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7</w:t>
            </w:r>
          </w:p>
        </w:tc>
        <w:tc>
          <w:tcPr>
            <w:tcW w:w="1249" w:type="dxa"/>
            <w:tcBorders>
              <w:top w:val="nil"/>
              <w:left w:val="nil"/>
              <w:bottom w:val="nil"/>
              <w:right w:val="single" w:sz="8" w:space="0" w:color="auto"/>
            </w:tcBorders>
            <w:shd w:val="clear" w:color="auto" w:fill="auto"/>
            <w:noWrap/>
            <w:vAlign w:val="center"/>
            <w:hideMark/>
          </w:tcPr>
          <w:p w14:paraId="7136F49C" w14:textId="2636B65D" w:rsidR="00326683" w:rsidRPr="00326683" w:rsidRDefault="004F67EB" w:rsidP="00326683">
            <w:pPr>
              <w:jc w:val="right"/>
              <w:rPr>
                <w:rFonts w:cs="Arial"/>
                <w:color w:val="000000"/>
                <w:sz w:val="20"/>
                <w:szCs w:val="20"/>
                <w:lang w:eastAsia="en-GB"/>
              </w:rPr>
            </w:pPr>
            <w:r>
              <w:rPr>
                <w:rFonts w:cs="Arial"/>
                <w:color w:val="000000"/>
                <w:sz w:val="20"/>
                <w:szCs w:val="20"/>
                <w:lang w:eastAsia="en-GB"/>
              </w:rPr>
              <w:t>5</w:t>
            </w:r>
            <w:r w:rsidR="00326683" w:rsidRPr="00326683">
              <w:rPr>
                <w:rFonts w:cs="Arial"/>
                <w:color w:val="000000"/>
                <w:sz w:val="20"/>
                <w:szCs w:val="20"/>
                <w:lang w:eastAsia="en-GB"/>
              </w:rPr>
              <w:t>8</w:t>
            </w:r>
          </w:p>
        </w:tc>
      </w:tr>
      <w:tr w:rsidR="00326683" w:rsidRPr="00326683" w14:paraId="766A6B51" w14:textId="77777777" w:rsidTr="002A6617">
        <w:trPr>
          <w:trHeight w:val="300"/>
        </w:trPr>
        <w:tc>
          <w:tcPr>
            <w:tcW w:w="4180" w:type="dxa"/>
            <w:tcBorders>
              <w:top w:val="nil"/>
              <w:left w:val="single" w:sz="8" w:space="0" w:color="auto"/>
              <w:bottom w:val="nil"/>
              <w:right w:val="nil"/>
            </w:tcBorders>
            <w:shd w:val="clear" w:color="auto" w:fill="auto"/>
            <w:noWrap/>
            <w:vAlign w:val="center"/>
            <w:hideMark/>
          </w:tcPr>
          <w:p w14:paraId="605092B9"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Visitor Services Trading</w:t>
            </w:r>
          </w:p>
        </w:tc>
        <w:tc>
          <w:tcPr>
            <w:tcW w:w="1197" w:type="dxa"/>
            <w:tcBorders>
              <w:top w:val="nil"/>
              <w:left w:val="nil"/>
              <w:bottom w:val="nil"/>
              <w:right w:val="nil"/>
            </w:tcBorders>
            <w:shd w:val="clear" w:color="auto" w:fill="auto"/>
            <w:noWrap/>
            <w:vAlign w:val="center"/>
            <w:hideMark/>
          </w:tcPr>
          <w:p w14:paraId="0E19B0E8"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500</w:t>
            </w:r>
          </w:p>
        </w:tc>
        <w:tc>
          <w:tcPr>
            <w:tcW w:w="1128" w:type="dxa"/>
            <w:tcBorders>
              <w:top w:val="nil"/>
              <w:left w:val="nil"/>
              <w:bottom w:val="nil"/>
              <w:right w:val="nil"/>
            </w:tcBorders>
            <w:shd w:val="clear" w:color="auto" w:fill="auto"/>
            <w:noWrap/>
            <w:vAlign w:val="center"/>
            <w:hideMark/>
          </w:tcPr>
          <w:p w14:paraId="0AA464C3"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-249</w:t>
            </w:r>
          </w:p>
        </w:tc>
        <w:tc>
          <w:tcPr>
            <w:tcW w:w="984" w:type="dxa"/>
            <w:tcBorders>
              <w:top w:val="nil"/>
              <w:left w:val="nil"/>
              <w:bottom w:val="nil"/>
              <w:right w:val="nil"/>
            </w:tcBorders>
            <w:shd w:val="clear" w:color="auto" w:fill="auto"/>
            <w:noWrap/>
            <w:vAlign w:val="center"/>
            <w:hideMark/>
          </w:tcPr>
          <w:p w14:paraId="5FBA5452"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251</w:t>
            </w:r>
          </w:p>
        </w:tc>
        <w:tc>
          <w:tcPr>
            <w:tcW w:w="1128" w:type="dxa"/>
            <w:tcBorders>
              <w:top w:val="nil"/>
              <w:left w:val="nil"/>
              <w:bottom w:val="nil"/>
              <w:right w:val="nil"/>
            </w:tcBorders>
            <w:shd w:val="clear" w:color="auto" w:fill="auto"/>
            <w:noWrap/>
            <w:vAlign w:val="center"/>
            <w:hideMark/>
          </w:tcPr>
          <w:p w14:paraId="0A41B292" w14:textId="284F9456" w:rsidR="00326683" w:rsidRPr="00326683" w:rsidRDefault="004F67EB" w:rsidP="00326683">
            <w:pPr>
              <w:jc w:val="right"/>
              <w:rPr>
                <w:rFonts w:cs="Arial"/>
                <w:color w:val="000000"/>
                <w:sz w:val="20"/>
                <w:szCs w:val="20"/>
                <w:lang w:eastAsia="en-GB"/>
              </w:rPr>
            </w:pPr>
            <w:r>
              <w:rPr>
                <w:rFonts w:cs="Arial"/>
                <w:color w:val="000000"/>
                <w:sz w:val="20"/>
                <w:szCs w:val="20"/>
                <w:lang w:eastAsia="en-GB"/>
              </w:rPr>
              <w:t>286</w:t>
            </w:r>
          </w:p>
        </w:tc>
        <w:tc>
          <w:tcPr>
            <w:tcW w:w="1249" w:type="dxa"/>
            <w:tcBorders>
              <w:top w:val="nil"/>
              <w:left w:val="nil"/>
              <w:bottom w:val="nil"/>
              <w:right w:val="single" w:sz="8" w:space="0" w:color="auto"/>
            </w:tcBorders>
            <w:shd w:val="clear" w:color="auto" w:fill="auto"/>
            <w:noWrap/>
            <w:vAlign w:val="center"/>
            <w:hideMark/>
          </w:tcPr>
          <w:p w14:paraId="156C4A48" w14:textId="54FB72B9" w:rsidR="00326683" w:rsidRPr="00326683" w:rsidRDefault="004F67EB" w:rsidP="00326683">
            <w:pPr>
              <w:jc w:val="right"/>
              <w:rPr>
                <w:rFonts w:cs="Arial"/>
                <w:color w:val="000000"/>
                <w:sz w:val="20"/>
                <w:szCs w:val="20"/>
                <w:lang w:eastAsia="en-GB"/>
              </w:rPr>
            </w:pPr>
            <w:r>
              <w:rPr>
                <w:rFonts w:cs="Arial"/>
                <w:color w:val="000000"/>
                <w:sz w:val="20"/>
                <w:szCs w:val="20"/>
                <w:lang w:eastAsia="en-GB"/>
              </w:rPr>
              <w:t>537</w:t>
            </w:r>
          </w:p>
        </w:tc>
      </w:tr>
      <w:tr w:rsidR="00326683" w:rsidRPr="00326683" w14:paraId="7C2AA0C0" w14:textId="77777777" w:rsidTr="002A6617">
        <w:trPr>
          <w:trHeight w:val="290"/>
        </w:trPr>
        <w:tc>
          <w:tcPr>
            <w:tcW w:w="4180" w:type="dxa"/>
            <w:tcBorders>
              <w:top w:val="single" w:sz="8" w:space="0" w:color="auto"/>
              <w:left w:val="single" w:sz="8" w:space="0" w:color="auto"/>
              <w:bottom w:val="nil"/>
              <w:right w:val="nil"/>
            </w:tcBorders>
            <w:shd w:val="clear" w:color="auto" w:fill="auto"/>
            <w:noWrap/>
            <w:vAlign w:val="center"/>
            <w:hideMark/>
          </w:tcPr>
          <w:p w14:paraId="6BA40759" w14:textId="77777777" w:rsidR="00326683" w:rsidRPr="00326683" w:rsidRDefault="00326683" w:rsidP="00326683">
            <w:pPr>
              <w:rPr>
                <w:rFonts w:cs="Arial"/>
                <w:b/>
                <w:bCs/>
                <w:color w:val="000000"/>
                <w:sz w:val="20"/>
                <w:szCs w:val="20"/>
                <w:lang w:eastAsia="en-GB"/>
              </w:rPr>
            </w:pPr>
            <w:r w:rsidRPr="00326683">
              <w:rPr>
                <w:rFonts w:cs="Arial"/>
                <w:b/>
                <w:bCs/>
                <w:color w:val="000000"/>
                <w:sz w:val="20"/>
                <w:szCs w:val="20"/>
                <w:lang w:eastAsia="en-GB"/>
              </w:rPr>
              <w:t>Total Earmarked Reserves</w:t>
            </w:r>
          </w:p>
        </w:tc>
        <w:tc>
          <w:tcPr>
            <w:tcW w:w="1197" w:type="dxa"/>
            <w:tcBorders>
              <w:top w:val="single" w:sz="8" w:space="0" w:color="auto"/>
              <w:left w:val="nil"/>
              <w:bottom w:val="nil"/>
              <w:right w:val="nil"/>
            </w:tcBorders>
            <w:shd w:val="clear" w:color="auto" w:fill="auto"/>
            <w:noWrap/>
            <w:vAlign w:val="center"/>
            <w:hideMark/>
          </w:tcPr>
          <w:p w14:paraId="0EBAC42A" w14:textId="77777777" w:rsidR="00326683" w:rsidRPr="00326683" w:rsidRDefault="00326683" w:rsidP="00326683">
            <w:pPr>
              <w:jc w:val="right"/>
              <w:rPr>
                <w:rFonts w:cs="Arial"/>
                <w:b/>
                <w:bCs/>
                <w:color w:val="000000"/>
                <w:sz w:val="20"/>
                <w:szCs w:val="20"/>
                <w:lang w:eastAsia="en-GB"/>
              </w:rPr>
            </w:pPr>
            <w:r w:rsidRPr="00326683">
              <w:rPr>
                <w:rFonts w:cs="Arial"/>
                <w:b/>
                <w:bCs/>
                <w:color w:val="000000"/>
                <w:sz w:val="20"/>
                <w:szCs w:val="20"/>
                <w:lang w:eastAsia="en-GB"/>
              </w:rPr>
              <w:t>2,276</w:t>
            </w:r>
          </w:p>
        </w:tc>
        <w:tc>
          <w:tcPr>
            <w:tcW w:w="1128" w:type="dxa"/>
            <w:tcBorders>
              <w:top w:val="single" w:sz="8" w:space="0" w:color="auto"/>
              <w:left w:val="nil"/>
              <w:bottom w:val="nil"/>
              <w:right w:val="nil"/>
            </w:tcBorders>
            <w:shd w:val="clear" w:color="auto" w:fill="auto"/>
            <w:noWrap/>
            <w:vAlign w:val="center"/>
            <w:hideMark/>
          </w:tcPr>
          <w:p w14:paraId="2E044937" w14:textId="77777777" w:rsidR="00326683" w:rsidRPr="00326683" w:rsidRDefault="00326683" w:rsidP="00326683">
            <w:pPr>
              <w:jc w:val="right"/>
              <w:rPr>
                <w:rFonts w:cs="Arial"/>
                <w:b/>
                <w:bCs/>
                <w:color w:val="000000"/>
                <w:sz w:val="20"/>
                <w:szCs w:val="20"/>
                <w:lang w:eastAsia="en-GB"/>
              </w:rPr>
            </w:pPr>
            <w:r w:rsidRPr="00326683">
              <w:rPr>
                <w:rFonts w:cs="Arial"/>
                <w:b/>
                <w:bCs/>
                <w:color w:val="000000"/>
                <w:sz w:val="20"/>
                <w:szCs w:val="20"/>
                <w:lang w:eastAsia="en-GB"/>
              </w:rPr>
              <w:t>-435</w:t>
            </w:r>
          </w:p>
        </w:tc>
        <w:tc>
          <w:tcPr>
            <w:tcW w:w="984" w:type="dxa"/>
            <w:tcBorders>
              <w:top w:val="single" w:sz="8" w:space="0" w:color="auto"/>
              <w:left w:val="nil"/>
              <w:bottom w:val="nil"/>
              <w:right w:val="nil"/>
            </w:tcBorders>
            <w:shd w:val="clear" w:color="auto" w:fill="auto"/>
            <w:noWrap/>
            <w:vAlign w:val="center"/>
            <w:hideMark/>
          </w:tcPr>
          <w:p w14:paraId="7579812B" w14:textId="77777777" w:rsidR="00326683" w:rsidRPr="00326683" w:rsidRDefault="00326683" w:rsidP="00326683">
            <w:pPr>
              <w:jc w:val="right"/>
              <w:rPr>
                <w:rFonts w:cs="Arial"/>
                <w:b/>
                <w:bCs/>
                <w:color w:val="000000"/>
                <w:sz w:val="20"/>
                <w:szCs w:val="20"/>
                <w:lang w:eastAsia="en-GB"/>
              </w:rPr>
            </w:pPr>
            <w:r w:rsidRPr="00326683">
              <w:rPr>
                <w:rFonts w:cs="Arial"/>
                <w:b/>
                <w:bCs/>
                <w:color w:val="000000"/>
                <w:sz w:val="20"/>
                <w:szCs w:val="20"/>
                <w:lang w:eastAsia="en-GB"/>
              </w:rPr>
              <w:t>1,841</w:t>
            </w:r>
          </w:p>
        </w:tc>
        <w:tc>
          <w:tcPr>
            <w:tcW w:w="1128" w:type="dxa"/>
            <w:tcBorders>
              <w:top w:val="single" w:sz="8" w:space="0" w:color="auto"/>
              <w:left w:val="nil"/>
              <w:bottom w:val="nil"/>
              <w:right w:val="nil"/>
            </w:tcBorders>
            <w:shd w:val="clear" w:color="auto" w:fill="auto"/>
            <w:noWrap/>
            <w:vAlign w:val="center"/>
            <w:hideMark/>
          </w:tcPr>
          <w:p w14:paraId="515D45AE" w14:textId="6E81D780" w:rsidR="00326683" w:rsidRPr="00326683" w:rsidRDefault="004F67EB" w:rsidP="00326683">
            <w:pPr>
              <w:jc w:val="right"/>
              <w:rPr>
                <w:rFonts w:cs="Arial"/>
                <w:b/>
                <w:bCs/>
                <w:color w:val="000000"/>
                <w:sz w:val="20"/>
                <w:szCs w:val="20"/>
                <w:lang w:eastAsia="en-GB"/>
              </w:rPr>
            </w:pPr>
            <w:r>
              <w:rPr>
                <w:rFonts w:cs="Arial"/>
                <w:b/>
                <w:bCs/>
                <w:color w:val="000000"/>
                <w:sz w:val="20"/>
                <w:szCs w:val="20"/>
                <w:lang w:eastAsia="en-GB"/>
              </w:rPr>
              <w:t>562</w:t>
            </w:r>
          </w:p>
        </w:tc>
        <w:tc>
          <w:tcPr>
            <w:tcW w:w="1249" w:type="dxa"/>
            <w:tcBorders>
              <w:top w:val="single" w:sz="8" w:space="0" w:color="auto"/>
              <w:left w:val="nil"/>
              <w:bottom w:val="nil"/>
              <w:right w:val="single" w:sz="8" w:space="0" w:color="auto"/>
            </w:tcBorders>
            <w:shd w:val="clear" w:color="auto" w:fill="auto"/>
            <w:noWrap/>
            <w:vAlign w:val="center"/>
            <w:hideMark/>
          </w:tcPr>
          <w:p w14:paraId="0247162E" w14:textId="1237CC52" w:rsidR="00326683" w:rsidRPr="00326683" w:rsidRDefault="004F67EB" w:rsidP="00326683">
            <w:pPr>
              <w:jc w:val="right"/>
              <w:rPr>
                <w:rFonts w:cs="Arial"/>
                <w:b/>
                <w:bCs/>
                <w:color w:val="000000"/>
                <w:sz w:val="20"/>
                <w:szCs w:val="20"/>
                <w:lang w:eastAsia="en-GB"/>
              </w:rPr>
            </w:pPr>
            <w:r>
              <w:rPr>
                <w:rFonts w:cs="Arial"/>
                <w:b/>
                <w:bCs/>
                <w:color w:val="000000"/>
                <w:sz w:val="20"/>
                <w:szCs w:val="20"/>
                <w:lang w:eastAsia="en-GB"/>
              </w:rPr>
              <w:t>2,403</w:t>
            </w:r>
          </w:p>
        </w:tc>
      </w:tr>
      <w:tr w:rsidR="00326683" w:rsidRPr="00326683" w14:paraId="200BC9C8"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0A65CEE1"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 </w:t>
            </w:r>
          </w:p>
        </w:tc>
        <w:tc>
          <w:tcPr>
            <w:tcW w:w="1197" w:type="dxa"/>
            <w:tcBorders>
              <w:top w:val="nil"/>
              <w:left w:val="nil"/>
              <w:bottom w:val="nil"/>
              <w:right w:val="nil"/>
            </w:tcBorders>
            <w:shd w:val="clear" w:color="auto" w:fill="auto"/>
            <w:noWrap/>
            <w:vAlign w:val="bottom"/>
            <w:hideMark/>
          </w:tcPr>
          <w:p w14:paraId="7EBE5225" w14:textId="77777777" w:rsidR="00326683" w:rsidRPr="00326683" w:rsidRDefault="00326683" w:rsidP="00326683">
            <w:pPr>
              <w:rPr>
                <w:rFonts w:cs="Arial"/>
                <w:color w:val="000000"/>
                <w:sz w:val="20"/>
                <w:szCs w:val="20"/>
                <w:lang w:eastAsia="en-GB"/>
              </w:rPr>
            </w:pPr>
          </w:p>
        </w:tc>
        <w:tc>
          <w:tcPr>
            <w:tcW w:w="1128" w:type="dxa"/>
            <w:tcBorders>
              <w:top w:val="nil"/>
              <w:left w:val="nil"/>
              <w:bottom w:val="nil"/>
              <w:right w:val="nil"/>
            </w:tcBorders>
            <w:shd w:val="clear" w:color="auto" w:fill="auto"/>
            <w:noWrap/>
            <w:vAlign w:val="bottom"/>
            <w:hideMark/>
          </w:tcPr>
          <w:p w14:paraId="66624F6C" w14:textId="77777777" w:rsidR="00326683" w:rsidRPr="00326683" w:rsidRDefault="00326683" w:rsidP="00326683">
            <w:pPr>
              <w:rPr>
                <w:rFonts w:ascii="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648DD758" w14:textId="77777777" w:rsidR="00326683" w:rsidRPr="00326683" w:rsidRDefault="00326683" w:rsidP="00326683">
            <w:pPr>
              <w:rPr>
                <w:rFonts w:ascii="Times New Roman" w:hAnsi="Times New Roman"/>
                <w:sz w:val="20"/>
                <w:szCs w:val="20"/>
                <w:lang w:eastAsia="en-GB"/>
              </w:rPr>
            </w:pPr>
          </w:p>
        </w:tc>
        <w:tc>
          <w:tcPr>
            <w:tcW w:w="1128" w:type="dxa"/>
            <w:tcBorders>
              <w:top w:val="nil"/>
              <w:left w:val="nil"/>
              <w:bottom w:val="nil"/>
              <w:right w:val="nil"/>
            </w:tcBorders>
            <w:shd w:val="clear" w:color="auto" w:fill="auto"/>
            <w:noWrap/>
            <w:vAlign w:val="bottom"/>
            <w:hideMark/>
          </w:tcPr>
          <w:p w14:paraId="308B4780" w14:textId="77777777" w:rsidR="00326683" w:rsidRPr="00326683" w:rsidRDefault="00326683" w:rsidP="00326683">
            <w:pPr>
              <w:rPr>
                <w:rFonts w:ascii="Times New Roman" w:hAnsi="Times New Roman"/>
                <w:sz w:val="20"/>
                <w:szCs w:val="20"/>
                <w:lang w:eastAsia="en-GB"/>
              </w:rPr>
            </w:pPr>
          </w:p>
        </w:tc>
        <w:tc>
          <w:tcPr>
            <w:tcW w:w="1249" w:type="dxa"/>
            <w:tcBorders>
              <w:top w:val="nil"/>
              <w:left w:val="nil"/>
              <w:bottom w:val="nil"/>
              <w:right w:val="single" w:sz="8" w:space="0" w:color="auto"/>
            </w:tcBorders>
            <w:shd w:val="clear" w:color="auto" w:fill="auto"/>
            <w:noWrap/>
            <w:vAlign w:val="center"/>
            <w:hideMark/>
          </w:tcPr>
          <w:p w14:paraId="6A42CEFE"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 </w:t>
            </w:r>
          </w:p>
        </w:tc>
      </w:tr>
      <w:tr w:rsidR="00326683" w:rsidRPr="00326683" w14:paraId="324A2CFA" w14:textId="77777777" w:rsidTr="002A6617">
        <w:trPr>
          <w:trHeight w:val="290"/>
        </w:trPr>
        <w:tc>
          <w:tcPr>
            <w:tcW w:w="4180" w:type="dxa"/>
            <w:tcBorders>
              <w:top w:val="nil"/>
              <w:left w:val="single" w:sz="8" w:space="0" w:color="auto"/>
              <w:bottom w:val="nil"/>
              <w:right w:val="nil"/>
            </w:tcBorders>
            <w:shd w:val="clear" w:color="auto" w:fill="auto"/>
            <w:noWrap/>
            <w:vAlign w:val="center"/>
            <w:hideMark/>
          </w:tcPr>
          <w:p w14:paraId="7F48B985"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 xml:space="preserve">General Reserve </w:t>
            </w:r>
          </w:p>
        </w:tc>
        <w:tc>
          <w:tcPr>
            <w:tcW w:w="1197" w:type="dxa"/>
            <w:tcBorders>
              <w:top w:val="nil"/>
              <w:left w:val="nil"/>
              <w:bottom w:val="nil"/>
              <w:right w:val="nil"/>
            </w:tcBorders>
            <w:shd w:val="clear" w:color="auto" w:fill="auto"/>
            <w:noWrap/>
            <w:vAlign w:val="center"/>
            <w:hideMark/>
          </w:tcPr>
          <w:p w14:paraId="2402288A"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1,259</w:t>
            </w:r>
          </w:p>
        </w:tc>
        <w:tc>
          <w:tcPr>
            <w:tcW w:w="1128" w:type="dxa"/>
            <w:tcBorders>
              <w:top w:val="nil"/>
              <w:left w:val="nil"/>
              <w:bottom w:val="nil"/>
              <w:right w:val="nil"/>
            </w:tcBorders>
            <w:shd w:val="clear" w:color="auto" w:fill="auto"/>
            <w:noWrap/>
            <w:vAlign w:val="center"/>
            <w:hideMark/>
          </w:tcPr>
          <w:p w14:paraId="01DA0E7A"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311</w:t>
            </w:r>
          </w:p>
        </w:tc>
        <w:tc>
          <w:tcPr>
            <w:tcW w:w="984" w:type="dxa"/>
            <w:tcBorders>
              <w:top w:val="nil"/>
              <w:left w:val="nil"/>
              <w:bottom w:val="nil"/>
              <w:right w:val="nil"/>
            </w:tcBorders>
            <w:shd w:val="clear" w:color="auto" w:fill="auto"/>
            <w:noWrap/>
            <w:vAlign w:val="center"/>
            <w:hideMark/>
          </w:tcPr>
          <w:p w14:paraId="256A17B8"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1,570</w:t>
            </w:r>
          </w:p>
        </w:tc>
        <w:tc>
          <w:tcPr>
            <w:tcW w:w="1128" w:type="dxa"/>
            <w:tcBorders>
              <w:top w:val="nil"/>
              <w:left w:val="nil"/>
              <w:bottom w:val="nil"/>
              <w:right w:val="nil"/>
            </w:tcBorders>
            <w:shd w:val="clear" w:color="auto" w:fill="auto"/>
            <w:noWrap/>
            <w:vAlign w:val="center"/>
            <w:hideMark/>
          </w:tcPr>
          <w:p w14:paraId="721CA690"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-183</w:t>
            </w:r>
          </w:p>
        </w:tc>
        <w:tc>
          <w:tcPr>
            <w:tcW w:w="1249" w:type="dxa"/>
            <w:tcBorders>
              <w:top w:val="nil"/>
              <w:left w:val="nil"/>
              <w:bottom w:val="nil"/>
              <w:right w:val="single" w:sz="8" w:space="0" w:color="auto"/>
            </w:tcBorders>
            <w:shd w:val="clear" w:color="auto" w:fill="auto"/>
            <w:noWrap/>
            <w:vAlign w:val="center"/>
            <w:hideMark/>
          </w:tcPr>
          <w:p w14:paraId="502EE669" w14:textId="77777777" w:rsidR="00326683" w:rsidRPr="00326683" w:rsidRDefault="00326683" w:rsidP="00326683">
            <w:pPr>
              <w:jc w:val="right"/>
              <w:rPr>
                <w:rFonts w:cs="Arial"/>
                <w:color w:val="000000"/>
                <w:sz w:val="20"/>
                <w:szCs w:val="20"/>
                <w:lang w:eastAsia="en-GB"/>
              </w:rPr>
            </w:pPr>
            <w:r w:rsidRPr="00326683">
              <w:rPr>
                <w:rFonts w:cs="Arial"/>
                <w:color w:val="000000"/>
                <w:sz w:val="20"/>
                <w:szCs w:val="20"/>
                <w:lang w:eastAsia="en-GB"/>
              </w:rPr>
              <w:t>1,387</w:t>
            </w:r>
          </w:p>
        </w:tc>
      </w:tr>
      <w:tr w:rsidR="00326683" w:rsidRPr="00326683" w14:paraId="6478F3D9" w14:textId="77777777" w:rsidTr="002A6617">
        <w:trPr>
          <w:trHeight w:val="300"/>
        </w:trPr>
        <w:tc>
          <w:tcPr>
            <w:tcW w:w="4180" w:type="dxa"/>
            <w:tcBorders>
              <w:top w:val="nil"/>
              <w:left w:val="single" w:sz="8" w:space="0" w:color="auto"/>
              <w:bottom w:val="nil"/>
              <w:right w:val="nil"/>
            </w:tcBorders>
            <w:shd w:val="clear" w:color="auto" w:fill="auto"/>
            <w:noWrap/>
            <w:vAlign w:val="center"/>
            <w:hideMark/>
          </w:tcPr>
          <w:p w14:paraId="62AC3CB3"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 </w:t>
            </w:r>
          </w:p>
        </w:tc>
        <w:tc>
          <w:tcPr>
            <w:tcW w:w="1197" w:type="dxa"/>
            <w:tcBorders>
              <w:top w:val="nil"/>
              <w:left w:val="nil"/>
              <w:bottom w:val="nil"/>
              <w:right w:val="nil"/>
            </w:tcBorders>
            <w:shd w:val="clear" w:color="auto" w:fill="auto"/>
            <w:noWrap/>
            <w:vAlign w:val="bottom"/>
            <w:hideMark/>
          </w:tcPr>
          <w:p w14:paraId="04A17C9E" w14:textId="77777777" w:rsidR="00326683" w:rsidRPr="00326683" w:rsidRDefault="00326683" w:rsidP="00326683">
            <w:pPr>
              <w:rPr>
                <w:rFonts w:cs="Arial"/>
                <w:color w:val="000000"/>
                <w:sz w:val="20"/>
                <w:szCs w:val="20"/>
                <w:lang w:eastAsia="en-GB"/>
              </w:rPr>
            </w:pPr>
          </w:p>
        </w:tc>
        <w:tc>
          <w:tcPr>
            <w:tcW w:w="1128" w:type="dxa"/>
            <w:tcBorders>
              <w:top w:val="nil"/>
              <w:left w:val="nil"/>
              <w:bottom w:val="nil"/>
              <w:right w:val="nil"/>
            </w:tcBorders>
            <w:shd w:val="clear" w:color="auto" w:fill="auto"/>
            <w:noWrap/>
            <w:vAlign w:val="bottom"/>
            <w:hideMark/>
          </w:tcPr>
          <w:p w14:paraId="423667DB" w14:textId="77777777" w:rsidR="00326683" w:rsidRPr="00326683" w:rsidRDefault="00326683" w:rsidP="00326683">
            <w:pPr>
              <w:rPr>
                <w:rFonts w:ascii="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3C3B07B6" w14:textId="77777777" w:rsidR="00326683" w:rsidRPr="00326683" w:rsidRDefault="00326683" w:rsidP="00326683">
            <w:pPr>
              <w:rPr>
                <w:rFonts w:ascii="Times New Roman" w:hAnsi="Times New Roman"/>
                <w:sz w:val="20"/>
                <w:szCs w:val="20"/>
                <w:lang w:eastAsia="en-GB"/>
              </w:rPr>
            </w:pPr>
          </w:p>
        </w:tc>
        <w:tc>
          <w:tcPr>
            <w:tcW w:w="1128" w:type="dxa"/>
            <w:tcBorders>
              <w:top w:val="nil"/>
              <w:left w:val="nil"/>
              <w:bottom w:val="nil"/>
              <w:right w:val="nil"/>
            </w:tcBorders>
            <w:shd w:val="clear" w:color="auto" w:fill="auto"/>
            <w:noWrap/>
            <w:vAlign w:val="bottom"/>
            <w:hideMark/>
          </w:tcPr>
          <w:p w14:paraId="3FA3B213" w14:textId="77777777" w:rsidR="00326683" w:rsidRPr="00326683" w:rsidRDefault="00326683" w:rsidP="00326683">
            <w:pPr>
              <w:rPr>
                <w:rFonts w:ascii="Times New Roman" w:hAnsi="Times New Roman"/>
                <w:sz w:val="20"/>
                <w:szCs w:val="20"/>
                <w:lang w:eastAsia="en-GB"/>
              </w:rPr>
            </w:pPr>
          </w:p>
        </w:tc>
        <w:tc>
          <w:tcPr>
            <w:tcW w:w="1249" w:type="dxa"/>
            <w:tcBorders>
              <w:top w:val="nil"/>
              <w:left w:val="nil"/>
              <w:bottom w:val="nil"/>
              <w:right w:val="single" w:sz="8" w:space="0" w:color="auto"/>
            </w:tcBorders>
            <w:shd w:val="clear" w:color="auto" w:fill="auto"/>
            <w:noWrap/>
            <w:vAlign w:val="center"/>
            <w:hideMark/>
          </w:tcPr>
          <w:p w14:paraId="05F35E65" w14:textId="77777777" w:rsidR="00326683" w:rsidRPr="00326683" w:rsidRDefault="00326683" w:rsidP="00326683">
            <w:pPr>
              <w:rPr>
                <w:rFonts w:cs="Arial"/>
                <w:color w:val="000000"/>
                <w:sz w:val="20"/>
                <w:szCs w:val="20"/>
                <w:lang w:eastAsia="en-GB"/>
              </w:rPr>
            </w:pPr>
            <w:r w:rsidRPr="00326683">
              <w:rPr>
                <w:rFonts w:cs="Arial"/>
                <w:color w:val="000000"/>
                <w:sz w:val="20"/>
                <w:szCs w:val="20"/>
                <w:lang w:eastAsia="en-GB"/>
              </w:rPr>
              <w:t> </w:t>
            </w:r>
          </w:p>
        </w:tc>
      </w:tr>
      <w:tr w:rsidR="00326683" w:rsidRPr="00326683" w14:paraId="5A622778" w14:textId="77777777" w:rsidTr="002A6617">
        <w:trPr>
          <w:trHeight w:val="300"/>
        </w:trPr>
        <w:tc>
          <w:tcPr>
            <w:tcW w:w="4180" w:type="dxa"/>
            <w:tcBorders>
              <w:top w:val="single" w:sz="8" w:space="0" w:color="auto"/>
              <w:left w:val="single" w:sz="8" w:space="0" w:color="auto"/>
              <w:bottom w:val="single" w:sz="8" w:space="0" w:color="auto"/>
              <w:right w:val="nil"/>
            </w:tcBorders>
            <w:shd w:val="clear" w:color="auto" w:fill="auto"/>
            <w:noWrap/>
            <w:vAlign w:val="center"/>
            <w:hideMark/>
          </w:tcPr>
          <w:p w14:paraId="0F2FBDA7" w14:textId="77777777" w:rsidR="00326683" w:rsidRPr="00326683" w:rsidRDefault="00326683" w:rsidP="00326683">
            <w:pPr>
              <w:rPr>
                <w:rFonts w:cs="Arial"/>
                <w:b/>
                <w:bCs/>
                <w:color w:val="000000"/>
                <w:sz w:val="20"/>
                <w:szCs w:val="20"/>
                <w:lang w:eastAsia="en-GB"/>
              </w:rPr>
            </w:pPr>
            <w:r w:rsidRPr="00326683">
              <w:rPr>
                <w:rFonts w:cs="Arial"/>
                <w:b/>
                <w:bCs/>
                <w:color w:val="000000"/>
                <w:sz w:val="20"/>
                <w:szCs w:val="20"/>
                <w:lang w:eastAsia="en-GB"/>
              </w:rPr>
              <w:t>Total Usable Reserves</w:t>
            </w:r>
          </w:p>
        </w:tc>
        <w:tc>
          <w:tcPr>
            <w:tcW w:w="1197" w:type="dxa"/>
            <w:tcBorders>
              <w:top w:val="single" w:sz="8" w:space="0" w:color="auto"/>
              <w:left w:val="nil"/>
              <w:bottom w:val="single" w:sz="8" w:space="0" w:color="auto"/>
              <w:right w:val="nil"/>
            </w:tcBorders>
            <w:shd w:val="clear" w:color="auto" w:fill="auto"/>
            <w:noWrap/>
            <w:vAlign w:val="center"/>
            <w:hideMark/>
          </w:tcPr>
          <w:p w14:paraId="358B5FC6" w14:textId="77777777" w:rsidR="00326683" w:rsidRPr="00326683" w:rsidRDefault="00326683" w:rsidP="00326683">
            <w:pPr>
              <w:jc w:val="right"/>
              <w:rPr>
                <w:rFonts w:cs="Arial"/>
                <w:b/>
                <w:bCs/>
                <w:color w:val="000000"/>
                <w:sz w:val="20"/>
                <w:szCs w:val="20"/>
                <w:lang w:eastAsia="en-GB"/>
              </w:rPr>
            </w:pPr>
            <w:r w:rsidRPr="00326683">
              <w:rPr>
                <w:rFonts w:cs="Arial"/>
                <w:b/>
                <w:bCs/>
                <w:color w:val="000000"/>
                <w:sz w:val="20"/>
                <w:szCs w:val="20"/>
                <w:lang w:eastAsia="en-GB"/>
              </w:rPr>
              <w:t>3,818</w:t>
            </w:r>
          </w:p>
        </w:tc>
        <w:tc>
          <w:tcPr>
            <w:tcW w:w="1128" w:type="dxa"/>
            <w:tcBorders>
              <w:top w:val="single" w:sz="8" w:space="0" w:color="auto"/>
              <w:left w:val="nil"/>
              <w:bottom w:val="single" w:sz="8" w:space="0" w:color="auto"/>
              <w:right w:val="nil"/>
            </w:tcBorders>
            <w:shd w:val="clear" w:color="auto" w:fill="auto"/>
            <w:noWrap/>
            <w:vAlign w:val="center"/>
            <w:hideMark/>
          </w:tcPr>
          <w:p w14:paraId="3EE5F9EF" w14:textId="77777777" w:rsidR="00326683" w:rsidRPr="00326683" w:rsidRDefault="00326683" w:rsidP="00326683">
            <w:pPr>
              <w:jc w:val="right"/>
              <w:rPr>
                <w:rFonts w:cs="Arial"/>
                <w:b/>
                <w:bCs/>
                <w:color w:val="000000"/>
                <w:sz w:val="20"/>
                <w:szCs w:val="20"/>
                <w:lang w:eastAsia="en-GB"/>
              </w:rPr>
            </w:pPr>
            <w:r w:rsidRPr="00326683">
              <w:rPr>
                <w:rFonts w:cs="Arial"/>
                <w:b/>
                <w:bCs/>
                <w:color w:val="000000"/>
                <w:sz w:val="20"/>
                <w:szCs w:val="20"/>
                <w:lang w:eastAsia="en-GB"/>
              </w:rPr>
              <w:t>1123</w:t>
            </w:r>
          </w:p>
        </w:tc>
        <w:tc>
          <w:tcPr>
            <w:tcW w:w="984" w:type="dxa"/>
            <w:tcBorders>
              <w:top w:val="single" w:sz="8" w:space="0" w:color="auto"/>
              <w:left w:val="nil"/>
              <w:bottom w:val="single" w:sz="8" w:space="0" w:color="auto"/>
              <w:right w:val="nil"/>
            </w:tcBorders>
            <w:shd w:val="clear" w:color="auto" w:fill="auto"/>
            <w:noWrap/>
            <w:vAlign w:val="center"/>
            <w:hideMark/>
          </w:tcPr>
          <w:p w14:paraId="17B218D9" w14:textId="77777777" w:rsidR="00326683" w:rsidRPr="00326683" w:rsidRDefault="00326683" w:rsidP="00326683">
            <w:pPr>
              <w:jc w:val="right"/>
              <w:rPr>
                <w:rFonts w:cs="Arial"/>
                <w:b/>
                <w:bCs/>
                <w:color w:val="000000"/>
                <w:sz w:val="20"/>
                <w:szCs w:val="20"/>
                <w:lang w:eastAsia="en-GB"/>
              </w:rPr>
            </w:pPr>
            <w:r w:rsidRPr="00326683">
              <w:rPr>
                <w:rFonts w:cs="Arial"/>
                <w:b/>
                <w:bCs/>
                <w:color w:val="000000"/>
                <w:sz w:val="20"/>
                <w:szCs w:val="20"/>
                <w:lang w:eastAsia="en-GB"/>
              </w:rPr>
              <w:t>4,941</w:t>
            </w:r>
          </w:p>
        </w:tc>
        <w:tc>
          <w:tcPr>
            <w:tcW w:w="1128" w:type="dxa"/>
            <w:tcBorders>
              <w:top w:val="single" w:sz="8" w:space="0" w:color="auto"/>
              <w:left w:val="nil"/>
              <w:bottom w:val="single" w:sz="8" w:space="0" w:color="auto"/>
              <w:right w:val="nil"/>
            </w:tcBorders>
            <w:shd w:val="clear" w:color="auto" w:fill="auto"/>
            <w:noWrap/>
            <w:vAlign w:val="center"/>
            <w:hideMark/>
          </w:tcPr>
          <w:p w14:paraId="266FFA33" w14:textId="5FAF50C1" w:rsidR="00326683" w:rsidRPr="00326683" w:rsidRDefault="00326683" w:rsidP="00326683">
            <w:pPr>
              <w:jc w:val="right"/>
              <w:rPr>
                <w:rFonts w:cs="Arial"/>
                <w:b/>
                <w:bCs/>
                <w:color w:val="000000"/>
                <w:sz w:val="20"/>
                <w:szCs w:val="20"/>
                <w:lang w:eastAsia="en-GB"/>
              </w:rPr>
            </w:pPr>
            <w:r w:rsidRPr="00326683">
              <w:rPr>
                <w:rFonts w:cs="Arial"/>
                <w:b/>
                <w:bCs/>
                <w:color w:val="000000"/>
                <w:sz w:val="20"/>
                <w:szCs w:val="20"/>
                <w:lang w:eastAsia="en-GB"/>
              </w:rPr>
              <w:t>-</w:t>
            </w:r>
            <w:r w:rsidR="004F67EB">
              <w:rPr>
                <w:rFonts w:cs="Arial"/>
                <w:b/>
                <w:bCs/>
                <w:color w:val="000000"/>
                <w:sz w:val="20"/>
                <w:szCs w:val="20"/>
                <w:lang w:eastAsia="en-GB"/>
              </w:rPr>
              <w:t>79</w:t>
            </w:r>
          </w:p>
        </w:tc>
        <w:tc>
          <w:tcPr>
            <w:tcW w:w="1249" w:type="dxa"/>
            <w:tcBorders>
              <w:top w:val="single" w:sz="8" w:space="0" w:color="auto"/>
              <w:left w:val="nil"/>
              <w:bottom w:val="single" w:sz="8" w:space="0" w:color="auto"/>
              <w:right w:val="single" w:sz="8" w:space="0" w:color="auto"/>
            </w:tcBorders>
            <w:shd w:val="clear" w:color="auto" w:fill="auto"/>
            <w:noWrap/>
            <w:vAlign w:val="center"/>
            <w:hideMark/>
          </w:tcPr>
          <w:p w14:paraId="30DE474D" w14:textId="413AE78A" w:rsidR="00326683" w:rsidRPr="00326683" w:rsidRDefault="00326683" w:rsidP="00326683">
            <w:pPr>
              <w:jc w:val="right"/>
              <w:rPr>
                <w:rFonts w:cs="Arial"/>
                <w:b/>
                <w:bCs/>
                <w:color w:val="000000"/>
                <w:sz w:val="20"/>
                <w:szCs w:val="20"/>
                <w:lang w:eastAsia="en-GB"/>
              </w:rPr>
            </w:pPr>
            <w:r w:rsidRPr="00326683">
              <w:rPr>
                <w:rFonts w:cs="Arial"/>
                <w:b/>
                <w:bCs/>
                <w:color w:val="000000"/>
                <w:sz w:val="20"/>
                <w:szCs w:val="20"/>
                <w:lang w:eastAsia="en-GB"/>
              </w:rPr>
              <w:t>4,</w:t>
            </w:r>
            <w:r w:rsidR="004F67EB">
              <w:rPr>
                <w:rFonts w:cs="Arial"/>
                <w:b/>
                <w:bCs/>
                <w:color w:val="000000"/>
                <w:sz w:val="20"/>
                <w:szCs w:val="20"/>
                <w:lang w:eastAsia="en-GB"/>
              </w:rPr>
              <w:t>862</w:t>
            </w:r>
          </w:p>
        </w:tc>
      </w:tr>
    </w:tbl>
    <w:p w14:paraId="1B04BEA9" w14:textId="77777777" w:rsidR="00257F2F" w:rsidRDefault="00257F2F" w:rsidP="0070459C">
      <w:pPr>
        <w:rPr>
          <w:highlight w:val="yellow"/>
        </w:rPr>
      </w:pPr>
    </w:p>
    <w:p w14:paraId="0450F7CB" w14:textId="5C3783B7" w:rsidR="00C5297D" w:rsidRDefault="00C5297D" w:rsidP="0070459C">
      <w:pPr>
        <w:rPr>
          <w:highlight w:val="yellow"/>
        </w:rPr>
      </w:pPr>
    </w:p>
    <w:p w14:paraId="525BCC1E" w14:textId="77777777" w:rsidR="002A6617" w:rsidRDefault="002A6617" w:rsidP="0070459C">
      <w:pPr>
        <w:rPr>
          <w:highlight w:val="yellow"/>
        </w:rPr>
      </w:pPr>
    </w:p>
    <w:p w14:paraId="29B64B7E" w14:textId="77777777" w:rsidR="002A6617" w:rsidRDefault="002A6617" w:rsidP="0070459C">
      <w:pPr>
        <w:rPr>
          <w:highlight w:val="yellow"/>
        </w:rPr>
      </w:pPr>
    </w:p>
    <w:p w14:paraId="761E0881" w14:textId="77777777" w:rsidR="002A6617" w:rsidRDefault="002A6617" w:rsidP="0070459C">
      <w:pPr>
        <w:rPr>
          <w:highlight w:val="yellow"/>
        </w:rPr>
      </w:pPr>
    </w:p>
    <w:p w14:paraId="24D71C44" w14:textId="77777777" w:rsidR="002A6617" w:rsidRDefault="002A6617" w:rsidP="0070459C">
      <w:pPr>
        <w:rPr>
          <w:highlight w:val="yellow"/>
        </w:rPr>
      </w:pPr>
    </w:p>
    <w:p w14:paraId="7B516969" w14:textId="77777777" w:rsidR="002A6617" w:rsidRDefault="002A6617" w:rsidP="0070459C">
      <w:pPr>
        <w:rPr>
          <w:highlight w:val="yellow"/>
        </w:rPr>
      </w:pPr>
    </w:p>
    <w:p w14:paraId="7C7B69BB" w14:textId="77777777" w:rsidR="002A6617" w:rsidRDefault="002A6617" w:rsidP="0070459C">
      <w:pPr>
        <w:rPr>
          <w:highlight w:val="yellow"/>
        </w:rPr>
      </w:pPr>
    </w:p>
    <w:p w14:paraId="40812CE0" w14:textId="77777777" w:rsidR="002A6617" w:rsidRDefault="002A6617" w:rsidP="0070459C">
      <w:pPr>
        <w:rPr>
          <w:highlight w:val="yellow"/>
        </w:rPr>
      </w:pPr>
    </w:p>
    <w:p w14:paraId="35DB193B" w14:textId="77777777" w:rsidR="002A6617" w:rsidRDefault="002A6617" w:rsidP="0070459C">
      <w:pPr>
        <w:rPr>
          <w:highlight w:val="yellow"/>
        </w:rPr>
      </w:pPr>
    </w:p>
    <w:p w14:paraId="5A9DA9E7" w14:textId="77777777" w:rsidR="002A6617" w:rsidRDefault="002A6617" w:rsidP="0070459C">
      <w:pPr>
        <w:rPr>
          <w:highlight w:val="yellow"/>
        </w:rPr>
      </w:pPr>
    </w:p>
    <w:p w14:paraId="2D35C6E5" w14:textId="77777777" w:rsidR="002A6617" w:rsidRDefault="002A6617" w:rsidP="0070459C">
      <w:pPr>
        <w:rPr>
          <w:highlight w:val="yellow"/>
        </w:rPr>
      </w:pPr>
    </w:p>
    <w:p w14:paraId="6660EBF1" w14:textId="77777777" w:rsidR="002A6617" w:rsidRPr="004D5CA8" w:rsidRDefault="002A6617" w:rsidP="0070459C">
      <w:pPr>
        <w:rPr>
          <w:highlight w:val="yellow"/>
        </w:rPr>
      </w:pPr>
    </w:p>
    <w:p w14:paraId="3AEB89C1" w14:textId="77777777" w:rsidR="00C5297D" w:rsidRPr="004D5CA8" w:rsidRDefault="00C5297D" w:rsidP="0070459C">
      <w:pPr>
        <w:pStyle w:val="Subtitle"/>
        <w:tabs>
          <w:tab w:val="left" w:pos="0"/>
        </w:tabs>
        <w:rPr>
          <w:rFonts w:ascii="Arial" w:hAnsi="Arial" w:cs="Arial"/>
          <w:b/>
          <w:i w:val="0"/>
          <w:sz w:val="23"/>
          <w:szCs w:val="23"/>
          <w:highlight w:val="yellow"/>
          <w:u w:val="none"/>
        </w:rPr>
      </w:pPr>
    </w:p>
    <w:p w14:paraId="485A491A" w14:textId="55880910" w:rsidR="00E00863" w:rsidRPr="006C7E96" w:rsidRDefault="006B6C2E" w:rsidP="0070459C">
      <w:pPr>
        <w:pStyle w:val="Subtitle"/>
        <w:tabs>
          <w:tab w:val="left" w:pos="0"/>
        </w:tabs>
        <w:rPr>
          <w:rFonts w:ascii="Arial" w:hAnsi="Arial" w:cs="Arial"/>
          <w:b/>
          <w:i w:val="0"/>
          <w:sz w:val="22"/>
          <w:u w:val="none"/>
        </w:rPr>
      </w:pPr>
      <w:r w:rsidRPr="006C7E96">
        <w:rPr>
          <w:rFonts w:ascii="Arial" w:hAnsi="Arial" w:cs="Arial"/>
          <w:b/>
          <w:i w:val="0"/>
          <w:sz w:val="23"/>
          <w:szCs w:val="23"/>
          <w:u w:val="none"/>
        </w:rPr>
        <w:lastRenderedPageBreak/>
        <w:t>3</w:t>
      </w:r>
      <w:r w:rsidR="007055C3" w:rsidRPr="006C7E96">
        <w:rPr>
          <w:rFonts w:ascii="Arial" w:hAnsi="Arial" w:cs="Arial"/>
          <w:b/>
          <w:i w:val="0"/>
          <w:sz w:val="23"/>
          <w:szCs w:val="23"/>
          <w:u w:val="none"/>
        </w:rPr>
        <w:t>2</w:t>
      </w:r>
      <w:r w:rsidRPr="006C7E96">
        <w:rPr>
          <w:rFonts w:ascii="Arial" w:hAnsi="Arial" w:cs="Arial"/>
          <w:b/>
          <w:i w:val="0"/>
          <w:sz w:val="23"/>
          <w:szCs w:val="23"/>
          <w:u w:val="none"/>
        </w:rPr>
        <w:t>.</w:t>
      </w:r>
      <w:r w:rsidR="002116F2" w:rsidRPr="006C7E96">
        <w:rPr>
          <w:rFonts w:ascii="Arial" w:hAnsi="Arial" w:cs="Arial"/>
          <w:b/>
          <w:i w:val="0"/>
          <w:sz w:val="23"/>
          <w:szCs w:val="23"/>
          <w:u w:val="none"/>
        </w:rPr>
        <w:tab/>
      </w:r>
      <w:r w:rsidRPr="006C7E96">
        <w:rPr>
          <w:rStyle w:val="Heading2Char"/>
          <w:i w:val="0"/>
          <w:iCs w:val="0"/>
          <w:u w:val="none"/>
        </w:rPr>
        <w:t>Prior Period Adjustment</w:t>
      </w:r>
    </w:p>
    <w:p w14:paraId="485A491B" w14:textId="77777777" w:rsidR="00420AE5" w:rsidRPr="00CB374B" w:rsidRDefault="00420AE5" w:rsidP="0070459C">
      <w:pPr>
        <w:rPr>
          <w:highlight w:val="yellow"/>
        </w:rPr>
      </w:pPr>
    </w:p>
    <w:p w14:paraId="485A491C" w14:textId="3F6C5850" w:rsidR="00420AE5" w:rsidRDefault="00BA5F82" w:rsidP="0070459C">
      <w:r>
        <w:t xml:space="preserve">A £320k PPA has been processed in 2022/23. This relates to an error identified in relation to </w:t>
      </w:r>
      <w:r w:rsidR="0058098B">
        <w:t xml:space="preserve">the input data on </w:t>
      </w:r>
      <w:r>
        <w:t>a car parking valuation. This impact</w:t>
      </w:r>
      <w:r w:rsidR="00A076DA">
        <w:t>ed</w:t>
      </w:r>
      <w:r>
        <w:t xml:space="preserve"> the following lines</w:t>
      </w:r>
    </w:p>
    <w:p w14:paraId="1DD46C8B" w14:textId="77777777" w:rsidR="00BA5F82" w:rsidRDefault="00BA5F82" w:rsidP="0070459C"/>
    <w:p w14:paraId="5DF91DC8" w14:textId="77777777" w:rsidR="00BA5F82" w:rsidRDefault="00BA5F82" w:rsidP="0070459C"/>
    <w:tbl>
      <w:tblPr>
        <w:tblW w:w="8853" w:type="dxa"/>
        <w:jc w:val="center"/>
        <w:tblLook w:val="04A0" w:firstRow="1" w:lastRow="0" w:firstColumn="1" w:lastColumn="0" w:noHBand="0" w:noVBand="1"/>
      </w:tblPr>
      <w:tblGrid>
        <w:gridCol w:w="5240"/>
        <w:gridCol w:w="1383"/>
        <w:gridCol w:w="1096"/>
        <w:gridCol w:w="1134"/>
      </w:tblGrid>
      <w:tr w:rsidR="00A076DA" w:rsidRPr="00A076DA" w14:paraId="652E549E" w14:textId="77777777" w:rsidTr="00A076DA">
        <w:trPr>
          <w:trHeight w:val="580"/>
          <w:jc w:val="center"/>
        </w:trPr>
        <w:tc>
          <w:tcPr>
            <w:tcW w:w="5240" w:type="dxa"/>
            <w:tcBorders>
              <w:top w:val="single" w:sz="4" w:space="0" w:color="auto"/>
              <w:left w:val="single" w:sz="4" w:space="0" w:color="auto"/>
              <w:bottom w:val="nil"/>
              <w:right w:val="nil"/>
            </w:tcBorders>
            <w:shd w:val="clear" w:color="auto" w:fill="auto"/>
            <w:noWrap/>
            <w:vAlign w:val="bottom"/>
            <w:hideMark/>
          </w:tcPr>
          <w:p w14:paraId="5A683AF6" w14:textId="77777777" w:rsidR="00A076DA" w:rsidRPr="00A076DA" w:rsidRDefault="00A076DA" w:rsidP="00A076DA">
            <w:pPr>
              <w:rPr>
                <w:rFonts w:cs="Arial"/>
                <w:b/>
                <w:bCs/>
                <w:color w:val="000000"/>
                <w:sz w:val="22"/>
                <w:szCs w:val="22"/>
                <w:lang w:eastAsia="en-GB"/>
              </w:rPr>
            </w:pPr>
            <w:r w:rsidRPr="00A076DA">
              <w:rPr>
                <w:rFonts w:cs="Arial"/>
                <w:b/>
                <w:bCs/>
                <w:color w:val="000000"/>
                <w:sz w:val="22"/>
                <w:szCs w:val="22"/>
                <w:lang w:eastAsia="en-GB"/>
              </w:rPr>
              <w:t>Line item</w:t>
            </w:r>
          </w:p>
        </w:tc>
        <w:tc>
          <w:tcPr>
            <w:tcW w:w="1383" w:type="dxa"/>
            <w:tcBorders>
              <w:top w:val="single" w:sz="4" w:space="0" w:color="auto"/>
              <w:left w:val="single" w:sz="4" w:space="0" w:color="auto"/>
              <w:bottom w:val="nil"/>
              <w:right w:val="single" w:sz="4" w:space="0" w:color="auto"/>
            </w:tcBorders>
            <w:shd w:val="clear" w:color="auto" w:fill="auto"/>
            <w:noWrap/>
            <w:vAlign w:val="bottom"/>
            <w:hideMark/>
          </w:tcPr>
          <w:p w14:paraId="6BAACA67" w14:textId="77777777" w:rsidR="00A076DA" w:rsidRPr="00A076DA" w:rsidRDefault="00A076DA" w:rsidP="00A076DA">
            <w:pPr>
              <w:jc w:val="center"/>
              <w:rPr>
                <w:rFonts w:cs="Arial"/>
                <w:b/>
                <w:bCs/>
                <w:color w:val="000000"/>
                <w:sz w:val="22"/>
                <w:szCs w:val="22"/>
                <w:lang w:eastAsia="en-GB"/>
              </w:rPr>
            </w:pPr>
            <w:r w:rsidRPr="00A076DA">
              <w:rPr>
                <w:rFonts w:cs="Arial"/>
                <w:b/>
                <w:bCs/>
                <w:color w:val="000000"/>
                <w:sz w:val="22"/>
                <w:szCs w:val="22"/>
                <w:lang w:eastAsia="en-GB"/>
              </w:rPr>
              <w:t>Audited accounts 2022/23</w:t>
            </w:r>
          </w:p>
        </w:tc>
        <w:tc>
          <w:tcPr>
            <w:tcW w:w="1096" w:type="dxa"/>
            <w:tcBorders>
              <w:top w:val="single" w:sz="4" w:space="0" w:color="auto"/>
              <w:left w:val="nil"/>
              <w:bottom w:val="nil"/>
              <w:right w:val="nil"/>
            </w:tcBorders>
            <w:shd w:val="clear" w:color="auto" w:fill="auto"/>
            <w:noWrap/>
            <w:vAlign w:val="bottom"/>
            <w:hideMark/>
          </w:tcPr>
          <w:p w14:paraId="1223C5DC" w14:textId="77777777" w:rsidR="00A076DA" w:rsidRPr="00A076DA" w:rsidRDefault="00A076DA" w:rsidP="00A076DA">
            <w:pPr>
              <w:jc w:val="center"/>
              <w:rPr>
                <w:rFonts w:cs="Arial"/>
                <w:b/>
                <w:bCs/>
                <w:color w:val="000000"/>
                <w:sz w:val="22"/>
                <w:szCs w:val="22"/>
                <w:lang w:eastAsia="en-GB"/>
              </w:rPr>
            </w:pPr>
            <w:r w:rsidRPr="00A076DA">
              <w:rPr>
                <w:rFonts w:cs="Arial"/>
                <w:b/>
                <w:bCs/>
                <w:color w:val="000000"/>
                <w:sz w:val="22"/>
                <w:szCs w:val="22"/>
                <w:lang w:eastAsia="en-GB"/>
              </w:rPr>
              <w:t>Updated</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14:paraId="016A46E4" w14:textId="77777777" w:rsidR="00A076DA" w:rsidRPr="00A076DA" w:rsidRDefault="00A076DA" w:rsidP="00A076DA">
            <w:pPr>
              <w:jc w:val="center"/>
              <w:rPr>
                <w:rFonts w:cs="Arial"/>
                <w:b/>
                <w:bCs/>
                <w:color w:val="000000"/>
                <w:sz w:val="22"/>
                <w:szCs w:val="22"/>
                <w:lang w:eastAsia="en-GB"/>
              </w:rPr>
            </w:pPr>
            <w:r w:rsidRPr="00A076DA">
              <w:rPr>
                <w:rFonts w:cs="Arial"/>
                <w:b/>
                <w:bCs/>
                <w:color w:val="000000"/>
                <w:sz w:val="22"/>
                <w:szCs w:val="22"/>
                <w:lang w:eastAsia="en-GB"/>
              </w:rPr>
              <w:t>Variance</w:t>
            </w:r>
          </w:p>
        </w:tc>
      </w:tr>
      <w:tr w:rsidR="00A076DA" w:rsidRPr="00A076DA" w14:paraId="1138D2EF" w14:textId="77777777" w:rsidTr="00A076DA">
        <w:trPr>
          <w:trHeight w:val="310"/>
          <w:jc w:val="center"/>
        </w:trPr>
        <w:tc>
          <w:tcPr>
            <w:tcW w:w="5240" w:type="dxa"/>
            <w:tcBorders>
              <w:top w:val="nil"/>
              <w:left w:val="single" w:sz="4" w:space="0" w:color="auto"/>
              <w:bottom w:val="single" w:sz="4" w:space="0" w:color="auto"/>
              <w:right w:val="nil"/>
            </w:tcBorders>
            <w:shd w:val="clear" w:color="auto" w:fill="auto"/>
            <w:noWrap/>
            <w:vAlign w:val="bottom"/>
            <w:hideMark/>
          </w:tcPr>
          <w:p w14:paraId="3D712FA7" w14:textId="77777777" w:rsidR="00A076DA" w:rsidRPr="00A076DA" w:rsidRDefault="00A076DA" w:rsidP="00A076DA">
            <w:pPr>
              <w:rPr>
                <w:rFonts w:cs="Arial"/>
                <w:color w:val="000000"/>
                <w:sz w:val="22"/>
                <w:szCs w:val="22"/>
                <w:lang w:eastAsia="en-GB"/>
              </w:rPr>
            </w:pPr>
            <w:r w:rsidRPr="00A076DA">
              <w:rPr>
                <w:rFonts w:cs="Arial"/>
                <w:color w:val="000000"/>
                <w:sz w:val="22"/>
                <w:szCs w:val="22"/>
                <w:lang w:eastAsia="en-GB"/>
              </w:rPr>
              <w:t> </w:t>
            </w:r>
          </w:p>
        </w:tc>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A3E0172" w14:textId="77777777" w:rsidR="00A076DA" w:rsidRPr="00A076DA" w:rsidRDefault="00A076DA" w:rsidP="00A076DA">
            <w:pPr>
              <w:jc w:val="center"/>
              <w:rPr>
                <w:rFonts w:cs="Arial"/>
                <w:b/>
                <w:bCs/>
                <w:color w:val="000000"/>
                <w:sz w:val="22"/>
                <w:szCs w:val="22"/>
                <w:lang w:eastAsia="en-GB"/>
              </w:rPr>
            </w:pPr>
            <w:r w:rsidRPr="00A076DA">
              <w:rPr>
                <w:rFonts w:cs="Arial"/>
                <w:b/>
                <w:bCs/>
                <w:color w:val="000000"/>
                <w:sz w:val="22"/>
                <w:szCs w:val="22"/>
                <w:lang w:eastAsia="en-GB"/>
              </w:rPr>
              <w:t>£000</w:t>
            </w:r>
          </w:p>
        </w:tc>
        <w:tc>
          <w:tcPr>
            <w:tcW w:w="1096" w:type="dxa"/>
            <w:tcBorders>
              <w:top w:val="nil"/>
              <w:left w:val="nil"/>
              <w:bottom w:val="single" w:sz="4" w:space="0" w:color="auto"/>
              <w:right w:val="nil"/>
            </w:tcBorders>
            <w:shd w:val="clear" w:color="auto" w:fill="auto"/>
            <w:noWrap/>
            <w:vAlign w:val="bottom"/>
            <w:hideMark/>
          </w:tcPr>
          <w:p w14:paraId="77CA3BD7" w14:textId="77777777" w:rsidR="00A076DA" w:rsidRPr="00A076DA" w:rsidRDefault="00A076DA" w:rsidP="00A076DA">
            <w:pPr>
              <w:jc w:val="center"/>
              <w:rPr>
                <w:rFonts w:cs="Arial"/>
                <w:b/>
                <w:bCs/>
                <w:color w:val="000000"/>
                <w:sz w:val="22"/>
                <w:szCs w:val="22"/>
                <w:lang w:eastAsia="en-GB"/>
              </w:rPr>
            </w:pPr>
            <w:r w:rsidRPr="00A076DA">
              <w:rPr>
                <w:rFonts w:cs="Arial"/>
                <w:b/>
                <w:bCs/>
                <w:color w:val="000000"/>
                <w:sz w:val="22"/>
                <w:szCs w:val="22"/>
                <w:lang w:eastAsia="en-GB"/>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466A79C" w14:textId="77777777" w:rsidR="00A076DA" w:rsidRPr="00A076DA" w:rsidRDefault="00A076DA" w:rsidP="00A076DA">
            <w:pPr>
              <w:jc w:val="center"/>
              <w:rPr>
                <w:rFonts w:cs="Arial"/>
                <w:b/>
                <w:bCs/>
                <w:color w:val="000000"/>
                <w:sz w:val="22"/>
                <w:szCs w:val="22"/>
                <w:lang w:eastAsia="en-GB"/>
              </w:rPr>
            </w:pPr>
            <w:r w:rsidRPr="00A076DA">
              <w:rPr>
                <w:rFonts w:cs="Arial"/>
                <w:b/>
                <w:bCs/>
                <w:color w:val="000000"/>
                <w:sz w:val="22"/>
                <w:szCs w:val="22"/>
                <w:lang w:eastAsia="en-GB"/>
              </w:rPr>
              <w:t>£000</w:t>
            </w:r>
          </w:p>
        </w:tc>
      </w:tr>
      <w:tr w:rsidR="00A076DA" w:rsidRPr="00A076DA" w14:paraId="368DD27C" w14:textId="77777777" w:rsidTr="00A076DA">
        <w:trPr>
          <w:trHeight w:val="300"/>
          <w:jc w:val="center"/>
        </w:trPr>
        <w:tc>
          <w:tcPr>
            <w:tcW w:w="5240" w:type="dxa"/>
            <w:tcBorders>
              <w:top w:val="nil"/>
              <w:left w:val="single" w:sz="4" w:space="0" w:color="auto"/>
              <w:bottom w:val="nil"/>
              <w:right w:val="nil"/>
            </w:tcBorders>
            <w:shd w:val="clear" w:color="auto" w:fill="auto"/>
            <w:noWrap/>
            <w:vAlign w:val="bottom"/>
            <w:hideMark/>
          </w:tcPr>
          <w:p w14:paraId="4C00C456" w14:textId="77777777" w:rsidR="00A076DA" w:rsidRPr="00A076DA" w:rsidRDefault="00A076DA" w:rsidP="00A076DA">
            <w:pPr>
              <w:rPr>
                <w:rFonts w:cs="Arial"/>
                <w:color w:val="000000"/>
                <w:sz w:val="22"/>
                <w:szCs w:val="22"/>
                <w:lang w:eastAsia="en-GB"/>
              </w:rPr>
            </w:pPr>
            <w:r w:rsidRPr="00A076DA">
              <w:rPr>
                <w:rFonts w:cs="Arial"/>
                <w:color w:val="000000"/>
                <w:sz w:val="22"/>
                <w:szCs w:val="22"/>
                <w:lang w:eastAsia="en-GB"/>
              </w:rPr>
              <w:t>Balance sheet, PPE line</w:t>
            </w:r>
          </w:p>
        </w:tc>
        <w:tc>
          <w:tcPr>
            <w:tcW w:w="1383" w:type="dxa"/>
            <w:tcBorders>
              <w:top w:val="nil"/>
              <w:left w:val="single" w:sz="4" w:space="0" w:color="auto"/>
              <w:bottom w:val="nil"/>
              <w:right w:val="single" w:sz="4" w:space="0" w:color="auto"/>
            </w:tcBorders>
            <w:shd w:val="clear" w:color="auto" w:fill="auto"/>
            <w:noWrap/>
            <w:vAlign w:val="bottom"/>
            <w:hideMark/>
          </w:tcPr>
          <w:p w14:paraId="5478E2D8" w14:textId="2377BC89" w:rsidR="00A076DA" w:rsidRPr="00A076DA" w:rsidRDefault="00A076DA" w:rsidP="00A076DA">
            <w:pPr>
              <w:jc w:val="right"/>
              <w:rPr>
                <w:rFonts w:cs="Arial"/>
                <w:color w:val="000000"/>
                <w:sz w:val="22"/>
                <w:szCs w:val="22"/>
                <w:lang w:eastAsia="en-GB"/>
              </w:rPr>
            </w:pPr>
            <w:r w:rsidRPr="00A076DA">
              <w:rPr>
                <w:rFonts w:cs="Arial"/>
                <w:color w:val="000000"/>
                <w:sz w:val="22"/>
                <w:szCs w:val="22"/>
                <w:lang w:eastAsia="en-GB"/>
              </w:rPr>
              <w:t>29</w:t>
            </w:r>
            <w:r>
              <w:rPr>
                <w:rFonts w:cs="Arial"/>
                <w:color w:val="000000"/>
                <w:sz w:val="22"/>
                <w:szCs w:val="22"/>
                <w:lang w:eastAsia="en-GB"/>
              </w:rPr>
              <w:t>,</w:t>
            </w:r>
            <w:r w:rsidRPr="00A076DA">
              <w:rPr>
                <w:rFonts w:cs="Arial"/>
                <w:color w:val="000000"/>
                <w:sz w:val="22"/>
                <w:szCs w:val="22"/>
                <w:lang w:eastAsia="en-GB"/>
              </w:rPr>
              <w:t>776</w:t>
            </w:r>
          </w:p>
        </w:tc>
        <w:tc>
          <w:tcPr>
            <w:tcW w:w="1096" w:type="dxa"/>
            <w:tcBorders>
              <w:top w:val="nil"/>
              <w:left w:val="nil"/>
              <w:bottom w:val="nil"/>
              <w:right w:val="nil"/>
            </w:tcBorders>
            <w:shd w:val="clear" w:color="auto" w:fill="auto"/>
            <w:noWrap/>
            <w:vAlign w:val="bottom"/>
            <w:hideMark/>
          </w:tcPr>
          <w:p w14:paraId="3CA35CE0" w14:textId="7EF8B367" w:rsidR="00A076DA" w:rsidRPr="00A076DA" w:rsidRDefault="00A076DA" w:rsidP="00A076DA">
            <w:pPr>
              <w:jc w:val="right"/>
              <w:rPr>
                <w:rFonts w:cs="Arial"/>
                <w:color w:val="000000"/>
                <w:sz w:val="22"/>
                <w:szCs w:val="22"/>
                <w:lang w:eastAsia="en-GB"/>
              </w:rPr>
            </w:pPr>
            <w:r w:rsidRPr="00A076DA">
              <w:rPr>
                <w:rFonts w:cs="Arial"/>
                <w:color w:val="000000"/>
                <w:sz w:val="22"/>
                <w:szCs w:val="22"/>
                <w:lang w:eastAsia="en-GB"/>
              </w:rPr>
              <w:t>29</w:t>
            </w:r>
            <w:r>
              <w:rPr>
                <w:rFonts w:cs="Arial"/>
                <w:color w:val="000000"/>
                <w:sz w:val="22"/>
                <w:szCs w:val="22"/>
                <w:lang w:eastAsia="en-GB"/>
              </w:rPr>
              <w:t>,</w:t>
            </w:r>
            <w:r w:rsidRPr="00A076DA">
              <w:rPr>
                <w:rFonts w:cs="Arial"/>
                <w:color w:val="000000"/>
                <w:sz w:val="22"/>
                <w:szCs w:val="22"/>
                <w:lang w:eastAsia="en-GB"/>
              </w:rPr>
              <w:t>456</w:t>
            </w:r>
          </w:p>
        </w:tc>
        <w:tc>
          <w:tcPr>
            <w:tcW w:w="1134" w:type="dxa"/>
            <w:tcBorders>
              <w:top w:val="nil"/>
              <w:left w:val="single" w:sz="4" w:space="0" w:color="auto"/>
              <w:bottom w:val="nil"/>
              <w:right w:val="single" w:sz="4" w:space="0" w:color="auto"/>
            </w:tcBorders>
            <w:shd w:val="clear" w:color="auto" w:fill="auto"/>
            <w:noWrap/>
            <w:vAlign w:val="bottom"/>
            <w:hideMark/>
          </w:tcPr>
          <w:p w14:paraId="622EC022" w14:textId="77777777" w:rsidR="00A076DA" w:rsidRPr="00A076DA" w:rsidRDefault="00A076DA" w:rsidP="00A076DA">
            <w:pPr>
              <w:jc w:val="right"/>
              <w:rPr>
                <w:rFonts w:cs="Arial"/>
                <w:color w:val="000000"/>
                <w:sz w:val="22"/>
                <w:szCs w:val="22"/>
                <w:lang w:eastAsia="en-GB"/>
              </w:rPr>
            </w:pPr>
            <w:r w:rsidRPr="00A076DA">
              <w:rPr>
                <w:rFonts w:cs="Arial"/>
                <w:color w:val="000000"/>
                <w:sz w:val="22"/>
                <w:szCs w:val="22"/>
                <w:lang w:eastAsia="en-GB"/>
              </w:rPr>
              <w:t>-320</w:t>
            </w:r>
          </w:p>
        </w:tc>
      </w:tr>
      <w:tr w:rsidR="00A076DA" w:rsidRPr="00A076DA" w14:paraId="5FDE8D0B" w14:textId="77777777" w:rsidTr="00A076DA">
        <w:trPr>
          <w:trHeight w:val="300"/>
          <w:jc w:val="center"/>
        </w:trPr>
        <w:tc>
          <w:tcPr>
            <w:tcW w:w="5240" w:type="dxa"/>
            <w:tcBorders>
              <w:top w:val="nil"/>
              <w:left w:val="single" w:sz="4" w:space="0" w:color="auto"/>
              <w:bottom w:val="nil"/>
              <w:right w:val="nil"/>
            </w:tcBorders>
            <w:shd w:val="clear" w:color="auto" w:fill="auto"/>
            <w:noWrap/>
            <w:vAlign w:val="bottom"/>
            <w:hideMark/>
          </w:tcPr>
          <w:p w14:paraId="79D0BBBB" w14:textId="77777777" w:rsidR="00A076DA" w:rsidRPr="00A076DA" w:rsidRDefault="00A076DA" w:rsidP="00A076DA">
            <w:pPr>
              <w:rPr>
                <w:rFonts w:cs="Arial"/>
                <w:color w:val="000000"/>
                <w:sz w:val="22"/>
                <w:szCs w:val="22"/>
                <w:lang w:eastAsia="en-GB"/>
              </w:rPr>
            </w:pPr>
            <w:r w:rsidRPr="00A076DA">
              <w:rPr>
                <w:rFonts w:cs="Arial"/>
                <w:color w:val="000000"/>
                <w:sz w:val="22"/>
                <w:szCs w:val="22"/>
                <w:lang w:eastAsia="en-GB"/>
              </w:rPr>
              <w:t>Balance sheet: revaluation reserve</w:t>
            </w:r>
          </w:p>
        </w:tc>
        <w:tc>
          <w:tcPr>
            <w:tcW w:w="1383" w:type="dxa"/>
            <w:tcBorders>
              <w:top w:val="nil"/>
              <w:left w:val="single" w:sz="4" w:space="0" w:color="auto"/>
              <w:bottom w:val="nil"/>
              <w:right w:val="single" w:sz="4" w:space="0" w:color="auto"/>
            </w:tcBorders>
            <w:shd w:val="clear" w:color="auto" w:fill="auto"/>
            <w:noWrap/>
            <w:vAlign w:val="bottom"/>
            <w:hideMark/>
          </w:tcPr>
          <w:p w14:paraId="57BEE939" w14:textId="43889170" w:rsidR="00A076DA" w:rsidRPr="00A076DA" w:rsidRDefault="00A076DA" w:rsidP="00A076DA">
            <w:pPr>
              <w:jc w:val="right"/>
              <w:rPr>
                <w:rFonts w:cs="Arial"/>
                <w:color w:val="000000"/>
                <w:sz w:val="22"/>
                <w:szCs w:val="22"/>
                <w:lang w:eastAsia="en-GB"/>
              </w:rPr>
            </w:pPr>
            <w:r w:rsidRPr="00A076DA">
              <w:rPr>
                <w:rFonts w:cs="Arial"/>
                <w:color w:val="000000"/>
                <w:sz w:val="22"/>
                <w:szCs w:val="22"/>
                <w:lang w:eastAsia="en-GB"/>
              </w:rPr>
              <w:t>-11</w:t>
            </w:r>
            <w:r>
              <w:rPr>
                <w:rFonts w:cs="Arial"/>
                <w:color w:val="000000"/>
                <w:sz w:val="22"/>
                <w:szCs w:val="22"/>
                <w:lang w:eastAsia="en-GB"/>
              </w:rPr>
              <w:t>,</w:t>
            </w:r>
            <w:r w:rsidRPr="00A076DA">
              <w:rPr>
                <w:rFonts w:cs="Arial"/>
                <w:color w:val="000000"/>
                <w:sz w:val="22"/>
                <w:szCs w:val="22"/>
                <w:lang w:eastAsia="en-GB"/>
              </w:rPr>
              <w:t>034</w:t>
            </w:r>
          </w:p>
        </w:tc>
        <w:tc>
          <w:tcPr>
            <w:tcW w:w="1096" w:type="dxa"/>
            <w:tcBorders>
              <w:top w:val="nil"/>
              <w:left w:val="nil"/>
              <w:bottom w:val="nil"/>
              <w:right w:val="nil"/>
            </w:tcBorders>
            <w:shd w:val="clear" w:color="auto" w:fill="auto"/>
            <w:noWrap/>
            <w:vAlign w:val="bottom"/>
            <w:hideMark/>
          </w:tcPr>
          <w:p w14:paraId="520605F3" w14:textId="26077C51" w:rsidR="00A076DA" w:rsidRPr="00A076DA" w:rsidRDefault="00A076DA" w:rsidP="00A076DA">
            <w:pPr>
              <w:jc w:val="right"/>
              <w:rPr>
                <w:rFonts w:cs="Arial"/>
                <w:color w:val="000000"/>
                <w:sz w:val="22"/>
                <w:szCs w:val="22"/>
                <w:lang w:eastAsia="en-GB"/>
              </w:rPr>
            </w:pPr>
            <w:r w:rsidRPr="00A076DA">
              <w:rPr>
                <w:rFonts w:cs="Arial"/>
                <w:color w:val="000000"/>
                <w:sz w:val="22"/>
                <w:szCs w:val="22"/>
                <w:lang w:eastAsia="en-GB"/>
              </w:rPr>
              <w:t>-10</w:t>
            </w:r>
            <w:r>
              <w:rPr>
                <w:rFonts w:cs="Arial"/>
                <w:color w:val="000000"/>
                <w:sz w:val="22"/>
                <w:szCs w:val="22"/>
                <w:lang w:eastAsia="en-GB"/>
              </w:rPr>
              <w:t>,</w:t>
            </w:r>
            <w:r w:rsidRPr="00A076DA">
              <w:rPr>
                <w:rFonts w:cs="Arial"/>
                <w:color w:val="000000"/>
                <w:sz w:val="22"/>
                <w:szCs w:val="22"/>
                <w:lang w:eastAsia="en-GB"/>
              </w:rPr>
              <w:t>714</w:t>
            </w:r>
          </w:p>
        </w:tc>
        <w:tc>
          <w:tcPr>
            <w:tcW w:w="1134" w:type="dxa"/>
            <w:tcBorders>
              <w:top w:val="nil"/>
              <w:left w:val="single" w:sz="4" w:space="0" w:color="auto"/>
              <w:bottom w:val="nil"/>
              <w:right w:val="single" w:sz="4" w:space="0" w:color="auto"/>
            </w:tcBorders>
            <w:shd w:val="clear" w:color="auto" w:fill="auto"/>
            <w:noWrap/>
            <w:vAlign w:val="bottom"/>
            <w:hideMark/>
          </w:tcPr>
          <w:p w14:paraId="4C1F17BD" w14:textId="77777777" w:rsidR="00A076DA" w:rsidRPr="00A076DA" w:rsidRDefault="00A076DA" w:rsidP="00A076DA">
            <w:pPr>
              <w:jc w:val="right"/>
              <w:rPr>
                <w:rFonts w:cs="Arial"/>
                <w:color w:val="000000"/>
                <w:sz w:val="22"/>
                <w:szCs w:val="22"/>
                <w:lang w:eastAsia="en-GB"/>
              </w:rPr>
            </w:pPr>
            <w:r w:rsidRPr="00A076DA">
              <w:rPr>
                <w:rFonts w:cs="Arial"/>
                <w:color w:val="000000"/>
                <w:sz w:val="22"/>
                <w:szCs w:val="22"/>
                <w:lang w:eastAsia="en-GB"/>
              </w:rPr>
              <w:t>320</w:t>
            </w:r>
          </w:p>
        </w:tc>
      </w:tr>
      <w:tr w:rsidR="00A076DA" w:rsidRPr="00A076DA" w14:paraId="7EB72778" w14:textId="77777777" w:rsidTr="00A076DA">
        <w:trPr>
          <w:trHeight w:val="300"/>
          <w:jc w:val="center"/>
        </w:trPr>
        <w:tc>
          <w:tcPr>
            <w:tcW w:w="5240" w:type="dxa"/>
            <w:tcBorders>
              <w:top w:val="nil"/>
              <w:left w:val="single" w:sz="4" w:space="0" w:color="auto"/>
              <w:bottom w:val="nil"/>
              <w:right w:val="nil"/>
            </w:tcBorders>
            <w:shd w:val="clear" w:color="auto" w:fill="auto"/>
            <w:noWrap/>
            <w:vAlign w:val="bottom"/>
            <w:hideMark/>
          </w:tcPr>
          <w:p w14:paraId="77D5C199" w14:textId="1CE379E3" w:rsidR="00A076DA" w:rsidRPr="00A076DA" w:rsidRDefault="00A076DA" w:rsidP="00A076DA">
            <w:pPr>
              <w:rPr>
                <w:rFonts w:cs="Arial"/>
                <w:color w:val="000000"/>
                <w:sz w:val="22"/>
                <w:szCs w:val="22"/>
                <w:lang w:eastAsia="en-GB"/>
              </w:rPr>
            </w:pPr>
            <w:r w:rsidRPr="00A076DA">
              <w:rPr>
                <w:rFonts w:cs="Arial"/>
                <w:color w:val="000000"/>
                <w:sz w:val="22"/>
                <w:szCs w:val="22"/>
                <w:lang w:eastAsia="en-GB"/>
              </w:rPr>
              <w:t>CIES:</w:t>
            </w:r>
            <w:r w:rsidR="00AF2B5F">
              <w:rPr>
                <w:rFonts w:cs="Arial"/>
                <w:color w:val="000000"/>
                <w:sz w:val="22"/>
                <w:szCs w:val="22"/>
                <w:lang w:eastAsia="en-GB"/>
              </w:rPr>
              <w:t xml:space="preserve"> </w:t>
            </w:r>
            <w:r w:rsidRPr="00A076DA">
              <w:rPr>
                <w:rFonts w:cs="Arial"/>
                <w:color w:val="000000"/>
                <w:sz w:val="22"/>
                <w:szCs w:val="22"/>
                <w:lang w:eastAsia="en-GB"/>
              </w:rPr>
              <w:t>Surplus</w:t>
            </w:r>
            <w:r>
              <w:rPr>
                <w:rFonts w:cs="Arial"/>
                <w:color w:val="000000"/>
                <w:sz w:val="22"/>
                <w:szCs w:val="22"/>
                <w:lang w:eastAsia="en-GB"/>
              </w:rPr>
              <w:t xml:space="preserve"> </w:t>
            </w:r>
            <w:r w:rsidRPr="00A076DA">
              <w:rPr>
                <w:rFonts w:cs="Arial"/>
                <w:color w:val="000000"/>
                <w:sz w:val="22"/>
                <w:szCs w:val="22"/>
                <w:lang w:eastAsia="en-GB"/>
              </w:rPr>
              <w:t>on revaluation of non-current assets</w:t>
            </w:r>
          </w:p>
        </w:tc>
        <w:tc>
          <w:tcPr>
            <w:tcW w:w="1383" w:type="dxa"/>
            <w:tcBorders>
              <w:top w:val="nil"/>
              <w:left w:val="single" w:sz="4" w:space="0" w:color="auto"/>
              <w:bottom w:val="nil"/>
              <w:right w:val="single" w:sz="4" w:space="0" w:color="auto"/>
            </w:tcBorders>
            <w:shd w:val="clear" w:color="auto" w:fill="auto"/>
            <w:noWrap/>
            <w:vAlign w:val="bottom"/>
            <w:hideMark/>
          </w:tcPr>
          <w:p w14:paraId="5E710C48" w14:textId="69403BF8" w:rsidR="00A076DA" w:rsidRPr="00A076DA" w:rsidRDefault="00A076DA" w:rsidP="00A076DA">
            <w:pPr>
              <w:jc w:val="right"/>
              <w:rPr>
                <w:rFonts w:cs="Arial"/>
                <w:color w:val="000000"/>
                <w:sz w:val="22"/>
                <w:szCs w:val="22"/>
                <w:lang w:eastAsia="en-GB"/>
              </w:rPr>
            </w:pPr>
            <w:r w:rsidRPr="00A076DA">
              <w:rPr>
                <w:rFonts w:cs="Arial"/>
                <w:color w:val="000000"/>
                <w:sz w:val="22"/>
                <w:szCs w:val="22"/>
                <w:lang w:eastAsia="en-GB"/>
              </w:rPr>
              <w:t>-2</w:t>
            </w:r>
            <w:r>
              <w:rPr>
                <w:rFonts w:cs="Arial"/>
                <w:color w:val="000000"/>
                <w:sz w:val="22"/>
                <w:szCs w:val="22"/>
                <w:lang w:eastAsia="en-GB"/>
              </w:rPr>
              <w:t>,</w:t>
            </w:r>
            <w:r w:rsidRPr="00A076DA">
              <w:rPr>
                <w:rFonts w:cs="Arial"/>
                <w:color w:val="000000"/>
                <w:sz w:val="22"/>
                <w:szCs w:val="22"/>
                <w:lang w:eastAsia="en-GB"/>
              </w:rPr>
              <w:t>363</w:t>
            </w:r>
          </w:p>
        </w:tc>
        <w:tc>
          <w:tcPr>
            <w:tcW w:w="1096" w:type="dxa"/>
            <w:tcBorders>
              <w:top w:val="nil"/>
              <w:left w:val="nil"/>
              <w:bottom w:val="nil"/>
              <w:right w:val="nil"/>
            </w:tcBorders>
            <w:shd w:val="clear" w:color="auto" w:fill="auto"/>
            <w:noWrap/>
            <w:vAlign w:val="bottom"/>
            <w:hideMark/>
          </w:tcPr>
          <w:p w14:paraId="31F1102E" w14:textId="0838F9AF" w:rsidR="00A076DA" w:rsidRPr="00A076DA" w:rsidRDefault="00A076DA" w:rsidP="00A076DA">
            <w:pPr>
              <w:jc w:val="right"/>
              <w:rPr>
                <w:rFonts w:cs="Arial"/>
                <w:color w:val="000000"/>
                <w:sz w:val="22"/>
                <w:szCs w:val="22"/>
                <w:lang w:eastAsia="en-GB"/>
              </w:rPr>
            </w:pPr>
            <w:r w:rsidRPr="00A076DA">
              <w:rPr>
                <w:rFonts w:cs="Arial"/>
                <w:color w:val="000000"/>
                <w:sz w:val="22"/>
                <w:szCs w:val="22"/>
                <w:lang w:eastAsia="en-GB"/>
              </w:rPr>
              <w:t>-2</w:t>
            </w:r>
            <w:r>
              <w:rPr>
                <w:rFonts w:cs="Arial"/>
                <w:color w:val="000000"/>
                <w:sz w:val="22"/>
                <w:szCs w:val="22"/>
                <w:lang w:eastAsia="en-GB"/>
              </w:rPr>
              <w:t>,</w:t>
            </w:r>
            <w:r w:rsidRPr="00A076DA">
              <w:rPr>
                <w:rFonts w:cs="Arial"/>
                <w:color w:val="000000"/>
                <w:sz w:val="22"/>
                <w:szCs w:val="22"/>
                <w:lang w:eastAsia="en-GB"/>
              </w:rPr>
              <w:t>043</w:t>
            </w:r>
          </w:p>
        </w:tc>
        <w:tc>
          <w:tcPr>
            <w:tcW w:w="1134" w:type="dxa"/>
            <w:tcBorders>
              <w:top w:val="nil"/>
              <w:left w:val="single" w:sz="4" w:space="0" w:color="auto"/>
              <w:bottom w:val="nil"/>
              <w:right w:val="single" w:sz="4" w:space="0" w:color="auto"/>
            </w:tcBorders>
            <w:shd w:val="clear" w:color="auto" w:fill="auto"/>
            <w:noWrap/>
            <w:vAlign w:val="bottom"/>
            <w:hideMark/>
          </w:tcPr>
          <w:p w14:paraId="08068F61" w14:textId="77777777" w:rsidR="00A076DA" w:rsidRPr="00A076DA" w:rsidRDefault="00A076DA" w:rsidP="00A076DA">
            <w:pPr>
              <w:jc w:val="right"/>
              <w:rPr>
                <w:rFonts w:cs="Arial"/>
                <w:color w:val="000000"/>
                <w:sz w:val="22"/>
                <w:szCs w:val="22"/>
                <w:lang w:eastAsia="en-GB"/>
              </w:rPr>
            </w:pPr>
            <w:r w:rsidRPr="00A076DA">
              <w:rPr>
                <w:rFonts w:cs="Arial"/>
                <w:color w:val="000000"/>
                <w:sz w:val="22"/>
                <w:szCs w:val="22"/>
                <w:lang w:eastAsia="en-GB"/>
              </w:rPr>
              <w:t>320</w:t>
            </w:r>
          </w:p>
        </w:tc>
      </w:tr>
      <w:tr w:rsidR="00A076DA" w:rsidRPr="00A076DA" w14:paraId="7D6EC5B6" w14:textId="77777777" w:rsidTr="00A076DA">
        <w:trPr>
          <w:trHeight w:val="300"/>
          <w:jc w:val="center"/>
        </w:trPr>
        <w:tc>
          <w:tcPr>
            <w:tcW w:w="5240" w:type="dxa"/>
            <w:tcBorders>
              <w:top w:val="nil"/>
              <w:left w:val="single" w:sz="4" w:space="0" w:color="auto"/>
              <w:bottom w:val="single" w:sz="4" w:space="0" w:color="auto"/>
              <w:right w:val="nil"/>
            </w:tcBorders>
            <w:shd w:val="clear" w:color="auto" w:fill="auto"/>
            <w:noWrap/>
            <w:vAlign w:val="bottom"/>
            <w:hideMark/>
          </w:tcPr>
          <w:p w14:paraId="53721F61" w14:textId="77777777" w:rsidR="00A076DA" w:rsidRPr="00A076DA" w:rsidRDefault="00A076DA" w:rsidP="00A076DA">
            <w:pPr>
              <w:rPr>
                <w:rFonts w:cs="Arial"/>
                <w:color w:val="000000"/>
                <w:sz w:val="22"/>
                <w:szCs w:val="22"/>
                <w:lang w:eastAsia="en-GB"/>
              </w:rPr>
            </w:pPr>
            <w:r w:rsidRPr="00A076DA">
              <w:rPr>
                <w:rFonts w:cs="Arial"/>
                <w:color w:val="000000"/>
                <w:sz w:val="22"/>
                <w:szCs w:val="22"/>
                <w:lang w:eastAsia="en-GB"/>
              </w:rPr>
              <w:t>MIRS: Total CIES/Revaluation Reserve</w:t>
            </w:r>
          </w:p>
        </w:tc>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5C2A9E95" w14:textId="60498178" w:rsidR="00A076DA" w:rsidRPr="00A076DA" w:rsidRDefault="00A076DA" w:rsidP="00A076DA">
            <w:pPr>
              <w:jc w:val="right"/>
              <w:rPr>
                <w:rFonts w:cs="Arial"/>
                <w:color w:val="000000"/>
                <w:sz w:val="22"/>
                <w:szCs w:val="22"/>
                <w:lang w:eastAsia="en-GB"/>
              </w:rPr>
            </w:pPr>
            <w:r w:rsidRPr="00A076DA">
              <w:rPr>
                <w:rFonts w:cs="Arial"/>
                <w:color w:val="000000"/>
                <w:sz w:val="22"/>
                <w:szCs w:val="22"/>
                <w:lang w:eastAsia="en-GB"/>
              </w:rPr>
              <w:t>2</w:t>
            </w:r>
            <w:r>
              <w:rPr>
                <w:rFonts w:cs="Arial"/>
                <w:color w:val="000000"/>
                <w:sz w:val="22"/>
                <w:szCs w:val="22"/>
                <w:lang w:eastAsia="en-GB"/>
              </w:rPr>
              <w:t>,</w:t>
            </w:r>
            <w:r w:rsidRPr="00A076DA">
              <w:rPr>
                <w:rFonts w:cs="Arial"/>
                <w:color w:val="000000"/>
                <w:sz w:val="22"/>
                <w:szCs w:val="22"/>
                <w:lang w:eastAsia="en-GB"/>
              </w:rPr>
              <w:t>363</w:t>
            </w:r>
          </w:p>
        </w:tc>
        <w:tc>
          <w:tcPr>
            <w:tcW w:w="1096" w:type="dxa"/>
            <w:tcBorders>
              <w:top w:val="nil"/>
              <w:left w:val="nil"/>
              <w:bottom w:val="single" w:sz="4" w:space="0" w:color="auto"/>
              <w:right w:val="nil"/>
            </w:tcBorders>
            <w:shd w:val="clear" w:color="auto" w:fill="auto"/>
            <w:noWrap/>
            <w:vAlign w:val="bottom"/>
            <w:hideMark/>
          </w:tcPr>
          <w:p w14:paraId="6A12ABDE" w14:textId="77777777" w:rsidR="00A076DA" w:rsidRPr="00A076DA" w:rsidRDefault="00A076DA" w:rsidP="00A076DA">
            <w:pPr>
              <w:jc w:val="right"/>
              <w:rPr>
                <w:rFonts w:cs="Arial"/>
                <w:color w:val="000000"/>
                <w:sz w:val="22"/>
                <w:szCs w:val="22"/>
                <w:lang w:eastAsia="en-GB"/>
              </w:rPr>
            </w:pPr>
            <w:r w:rsidRPr="00A076DA">
              <w:rPr>
                <w:rFonts w:cs="Arial"/>
                <w:color w:val="000000"/>
                <w:sz w:val="22"/>
                <w:szCs w:val="22"/>
                <w:lang w:eastAsia="en-GB"/>
              </w:rPr>
              <w:t>2,043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9585982" w14:textId="77777777" w:rsidR="00A076DA" w:rsidRPr="00A076DA" w:rsidRDefault="00A076DA" w:rsidP="00A076DA">
            <w:pPr>
              <w:jc w:val="right"/>
              <w:rPr>
                <w:rFonts w:cs="Arial"/>
                <w:color w:val="000000"/>
                <w:sz w:val="22"/>
                <w:szCs w:val="22"/>
                <w:lang w:eastAsia="en-GB"/>
              </w:rPr>
            </w:pPr>
            <w:r w:rsidRPr="00A076DA">
              <w:rPr>
                <w:rFonts w:cs="Arial"/>
                <w:color w:val="000000"/>
                <w:sz w:val="22"/>
                <w:szCs w:val="22"/>
                <w:lang w:eastAsia="en-GB"/>
              </w:rPr>
              <w:t>-320</w:t>
            </w:r>
          </w:p>
        </w:tc>
      </w:tr>
    </w:tbl>
    <w:p w14:paraId="2EF6F97A" w14:textId="77777777" w:rsidR="00BA5F82" w:rsidRPr="00A076DA" w:rsidRDefault="00BA5F82" w:rsidP="0070459C">
      <w:pPr>
        <w:rPr>
          <w:rFonts w:cs="Arial"/>
          <w:sz w:val="22"/>
          <w:szCs w:val="22"/>
        </w:rPr>
      </w:pPr>
    </w:p>
    <w:p w14:paraId="485A491F" w14:textId="0E1DF467" w:rsidR="00AA0D58" w:rsidRPr="00A076DA" w:rsidRDefault="00A076DA">
      <w:pPr>
        <w:rPr>
          <w:rFonts w:cs="Arial"/>
          <w:bCs/>
          <w:i/>
          <w:highlight w:val="yellow"/>
        </w:rPr>
      </w:pPr>
      <w:r w:rsidRPr="00A076DA">
        <w:rPr>
          <w:rFonts w:cs="Arial"/>
          <w:bCs/>
          <w:iCs/>
        </w:rPr>
        <w:t xml:space="preserve">In addition, any </w:t>
      </w:r>
      <w:r>
        <w:rPr>
          <w:rFonts w:cs="Arial"/>
          <w:bCs/>
          <w:iCs/>
        </w:rPr>
        <w:t xml:space="preserve">relevant totals, </w:t>
      </w:r>
      <w:r w:rsidRPr="00A076DA">
        <w:rPr>
          <w:rFonts w:cs="Arial"/>
          <w:bCs/>
          <w:iCs/>
        </w:rPr>
        <w:t>subtotal</w:t>
      </w:r>
      <w:r>
        <w:rPr>
          <w:rFonts w:cs="Arial"/>
          <w:bCs/>
          <w:iCs/>
        </w:rPr>
        <w:t>s</w:t>
      </w:r>
      <w:r w:rsidRPr="00A076DA">
        <w:rPr>
          <w:rFonts w:cs="Arial"/>
          <w:bCs/>
          <w:iCs/>
        </w:rPr>
        <w:t xml:space="preserve"> or supporting notes have also been amended consistent with these</w:t>
      </w:r>
      <w:r w:rsidR="00385A33">
        <w:rPr>
          <w:rFonts w:cs="Arial"/>
          <w:bCs/>
          <w:iCs/>
        </w:rPr>
        <w:t xml:space="preserve"> line</w:t>
      </w:r>
      <w:r w:rsidRPr="00A076DA">
        <w:rPr>
          <w:rFonts w:cs="Arial"/>
          <w:bCs/>
          <w:iCs/>
        </w:rPr>
        <w:t xml:space="preserve"> changes to the primary statements.</w:t>
      </w:r>
      <w:r w:rsidR="00152E04">
        <w:rPr>
          <w:rFonts w:cs="Arial"/>
          <w:bCs/>
          <w:iCs/>
        </w:rPr>
        <w:t xml:space="preserve"> This does not impact any years prior to 2022/23 so a restated opening balance sheet has not been prepared.</w:t>
      </w:r>
      <w:r w:rsidR="00AA0D58" w:rsidRPr="00A076DA">
        <w:rPr>
          <w:rFonts w:cs="Arial"/>
          <w:bCs/>
          <w:i/>
          <w:highlight w:val="yellow"/>
        </w:rPr>
        <w:br w:type="page"/>
      </w:r>
    </w:p>
    <w:p w14:paraId="262EC1E2" w14:textId="67F9E346" w:rsidR="00400441" w:rsidRPr="002D7873" w:rsidRDefault="00400441" w:rsidP="00C01DC6">
      <w:pPr>
        <w:pStyle w:val="Heading1"/>
        <w:jc w:val="left"/>
        <w:rPr>
          <w:sz w:val="20"/>
        </w:rPr>
      </w:pPr>
      <w:bookmarkStart w:id="463" w:name="_MON_1368451425"/>
      <w:bookmarkStart w:id="464" w:name="_MON_1368451503"/>
      <w:bookmarkStart w:id="465" w:name="_MON_1368451669"/>
      <w:bookmarkStart w:id="466" w:name="_MON_1368451857"/>
      <w:bookmarkStart w:id="467" w:name="_MON_1369487905"/>
      <w:bookmarkStart w:id="468" w:name="_MON_1369553433"/>
      <w:bookmarkStart w:id="469" w:name="_MON_1369728394"/>
      <w:bookmarkStart w:id="470" w:name="_MON_1369742105"/>
      <w:bookmarkStart w:id="471" w:name="_MON_1369744058"/>
      <w:bookmarkStart w:id="472" w:name="_MON_1369744068"/>
      <w:bookmarkStart w:id="473" w:name="_MON_1370423066"/>
      <w:bookmarkStart w:id="474" w:name="_MON_1370423645"/>
      <w:bookmarkStart w:id="475" w:name="_MON_1372679091"/>
      <w:bookmarkStart w:id="476" w:name="_MON_1372679135"/>
      <w:bookmarkStart w:id="477" w:name="_MON_1372834692"/>
      <w:bookmarkStart w:id="478" w:name="_MON_1395571479"/>
      <w:bookmarkStart w:id="479" w:name="_MON_1401095325"/>
      <w:bookmarkStart w:id="480" w:name="_MON_1401539600"/>
      <w:bookmarkStart w:id="481" w:name="_MON_1402138718"/>
      <w:bookmarkStart w:id="482" w:name="_MON_1429981462"/>
      <w:bookmarkStart w:id="483" w:name="_MON_1362490614"/>
      <w:bookmarkStart w:id="484" w:name="_MON_1362490765"/>
      <w:bookmarkStart w:id="485" w:name="_MON_1362490773"/>
      <w:bookmarkStart w:id="486" w:name="_MON_1362490866"/>
      <w:bookmarkStart w:id="487" w:name="_MON_1363762803"/>
      <w:bookmarkStart w:id="488" w:name="_MON_1372679189"/>
      <w:bookmarkStart w:id="489" w:name="_MON_1372834714"/>
      <w:bookmarkStart w:id="490" w:name="_MON_1395571545"/>
      <w:bookmarkStart w:id="491" w:name="_MON_1401095350"/>
      <w:bookmarkStart w:id="492" w:name="_MON_1401527019"/>
      <w:bookmarkStart w:id="493" w:name="_MON_1401539607"/>
      <w:bookmarkStart w:id="494" w:name="_MON_1401877453"/>
      <w:bookmarkStart w:id="495" w:name="_MON_1402138743"/>
      <w:bookmarkStart w:id="496" w:name="_MON_1429981418"/>
      <w:bookmarkStart w:id="497" w:name="_MON_1362490782"/>
      <w:bookmarkStart w:id="498" w:name="_MON_1362490859"/>
      <w:bookmarkStart w:id="499" w:name="_MON_1363763004"/>
      <w:bookmarkStart w:id="500" w:name="_MON_1363763519"/>
      <w:bookmarkStart w:id="501" w:name="_MON_1364130036"/>
      <w:bookmarkStart w:id="502" w:name="_MON_1368451912"/>
      <w:bookmarkStart w:id="503" w:name="_MON_1368453049"/>
      <w:bookmarkStart w:id="504" w:name="_MON_1368538141"/>
      <w:bookmarkStart w:id="505" w:name="_MON_1368538180"/>
      <w:bookmarkStart w:id="506" w:name="_MON_1368538191"/>
      <w:bookmarkStart w:id="507" w:name="_MON_1368615878"/>
      <w:bookmarkStart w:id="508" w:name="_MON_1369552145"/>
      <w:bookmarkStart w:id="509" w:name="_MON_1369553443"/>
      <w:bookmarkStart w:id="510" w:name="_MON_1369728419"/>
      <w:bookmarkStart w:id="511" w:name="_MON_1369742148"/>
      <w:bookmarkStart w:id="512" w:name="_MON_1370423469"/>
      <w:bookmarkStart w:id="513" w:name="_MON_1370423669"/>
      <w:bookmarkStart w:id="514" w:name="_MON_1370423701"/>
      <w:bookmarkStart w:id="515" w:name="_MON_1370695731"/>
      <w:bookmarkStart w:id="516" w:name="_MON_1370179999"/>
      <w:bookmarkStart w:id="517" w:name="_MON_1370695773"/>
      <w:bookmarkStart w:id="518" w:name="_MON_1395571610"/>
      <w:bookmarkStart w:id="519" w:name="_MON_1401095380"/>
      <w:bookmarkStart w:id="520" w:name="_MON_1401539616"/>
      <w:bookmarkStart w:id="521" w:name="_MON_1402138770"/>
      <w:bookmarkStart w:id="522" w:name="_MON_1402138796"/>
      <w:bookmarkStart w:id="523" w:name="_MON_1429979321"/>
      <w:bookmarkStart w:id="524" w:name="_MON_1362402442"/>
      <w:bookmarkStart w:id="525" w:name="_MON_1362491129"/>
      <w:bookmarkStart w:id="526" w:name="_MON_1364130138"/>
      <w:bookmarkStart w:id="527" w:name="_MON_1366612530"/>
      <w:bookmarkStart w:id="528" w:name="_MON_1366612735"/>
      <w:bookmarkStart w:id="529" w:name="_MON_1368451306"/>
      <w:bookmarkStart w:id="530" w:name="_MON_1369553453"/>
      <w:bookmarkStart w:id="531" w:name="_MON_1401539685"/>
      <w:bookmarkStart w:id="532" w:name="_MON_1402138843"/>
      <w:bookmarkStart w:id="533" w:name="_MON_1402138866"/>
      <w:bookmarkStart w:id="534" w:name="_MON_1429979478"/>
      <w:bookmarkStart w:id="535" w:name="_MON_1362403871"/>
      <w:bookmarkStart w:id="536" w:name="_MON_1362404325"/>
      <w:bookmarkStart w:id="537" w:name="_MON_1362404379"/>
      <w:bookmarkStart w:id="538" w:name="_MON_1362491349"/>
      <w:bookmarkStart w:id="539" w:name="_MON_1362491395"/>
      <w:bookmarkStart w:id="540" w:name="_MON_1362491814"/>
      <w:bookmarkStart w:id="541" w:name="_MON_1362491838"/>
      <w:bookmarkStart w:id="542" w:name="_MON_1363763783"/>
      <w:bookmarkStart w:id="543" w:name="_MON_1363763824"/>
      <w:bookmarkStart w:id="544" w:name="_MON_1364130283"/>
      <w:bookmarkStart w:id="545" w:name="_MON_1364130297"/>
      <w:bookmarkStart w:id="546" w:name="_MON_1368448592"/>
      <w:bookmarkStart w:id="547" w:name="_MON_1369553468"/>
      <w:bookmarkStart w:id="548" w:name="_MON_1369728517"/>
      <w:bookmarkStart w:id="549" w:name="_MON_1369742312"/>
      <w:bookmarkStart w:id="550" w:name="_MON_1370695919"/>
      <w:bookmarkStart w:id="551" w:name="_MON_1372661855"/>
      <w:bookmarkStart w:id="552" w:name="_MON_1372662193"/>
      <w:bookmarkStart w:id="553" w:name="_MON_1372679254"/>
      <w:bookmarkStart w:id="554" w:name="_MON_1395571768"/>
      <w:bookmarkStart w:id="555" w:name="_MON_1395579057"/>
      <w:bookmarkStart w:id="556" w:name="_MON_1401095547"/>
      <w:bookmarkStart w:id="557" w:name="_MON_1401539646"/>
      <w:bookmarkStart w:id="558" w:name="_MON_1463396986"/>
      <w:bookmarkStart w:id="559" w:name="_MON_1395577611"/>
      <w:bookmarkStart w:id="560" w:name="_MON_1395577727"/>
      <w:bookmarkStart w:id="561" w:name="_MON_1395578292"/>
      <w:bookmarkStart w:id="562" w:name="_MON_1401110159"/>
      <w:bookmarkStart w:id="563" w:name="_MON_1401539701"/>
      <w:bookmarkStart w:id="564" w:name="_MON_1402138896"/>
      <w:bookmarkStart w:id="565" w:name="_MON_1429979675"/>
      <w:bookmarkStart w:id="566" w:name="_MON_1363763854"/>
      <w:bookmarkStart w:id="567" w:name="_MON_1366612757"/>
      <w:bookmarkStart w:id="568" w:name="_MON_1369553477"/>
      <w:bookmarkStart w:id="569" w:name="_MON_1361953052"/>
      <w:bookmarkStart w:id="570" w:name="_MON_1361953404"/>
      <w:bookmarkStart w:id="571" w:name="_MON_1363694014"/>
      <w:bookmarkStart w:id="572" w:name="_MON_1363757763"/>
      <w:bookmarkStart w:id="573" w:name="_MON_1363764215"/>
      <w:bookmarkStart w:id="574" w:name="_MON_1364125293"/>
      <w:bookmarkStart w:id="575" w:name="_MON_1364125395"/>
      <w:bookmarkStart w:id="576" w:name="_MON_1364125414"/>
      <w:bookmarkStart w:id="577" w:name="_MON_1364125467"/>
      <w:bookmarkStart w:id="578" w:name="_MON_1364130793"/>
      <w:bookmarkStart w:id="579" w:name="_MON_1368448851"/>
      <w:bookmarkStart w:id="580" w:name="_MON_1368538221"/>
      <w:bookmarkStart w:id="581" w:name="_MON_1368618635"/>
      <w:bookmarkStart w:id="582" w:name="_MON_1369552184"/>
      <w:bookmarkStart w:id="583" w:name="_MON_1369657847"/>
      <w:bookmarkStart w:id="584" w:name="_MON_1369657917"/>
      <w:bookmarkStart w:id="585" w:name="_MON_1369657925"/>
      <w:bookmarkStart w:id="586" w:name="_MON_1369728928"/>
      <w:bookmarkStart w:id="587" w:name="_MON_1369742344"/>
      <w:bookmarkStart w:id="588" w:name="_MON_1370696322"/>
      <w:bookmarkStart w:id="589" w:name="_MON_1370696451"/>
      <w:bookmarkStart w:id="590" w:name="_MON_1372679518"/>
      <w:bookmarkStart w:id="591" w:name="_MON_1372838585"/>
      <w:bookmarkStart w:id="592" w:name="_MON_1373048690"/>
      <w:bookmarkStart w:id="593" w:name="_MON_1395578918"/>
      <w:bookmarkStart w:id="594" w:name="_MON_1395578964"/>
      <w:bookmarkStart w:id="595" w:name="_MON_1401111393"/>
      <w:bookmarkStart w:id="596" w:name="_MON_1401521064"/>
      <w:bookmarkStart w:id="597" w:name="_MON_1401527063"/>
      <w:bookmarkStart w:id="598" w:name="_MON_1401539774"/>
      <w:bookmarkStart w:id="599" w:name="_MON_1401539800"/>
      <w:bookmarkStart w:id="600" w:name="_MON_1401877494"/>
      <w:bookmarkStart w:id="601" w:name="_MON_1402139034"/>
      <w:bookmarkStart w:id="602" w:name="_MON_1395579196"/>
      <w:bookmarkStart w:id="603" w:name="_MON_1401111513"/>
      <w:bookmarkStart w:id="604" w:name="_MON_1401521273"/>
      <w:bookmarkStart w:id="605" w:name="_MON_1401539813"/>
      <w:bookmarkStart w:id="606" w:name="_MON_1401877538"/>
      <w:bookmarkStart w:id="607" w:name="_MON_1402139085"/>
      <w:bookmarkStart w:id="608" w:name="_MON_1402465918"/>
      <w:bookmarkStart w:id="609" w:name="_MON_1402465938"/>
      <w:bookmarkStart w:id="610" w:name="_MON_1369564548"/>
      <w:bookmarkStart w:id="611" w:name="_MON_1369657987"/>
      <w:bookmarkStart w:id="612" w:name="_MON_1369658100"/>
      <w:bookmarkStart w:id="613" w:name="_MON_1369659967"/>
      <w:bookmarkStart w:id="614" w:name="_MON_1369660722"/>
      <w:bookmarkStart w:id="615" w:name="_MON_1369728955"/>
      <w:bookmarkStart w:id="616" w:name="_MON_1369742434"/>
      <w:bookmarkStart w:id="617" w:name="_MON_1368451056"/>
      <w:bookmarkStart w:id="618" w:name="_MON_1368451227"/>
      <w:bookmarkStart w:id="619" w:name="_MON_1368451247"/>
      <w:bookmarkStart w:id="620" w:name="_MON_1369487850"/>
      <w:bookmarkStart w:id="621" w:name="_MON_1369728963"/>
      <w:bookmarkStart w:id="622" w:name="_MON_1369728978"/>
      <w:bookmarkStart w:id="623" w:name="_MON_1369728998"/>
      <w:bookmarkStart w:id="624" w:name="_MON_1369729053"/>
      <w:bookmarkStart w:id="625" w:name="_MON_1369729068"/>
      <w:bookmarkStart w:id="626" w:name="_MON_1370696351"/>
      <w:bookmarkStart w:id="627" w:name="_MON_1372679572"/>
      <w:bookmarkStart w:id="628" w:name="_MON_1373048964"/>
      <w:bookmarkStart w:id="629" w:name="_MON_1395579238"/>
      <w:bookmarkStart w:id="630" w:name="_MON_1401111561"/>
      <w:bookmarkStart w:id="631" w:name="_MON_1401111569"/>
      <w:bookmarkStart w:id="632" w:name="_MON_1401539822"/>
      <w:bookmarkStart w:id="633" w:name="_MON_1401877549"/>
      <w:bookmarkStart w:id="634" w:name="_MON_1402139098"/>
      <w:bookmarkStart w:id="635" w:name="_MON_1402139307"/>
      <w:bookmarkStart w:id="636" w:name="_MON_1402139327"/>
      <w:bookmarkStart w:id="637" w:name="_MON_1361953148"/>
      <w:bookmarkStart w:id="638" w:name="_MON_1361953196"/>
      <w:bookmarkStart w:id="639" w:name="_MON_1361953217"/>
      <w:bookmarkStart w:id="640" w:name="_MON_1363757740"/>
      <w:bookmarkStart w:id="641" w:name="_MON_1363764716"/>
      <w:bookmarkStart w:id="642" w:name="_Toc167965824"/>
      <w:bookmarkStart w:id="643" w:name="_Toc107817303"/>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6C7E96">
        <w:lastRenderedPageBreak/>
        <w:t xml:space="preserve">Annual Governance Statement </w:t>
      </w:r>
      <w:r w:rsidR="004C2EC8" w:rsidRPr="006C7E96">
        <w:t>202</w:t>
      </w:r>
      <w:r w:rsidR="00C01DC6" w:rsidRPr="006C7E96">
        <w:t>3</w:t>
      </w:r>
      <w:r w:rsidR="004C2EC8" w:rsidRPr="006C7E96">
        <w:t>/2</w:t>
      </w:r>
      <w:r w:rsidR="00C01DC6" w:rsidRPr="006C7E96">
        <w:t>4</w:t>
      </w:r>
      <w:r w:rsidRPr="006C7E96">
        <w:t xml:space="preserve"> Lake District National Park Authority.</w:t>
      </w:r>
      <w:bookmarkEnd w:id="642"/>
    </w:p>
    <w:p w14:paraId="031FFA6F" w14:textId="77777777" w:rsidR="004C2EC8" w:rsidRPr="004C2EC8" w:rsidRDefault="004C2EC8" w:rsidP="004C2EC8">
      <w:pPr>
        <w:jc w:val="center"/>
        <w:rPr>
          <w:rFonts w:cs="Arial"/>
          <w:b/>
          <w:sz w:val="24"/>
          <w:szCs w:val="24"/>
        </w:rPr>
      </w:pPr>
    </w:p>
    <w:p w14:paraId="7CD729E5" w14:textId="77777777" w:rsidR="004C2EC8" w:rsidRDefault="004C2EC8" w:rsidP="00DB1DCB">
      <w:pPr>
        <w:numPr>
          <w:ilvl w:val="0"/>
          <w:numId w:val="17"/>
        </w:numPr>
        <w:spacing w:after="160" w:line="259" w:lineRule="auto"/>
        <w:ind w:hanging="643"/>
        <w:contextualSpacing/>
        <w:rPr>
          <w:rFonts w:eastAsia="Calibri" w:cs="Arial"/>
          <w:b/>
          <w:sz w:val="24"/>
          <w:szCs w:val="24"/>
          <w:lang w:eastAsia="en-GB"/>
        </w:rPr>
      </w:pPr>
      <w:r w:rsidRPr="004C2EC8">
        <w:rPr>
          <w:rFonts w:eastAsia="Calibri" w:cs="Arial"/>
          <w:b/>
          <w:sz w:val="24"/>
          <w:szCs w:val="24"/>
          <w:lang w:eastAsia="en-GB"/>
        </w:rPr>
        <w:t>Scope of responsibility</w:t>
      </w:r>
    </w:p>
    <w:p w14:paraId="06BA3190" w14:textId="77777777" w:rsidR="00BE1024" w:rsidRPr="004C2EC8" w:rsidRDefault="00BE1024" w:rsidP="00BE1024">
      <w:pPr>
        <w:spacing w:after="160" w:line="259" w:lineRule="auto"/>
        <w:ind w:left="643"/>
        <w:contextualSpacing/>
        <w:rPr>
          <w:rFonts w:eastAsia="Calibri" w:cs="Arial"/>
          <w:b/>
          <w:sz w:val="24"/>
          <w:szCs w:val="24"/>
          <w:lang w:eastAsia="en-GB"/>
        </w:rPr>
      </w:pPr>
    </w:p>
    <w:p w14:paraId="36CAFE54" w14:textId="77777777" w:rsidR="00BE1024" w:rsidRPr="00AD0EF4" w:rsidRDefault="00BE1024" w:rsidP="00BE1024">
      <w:pPr>
        <w:rPr>
          <w:rFonts w:cs="Arial"/>
        </w:rPr>
      </w:pPr>
      <w:r w:rsidRPr="00AD0EF4">
        <w:rPr>
          <w:rFonts w:cs="Arial"/>
        </w:rPr>
        <w:t xml:space="preserve">Lake District National Park Authority (the Authority), is responsible for ensuring that its business is conducted in accordance with the law and proper standards, and that public money is safeguarded and properly accounted for, and used economically, efficiently and effectively. The Authority also has a duty under the Local Government Act 1999 to make arrangements to secure continuous improvement in the way its functions are exercised, having regard to a combination of economy, efficiency and effectiveness. </w:t>
      </w:r>
    </w:p>
    <w:p w14:paraId="248BB755" w14:textId="77777777" w:rsidR="00BE1024" w:rsidRPr="00AD0EF4" w:rsidRDefault="00BE1024" w:rsidP="00BE1024">
      <w:pPr>
        <w:rPr>
          <w:rFonts w:cs="Arial"/>
        </w:rPr>
      </w:pPr>
    </w:p>
    <w:p w14:paraId="1F04F10D" w14:textId="77777777" w:rsidR="00BE1024" w:rsidRPr="00AD0EF4" w:rsidRDefault="00BE1024" w:rsidP="00BE1024">
      <w:pPr>
        <w:rPr>
          <w:rFonts w:cs="Arial"/>
        </w:rPr>
      </w:pPr>
      <w:r w:rsidRPr="00AD0EF4">
        <w:rPr>
          <w:rFonts w:cs="Arial"/>
        </w:rPr>
        <w:t>In discharging this overall responsibility, the Authority is responsible for putting in place proper arrangements for the governance of its affairs, facilitating the effective exercise of its functions, and which includes arrangements for the management of risk.</w:t>
      </w:r>
    </w:p>
    <w:p w14:paraId="1BA049E7" w14:textId="77777777" w:rsidR="00BE1024" w:rsidRPr="00AD0EF4" w:rsidRDefault="00BE1024" w:rsidP="00BE1024">
      <w:pPr>
        <w:rPr>
          <w:rFonts w:cs="Arial"/>
        </w:rPr>
      </w:pPr>
    </w:p>
    <w:p w14:paraId="6F3FF603" w14:textId="77777777" w:rsidR="00BE1024" w:rsidRPr="00723968" w:rsidRDefault="00BE1024" w:rsidP="00BE1024">
      <w:pPr>
        <w:rPr>
          <w:rFonts w:cs="Arial"/>
        </w:rPr>
      </w:pPr>
      <w:r w:rsidRPr="00AD0EF4">
        <w:rPr>
          <w:rFonts w:cs="Arial"/>
        </w:rPr>
        <w:t xml:space="preserve">The Authority has approved and adopted a Local Code of Corporate Governance (LCoCG). This forms part of the Authority Handbook and is consistent with the principles of the CIPFA/SOLACE Framework </w:t>
      </w:r>
      <w:r w:rsidRPr="00AD0EF4">
        <w:rPr>
          <w:rFonts w:cs="Arial"/>
          <w:i/>
        </w:rPr>
        <w:t>Delivering Good Governance in Local Government</w:t>
      </w:r>
      <w:r w:rsidRPr="00AD0EF4">
        <w:rPr>
          <w:rFonts w:cs="Arial"/>
        </w:rPr>
        <w:t xml:space="preserve">. This </w:t>
      </w:r>
      <w:r w:rsidRPr="00723968">
        <w:rPr>
          <w:rFonts w:cs="Arial"/>
        </w:rPr>
        <w:t>statement explains how the Authority has complied with the LCoGC and also meets the requirements of Accounts and Audit (England) Regulations 2015, regulation 6 (1) (b), which requires all relevant authorities to prepare an annual governance statement.</w:t>
      </w:r>
    </w:p>
    <w:p w14:paraId="03CDBBCB" w14:textId="77777777" w:rsidR="00BE1024" w:rsidRPr="00723968" w:rsidRDefault="00BE1024" w:rsidP="00BE1024">
      <w:pPr>
        <w:rPr>
          <w:rFonts w:cs="Arial"/>
        </w:rPr>
      </w:pPr>
    </w:p>
    <w:p w14:paraId="06AA010A" w14:textId="77777777" w:rsidR="00BE1024" w:rsidRPr="00723968" w:rsidRDefault="00BE1024" w:rsidP="00BE1024">
      <w:pPr>
        <w:numPr>
          <w:ilvl w:val="0"/>
          <w:numId w:val="17"/>
        </w:numPr>
        <w:spacing w:after="160" w:line="259" w:lineRule="auto"/>
        <w:ind w:hanging="643"/>
        <w:contextualSpacing/>
        <w:rPr>
          <w:rFonts w:eastAsia="Calibri" w:cs="Arial"/>
          <w:b/>
          <w:lang w:eastAsia="en-GB"/>
        </w:rPr>
      </w:pPr>
      <w:r w:rsidRPr="00723968">
        <w:rPr>
          <w:rFonts w:eastAsia="Calibri" w:cs="Arial"/>
          <w:b/>
          <w:lang w:eastAsia="en-GB"/>
        </w:rPr>
        <w:t>The Purpose of the Governance Framework</w:t>
      </w:r>
    </w:p>
    <w:p w14:paraId="42F68924" w14:textId="77777777" w:rsidR="00BE1024" w:rsidRPr="00723968" w:rsidRDefault="00BE1024" w:rsidP="00BE1024">
      <w:pPr>
        <w:spacing w:after="160" w:line="259" w:lineRule="auto"/>
        <w:ind w:left="643"/>
        <w:contextualSpacing/>
        <w:rPr>
          <w:rFonts w:eastAsia="Calibri" w:cs="Arial"/>
          <w:b/>
          <w:lang w:eastAsia="en-GB"/>
        </w:rPr>
      </w:pPr>
    </w:p>
    <w:p w14:paraId="06F7FFE0" w14:textId="77777777" w:rsidR="00BE1024" w:rsidRPr="00723968" w:rsidRDefault="00BE1024" w:rsidP="00BE1024">
      <w:pPr>
        <w:rPr>
          <w:rFonts w:cs="Arial"/>
        </w:rPr>
      </w:pPr>
      <w:r w:rsidRPr="00723968">
        <w:rPr>
          <w:rFonts w:cs="Arial"/>
        </w:rPr>
        <w:t>The Governance Framework comprises the systems and processes, culture and values by which the Authority is directed and controlled and its activities through which it accounts to, engages with and leads its communities. It enables the Authority to monitor the achievement of its priorities and to consider whether those priorities have led to the delivery of appropriate services and value for money. This is brought together in the Authority’s LCoCG; this review has been completed with reference to the detailed provisions set out in the LCoCG.</w:t>
      </w:r>
    </w:p>
    <w:p w14:paraId="731FE706" w14:textId="77777777" w:rsidR="00BE1024" w:rsidRPr="00723968" w:rsidRDefault="00BE1024" w:rsidP="00BE1024">
      <w:pPr>
        <w:rPr>
          <w:rFonts w:cs="Arial"/>
        </w:rPr>
      </w:pPr>
    </w:p>
    <w:p w14:paraId="29EEC94B" w14:textId="77777777" w:rsidR="00BE1024" w:rsidRPr="00723968" w:rsidRDefault="00BE1024" w:rsidP="00BE1024">
      <w:pPr>
        <w:rPr>
          <w:rFonts w:cs="Arial"/>
        </w:rPr>
      </w:pPr>
      <w:r w:rsidRPr="00723968">
        <w:rPr>
          <w:rFonts w:cs="Arial"/>
        </w:rPr>
        <w:t>The system of internal control is a significant part of that framework and is designed to manage risk to a reasonable level. It cannot eliminate all risk of failure to achieve policies, aims and objectives and can therefore only provide reasonable and not absolute assurance of effectiveness. The system of internal control is based on an ongoing process designed to identify and prioritise the risks to the achievement of the Authority’s Business Plan, policies, aims and objectives, to evaluate the likelihood and potential impact of those risks being realised, and to manage them efficiently, effectively and economically.</w:t>
      </w:r>
    </w:p>
    <w:p w14:paraId="48ACFC51" w14:textId="77777777" w:rsidR="00BE1024" w:rsidRPr="00723968" w:rsidRDefault="00BE1024" w:rsidP="00BE1024">
      <w:pPr>
        <w:rPr>
          <w:rFonts w:cs="Arial"/>
        </w:rPr>
      </w:pPr>
    </w:p>
    <w:p w14:paraId="2F588080" w14:textId="77777777" w:rsidR="00BE1024" w:rsidRPr="00723968" w:rsidRDefault="00BE1024" w:rsidP="00BE1024">
      <w:pPr>
        <w:rPr>
          <w:rFonts w:cs="Arial"/>
        </w:rPr>
      </w:pPr>
      <w:r w:rsidRPr="00723968">
        <w:rPr>
          <w:rFonts w:cs="Arial"/>
        </w:rPr>
        <w:t>There are seven key principles to good governance highlighted in the CIPFA/Solace framework, the LCoGC is also structured around these:</w:t>
      </w:r>
    </w:p>
    <w:p w14:paraId="71467681" w14:textId="77777777" w:rsidR="00BE1024" w:rsidRPr="00723968" w:rsidRDefault="00BE1024" w:rsidP="00BE1024">
      <w:pPr>
        <w:rPr>
          <w:rFonts w:cs="Arial"/>
        </w:rPr>
      </w:pPr>
    </w:p>
    <w:p w14:paraId="373D220F" w14:textId="77777777" w:rsidR="00BE1024" w:rsidRPr="00723968" w:rsidRDefault="00BE1024" w:rsidP="00BE1024">
      <w:pPr>
        <w:ind w:left="1418" w:hanging="1418"/>
      </w:pPr>
      <w:r w:rsidRPr="00723968">
        <w:t xml:space="preserve">Principle A </w:t>
      </w:r>
      <w:r w:rsidRPr="00723968">
        <w:tab/>
        <w:t xml:space="preserve">Behaving with integrity, demonstrating strong commitment to ethical values, and respecting the rule of law </w:t>
      </w:r>
    </w:p>
    <w:p w14:paraId="3F506234" w14:textId="77777777" w:rsidR="00BE1024" w:rsidRPr="00723968" w:rsidRDefault="00BE1024" w:rsidP="00BE1024">
      <w:r w:rsidRPr="00723968">
        <w:t xml:space="preserve">Principle B </w:t>
      </w:r>
      <w:r w:rsidRPr="00723968">
        <w:tab/>
        <w:t xml:space="preserve">Ensuring openness and comprehensive stakeholder engagement </w:t>
      </w:r>
    </w:p>
    <w:p w14:paraId="09D44D0B" w14:textId="77777777" w:rsidR="00BE1024" w:rsidRPr="00723968" w:rsidRDefault="00BE1024" w:rsidP="00BE1024">
      <w:pPr>
        <w:ind w:left="1418" w:hanging="1418"/>
      </w:pPr>
      <w:r w:rsidRPr="00723968">
        <w:t xml:space="preserve">Principle C </w:t>
      </w:r>
      <w:r w:rsidRPr="00723968">
        <w:tab/>
        <w:t xml:space="preserve">Defining outcomes in terms of sustainable economic, social, and environmental benefits </w:t>
      </w:r>
    </w:p>
    <w:p w14:paraId="309C64E8" w14:textId="77777777" w:rsidR="00BE1024" w:rsidRPr="00723968" w:rsidRDefault="00BE1024" w:rsidP="00BE1024">
      <w:pPr>
        <w:ind w:left="1418" w:hanging="1418"/>
      </w:pPr>
      <w:r w:rsidRPr="00723968">
        <w:t xml:space="preserve">Principle D </w:t>
      </w:r>
      <w:r w:rsidRPr="00723968">
        <w:tab/>
        <w:t xml:space="preserve">Determining the interventions necessary to optimise the achievement of the intended outcomes </w:t>
      </w:r>
    </w:p>
    <w:p w14:paraId="7AD7DDD0" w14:textId="77777777" w:rsidR="00BE1024" w:rsidRPr="00723968" w:rsidRDefault="00BE1024" w:rsidP="00BE1024">
      <w:pPr>
        <w:ind w:left="1418" w:hanging="1418"/>
      </w:pPr>
      <w:r w:rsidRPr="00723968">
        <w:t xml:space="preserve">Principle E </w:t>
      </w:r>
      <w:r w:rsidRPr="00723968">
        <w:tab/>
        <w:t xml:space="preserve">Developing the entity’s capacity, including the capability of its leadership and the individuals within it </w:t>
      </w:r>
    </w:p>
    <w:p w14:paraId="466563FB" w14:textId="77777777" w:rsidR="00BE1024" w:rsidRPr="00723968" w:rsidRDefault="00BE1024" w:rsidP="00BE1024">
      <w:pPr>
        <w:ind w:left="1418" w:hanging="1418"/>
      </w:pPr>
      <w:r w:rsidRPr="00723968">
        <w:t>Principle F</w:t>
      </w:r>
      <w:r w:rsidRPr="00723968">
        <w:tab/>
        <w:t xml:space="preserve">Managing risks and performance through robust internal control and strong public financial management </w:t>
      </w:r>
    </w:p>
    <w:p w14:paraId="3AB971EB" w14:textId="77777777" w:rsidR="00BE1024" w:rsidRPr="00723968" w:rsidRDefault="00BE1024" w:rsidP="00BE1024">
      <w:pPr>
        <w:ind w:left="1418" w:hanging="1418"/>
        <w:rPr>
          <w:rFonts w:cs="Arial"/>
        </w:rPr>
      </w:pPr>
      <w:r w:rsidRPr="00723968">
        <w:lastRenderedPageBreak/>
        <w:t xml:space="preserve">Principle G </w:t>
      </w:r>
      <w:r w:rsidRPr="00723968">
        <w:tab/>
        <w:t>Implementing good practices in transparency, reporting, and audit to deliver effective accountability</w:t>
      </w:r>
    </w:p>
    <w:p w14:paraId="77542720" w14:textId="77777777" w:rsidR="00BE1024" w:rsidRPr="00723968" w:rsidRDefault="00BE1024" w:rsidP="00BE1024">
      <w:pPr>
        <w:rPr>
          <w:rFonts w:cs="Arial"/>
        </w:rPr>
      </w:pPr>
    </w:p>
    <w:p w14:paraId="726DDFE6" w14:textId="77777777" w:rsidR="00BE1024" w:rsidRPr="00723968" w:rsidRDefault="00BE1024" w:rsidP="00BE1024">
      <w:pPr>
        <w:rPr>
          <w:rFonts w:cs="Arial"/>
        </w:rPr>
      </w:pPr>
      <w:r w:rsidRPr="00723968">
        <w:rPr>
          <w:rFonts w:cs="Arial"/>
        </w:rPr>
        <w:t>The following section summarises key elements of the Authority’s Governance arrangements in place during the year ended 31 March 2024 and up to the date of approval of the statement of accounts. Section 4 sets out the review of effectiveness and section 5 contains the action plan for implementation during 2024/25.</w:t>
      </w:r>
    </w:p>
    <w:p w14:paraId="7C335C55" w14:textId="77777777" w:rsidR="00BE1024" w:rsidRPr="00723968" w:rsidRDefault="00BE1024" w:rsidP="00BE1024">
      <w:pPr>
        <w:rPr>
          <w:rFonts w:cs="Arial"/>
        </w:rPr>
      </w:pPr>
    </w:p>
    <w:p w14:paraId="596A2ABA" w14:textId="77777777" w:rsidR="00BE1024" w:rsidRPr="00723968" w:rsidRDefault="00BE1024" w:rsidP="00BE1024">
      <w:pPr>
        <w:rPr>
          <w:rFonts w:cs="Arial"/>
        </w:rPr>
      </w:pPr>
    </w:p>
    <w:p w14:paraId="58F61988" w14:textId="77777777" w:rsidR="00BE1024" w:rsidRPr="00723968" w:rsidRDefault="00BE1024" w:rsidP="00BE1024">
      <w:pPr>
        <w:numPr>
          <w:ilvl w:val="0"/>
          <w:numId w:val="17"/>
        </w:numPr>
        <w:spacing w:after="160" w:line="259" w:lineRule="auto"/>
        <w:ind w:hanging="643"/>
        <w:contextualSpacing/>
        <w:rPr>
          <w:rFonts w:eastAsia="Calibri" w:cs="Arial"/>
          <w:b/>
          <w:lang w:eastAsia="en-GB"/>
        </w:rPr>
      </w:pPr>
      <w:r w:rsidRPr="00723968">
        <w:rPr>
          <w:rFonts w:eastAsia="Calibri" w:cs="Arial"/>
          <w:b/>
          <w:lang w:eastAsia="en-GB"/>
        </w:rPr>
        <w:t>Governance Arrangements.</w:t>
      </w:r>
    </w:p>
    <w:p w14:paraId="743E48D3" w14:textId="77777777" w:rsidR="00BE1024" w:rsidRPr="00723968" w:rsidRDefault="00BE1024" w:rsidP="00BE1024">
      <w:pPr>
        <w:spacing w:after="160" w:line="259" w:lineRule="auto"/>
        <w:ind w:left="720"/>
        <w:contextualSpacing/>
        <w:rPr>
          <w:rFonts w:eastAsia="Calibri" w:cs="Arial"/>
          <w:b/>
          <w:lang w:eastAsia="en-GB"/>
        </w:rPr>
      </w:pPr>
    </w:p>
    <w:p w14:paraId="147CBF5D" w14:textId="77777777" w:rsidR="00BE1024" w:rsidRPr="00723968" w:rsidRDefault="00BE1024" w:rsidP="00BE1024">
      <w:pPr>
        <w:numPr>
          <w:ilvl w:val="1"/>
          <w:numId w:val="17"/>
        </w:numPr>
        <w:spacing w:after="160" w:line="259" w:lineRule="auto"/>
        <w:ind w:hanging="780"/>
        <w:contextualSpacing/>
        <w:rPr>
          <w:rFonts w:eastAsia="Calibri" w:cs="Arial"/>
          <w:b/>
          <w:lang w:eastAsia="en-GB"/>
        </w:rPr>
      </w:pPr>
      <w:r w:rsidRPr="00723968">
        <w:rPr>
          <w:rFonts w:eastAsia="Calibri" w:cs="Arial"/>
          <w:b/>
          <w:lang w:eastAsia="en-GB"/>
        </w:rPr>
        <w:t xml:space="preserve">The Authority’s Vision </w:t>
      </w:r>
      <w:r w:rsidRPr="00723968">
        <w:rPr>
          <w:rFonts w:eastAsia="Calibri" w:cs="Arial"/>
          <w:b/>
          <w:bCs/>
          <w:lang w:eastAsia="en-GB"/>
        </w:rPr>
        <w:t>–</w:t>
      </w:r>
      <w:r w:rsidRPr="00723968">
        <w:rPr>
          <w:rFonts w:eastAsia="Calibri" w:cs="Arial"/>
          <w:b/>
          <w:lang w:eastAsia="en-GB"/>
        </w:rPr>
        <w:t xml:space="preserve"> Purpose</w:t>
      </w:r>
      <w:r w:rsidRPr="00723968">
        <w:rPr>
          <w:rFonts w:eastAsia="Calibri" w:cs="Arial"/>
          <w:b/>
          <w:bCs/>
          <w:lang w:eastAsia="en-GB"/>
        </w:rPr>
        <w:t>,</w:t>
      </w:r>
      <w:r w:rsidRPr="00723968">
        <w:rPr>
          <w:rFonts w:eastAsia="Calibri" w:cs="Arial"/>
          <w:b/>
          <w:lang w:eastAsia="en-GB"/>
        </w:rPr>
        <w:t xml:space="preserve"> Outcomes and Objectives</w:t>
      </w:r>
    </w:p>
    <w:p w14:paraId="10C61E3E" w14:textId="77777777" w:rsidR="00BE1024" w:rsidRPr="00723968" w:rsidRDefault="00BE1024" w:rsidP="00BE1024">
      <w:pPr>
        <w:spacing w:after="160" w:line="259" w:lineRule="auto"/>
        <w:ind w:left="780"/>
        <w:contextualSpacing/>
        <w:rPr>
          <w:rFonts w:eastAsia="Calibri" w:cs="Arial"/>
          <w:b/>
          <w:lang w:eastAsia="en-GB"/>
        </w:rPr>
      </w:pPr>
    </w:p>
    <w:p w14:paraId="1B82E0A1" w14:textId="77777777" w:rsidR="00BE1024" w:rsidRPr="00723968" w:rsidRDefault="00BE1024" w:rsidP="00BE1024">
      <w:pPr>
        <w:rPr>
          <w:rFonts w:cs="Arial"/>
        </w:rPr>
      </w:pPr>
      <w:r w:rsidRPr="00723968">
        <w:rPr>
          <w:rFonts w:cs="Arial"/>
        </w:rPr>
        <w:t xml:space="preserve">The Authority’s Business Plan is a key document for the Authority, providing the framework for all Authority activity. The strategic outcomes and related Authority objectives set out in the Business Plan are drawn from the Lake District National Park Partnership’s Plan, which is the Management Plan for the National Park. The Partnership Plan highlights strategic outcomes and key actions required to deliver the Vision for the National Park, which have been agreed by all of the partners on the Partnership, and the Authority’s Business Plan identifies the key activities where we are leading or are substantively involved in delivery. It also details the key service objectives for the each of the Authority’s services over the next three years. </w:t>
      </w:r>
    </w:p>
    <w:p w14:paraId="06F04B7F" w14:textId="77777777" w:rsidR="00BE1024" w:rsidRPr="00723968" w:rsidRDefault="00BE1024" w:rsidP="00BE1024">
      <w:pPr>
        <w:rPr>
          <w:rFonts w:cs="Arial"/>
        </w:rPr>
      </w:pPr>
    </w:p>
    <w:p w14:paraId="4B8CF3CB" w14:textId="77777777" w:rsidR="00BE1024" w:rsidRPr="00723968" w:rsidRDefault="00BE1024" w:rsidP="00BE1024">
      <w:pPr>
        <w:rPr>
          <w:rFonts w:cs="Arial"/>
          <w:b/>
        </w:rPr>
      </w:pPr>
      <w:r w:rsidRPr="00723968">
        <w:rPr>
          <w:rFonts w:cs="Arial"/>
        </w:rPr>
        <w:t xml:space="preserve">The Business Plan gives a clear message to the public and our partners about the priorities for the Authority over the course of its 3 year term, setting out where the Authority will be focusing its resources and activity. </w:t>
      </w:r>
    </w:p>
    <w:p w14:paraId="79719679" w14:textId="77777777" w:rsidR="00BE1024" w:rsidRPr="00723968" w:rsidRDefault="00BE1024" w:rsidP="00BE1024">
      <w:pPr>
        <w:rPr>
          <w:rFonts w:cs="Arial"/>
        </w:rPr>
      </w:pPr>
    </w:p>
    <w:p w14:paraId="15A69719" w14:textId="77777777" w:rsidR="00BE1024" w:rsidRPr="00723968" w:rsidRDefault="00BE1024" w:rsidP="00BE1024">
      <w:pPr>
        <w:numPr>
          <w:ilvl w:val="1"/>
          <w:numId w:val="17"/>
        </w:numPr>
        <w:spacing w:after="160" w:line="259" w:lineRule="auto"/>
        <w:ind w:hanging="780"/>
        <w:contextualSpacing/>
        <w:rPr>
          <w:rFonts w:eastAsia="Calibri" w:cs="Arial"/>
          <w:b/>
          <w:lang w:eastAsia="en-GB"/>
        </w:rPr>
      </w:pPr>
      <w:r w:rsidRPr="00723968">
        <w:rPr>
          <w:rFonts w:eastAsia="Calibri" w:cs="Arial"/>
          <w:b/>
          <w:lang w:eastAsia="en-GB"/>
        </w:rPr>
        <w:t>The Authority’s Vision – Implications for Governance Arrangements</w:t>
      </w:r>
    </w:p>
    <w:p w14:paraId="32FF465E" w14:textId="77777777" w:rsidR="00BE1024" w:rsidRPr="00723968" w:rsidRDefault="00BE1024" w:rsidP="00BE1024">
      <w:pPr>
        <w:spacing w:after="160" w:line="259" w:lineRule="auto"/>
        <w:ind w:left="780"/>
        <w:contextualSpacing/>
        <w:rPr>
          <w:rFonts w:eastAsia="Calibri" w:cs="Arial"/>
          <w:b/>
          <w:lang w:eastAsia="en-GB"/>
        </w:rPr>
      </w:pPr>
    </w:p>
    <w:p w14:paraId="063B450A" w14:textId="77777777" w:rsidR="00BE1024" w:rsidRPr="00723968" w:rsidRDefault="00BE1024" w:rsidP="00BE1024">
      <w:pPr>
        <w:rPr>
          <w:rFonts w:cs="Arial"/>
        </w:rPr>
      </w:pPr>
      <w:r w:rsidRPr="00723968">
        <w:rPr>
          <w:rFonts w:cs="Arial"/>
        </w:rPr>
        <w:t xml:space="preserve">The Authority’s direction of travel set out in the Business Plan is reviewed annually with Members to ensure that objectives and actions are still relevant and consistent with our strategic aspirations. Key objectives are reviewed and all of the specific actions forming part of the Authority’s Business Plan have assigned owners. </w:t>
      </w:r>
    </w:p>
    <w:p w14:paraId="2AD44FA6" w14:textId="77777777" w:rsidR="00BE1024" w:rsidRPr="00723968" w:rsidRDefault="00BE1024" w:rsidP="00BE1024">
      <w:pPr>
        <w:rPr>
          <w:rFonts w:cs="Arial"/>
        </w:rPr>
      </w:pPr>
    </w:p>
    <w:p w14:paraId="2E0063EE" w14:textId="77777777" w:rsidR="00BE1024" w:rsidRPr="00723968" w:rsidRDefault="00BE1024" w:rsidP="00BE1024">
      <w:pPr>
        <w:rPr>
          <w:rFonts w:cs="Arial"/>
        </w:rPr>
      </w:pPr>
      <w:r w:rsidRPr="00723968">
        <w:rPr>
          <w:rFonts w:cs="Arial"/>
        </w:rPr>
        <w:t>The Business Plan is underpinned by a set of supporting strategies and detailed Service Plans that set out key activities and measures for each outcome theme in the Business Plan. The Business Plan forms the basis of quarterly performance reports received by the Resources Committee, and monthly reports received by Strategic Leadership Team.</w:t>
      </w:r>
    </w:p>
    <w:p w14:paraId="60066605" w14:textId="77777777" w:rsidR="00BE1024" w:rsidRPr="00723968" w:rsidRDefault="00BE1024" w:rsidP="00BE1024">
      <w:pPr>
        <w:rPr>
          <w:rFonts w:cs="Arial"/>
        </w:rPr>
      </w:pPr>
    </w:p>
    <w:p w14:paraId="7084AF5F" w14:textId="77777777" w:rsidR="00BE1024" w:rsidRPr="00723968" w:rsidRDefault="00BE1024" w:rsidP="00BE1024">
      <w:pPr>
        <w:numPr>
          <w:ilvl w:val="1"/>
          <w:numId w:val="17"/>
        </w:numPr>
        <w:spacing w:after="160" w:line="259" w:lineRule="auto"/>
        <w:ind w:hanging="780"/>
        <w:contextualSpacing/>
        <w:rPr>
          <w:rFonts w:eastAsia="Calibri" w:cs="Arial"/>
          <w:b/>
          <w:lang w:eastAsia="en-GB"/>
        </w:rPr>
      </w:pPr>
      <w:r w:rsidRPr="00723968">
        <w:rPr>
          <w:rFonts w:eastAsia="Calibri" w:cs="Arial"/>
          <w:b/>
          <w:lang w:eastAsia="en-GB"/>
        </w:rPr>
        <w:t xml:space="preserve"> Measuring the Quality of Services</w:t>
      </w:r>
    </w:p>
    <w:p w14:paraId="2D48BC62" w14:textId="77777777" w:rsidR="00BE1024" w:rsidRPr="00723968" w:rsidRDefault="00BE1024" w:rsidP="00BE1024">
      <w:pPr>
        <w:rPr>
          <w:rFonts w:cs="Arial"/>
        </w:rPr>
      </w:pPr>
    </w:p>
    <w:p w14:paraId="5A6FD298" w14:textId="77777777" w:rsidR="00BE1024" w:rsidRPr="00723968" w:rsidRDefault="00BE1024" w:rsidP="00BE1024">
      <w:pPr>
        <w:rPr>
          <w:rFonts w:cs="Arial"/>
        </w:rPr>
      </w:pPr>
      <w:r w:rsidRPr="00723968">
        <w:rPr>
          <w:rFonts w:cs="Arial"/>
        </w:rPr>
        <w:t>Performance within services is measured monthly against performance indicators, which in turn feed into Service Plans monitored by the Strategic Leadership Team. Performance indicators are continually refined and reviewed to ensure their continuing relevance to our operations and to ensure high quality data for business decision making.</w:t>
      </w:r>
    </w:p>
    <w:p w14:paraId="0EEEE6A4" w14:textId="77777777" w:rsidR="00BE1024" w:rsidRPr="00723968" w:rsidRDefault="00BE1024" w:rsidP="00BE1024">
      <w:pPr>
        <w:rPr>
          <w:rFonts w:cs="Arial"/>
        </w:rPr>
      </w:pPr>
    </w:p>
    <w:p w14:paraId="7E12D7BF" w14:textId="77777777" w:rsidR="00BE1024" w:rsidRPr="00723968" w:rsidRDefault="00BE1024" w:rsidP="00BE1024">
      <w:pPr>
        <w:numPr>
          <w:ilvl w:val="1"/>
          <w:numId w:val="17"/>
        </w:numPr>
        <w:spacing w:after="160" w:line="259" w:lineRule="auto"/>
        <w:ind w:hanging="780"/>
        <w:contextualSpacing/>
        <w:rPr>
          <w:rFonts w:eastAsia="Calibri" w:cs="Arial"/>
          <w:b/>
          <w:lang w:eastAsia="en-GB"/>
        </w:rPr>
      </w:pPr>
      <w:r w:rsidRPr="00723968">
        <w:rPr>
          <w:rFonts w:eastAsia="Calibri" w:cs="Arial"/>
          <w:b/>
          <w:lang w:eastAsia="en-GB"/>
        </w:rPr>
        <w:t>Roles and Responsibilities</w:t>
      </w:r>
    </w:p>
    <w:p w14:paraId="33EBC71A" w14:textId="77777777" w:rsidR="00BE1024" w:rsidRPr="00723968" w:rsidRDefault="00BE1024" w:rsidP="00BE1024">
      <w:pPr>
        <w:spacing w:after="160" w:line="259" w:lineRule="auto"/>
        <w:ind w:left="780"/>
        <w:contextualSpacing/>
        <w:rPr>
          <w:rFonts w:eastAsia="Calibri" w:cs="Arial"/>
          <w:b/>
          <w:lang w:eastAsia="en-GB"/>
        </w:rPr>
      </w:pPr>
    </w:p>
    <w:p w14:paraId="77420F14" w14:textId="77777777" w:rsidR="00BE1024" w:rsidRPr="00723968" w:rsidRDefault="00BE1024" w:rsidP="00BE1024">
      <w:pPr>
        <w:rPr>
          <w:rFonts w:cs="Arial"/>
        </w:rPr>
      </w:pPr>
      <w:r w:rsidRPr="00723968">
        <w:rPr>
          <w:rFonts w:cs="Arial"/>
        </w:rPr>
        <w:t>The Authority documents and defines roles and responsibilities in a number of ways. These are set out in the Scheme of Delegation and Terms of Reference for each Committee. The Authority’s role in significant partnerships, such as the Lake District National Park Partnership, is defined and responsibilities within these are understood by relevant parties.</w:t>
      </w:r>
    </w:p>
    <w:p w14:paraId="3C495BEA" w14:textId="77777777" w:rsidR="00BE1024" w:rsidRPr="00723968" w:rsidRDefault="00BE1024" w:rsidP="00BE1024">
      <w:pPr>
        <w:rPr>
          <w:rFonts w:cs="Arial"/>
          <w:b/>
        </w:rPr>
      </w:pPr>
    </w:p>
    <w:p w14:paraId="6557FE57" w14:textId="77777777" w:rsidR="00BE1024" w:rsidRPr="00723968" w:rsidRDefault="00BE1024" w:rsidP="00BE1024">
      <w:pPr>
        <w:numPr>
          <w:ilvl w:val="1"/>
          <w:numId w:val="17"/>
        </w:numPr>
        <w:spacing w:after="160" w:line="259" w:lineRule="auto"/>
        <w:ind w:hanging="780"/>
        <w:contextualSpacing/>
        <w:rPr>
          <w:rFonts w:eastAsia="Calibri" w:cs="Arial"/>
          <w:b/>
          <w:lang w:eastAsia="en-GB"/>
        </w:rPr>
      </w:pPr>
      <w:r w:rsidRPr="00723968">
        <w:rPr>
          <w:rFonts w:eastAsia="Calibri" w:cs="Arial"/>
          <w:b/>
          <w:lang w:eastAsia="en-GB"/>
        </w:rPr>
        <w:t xml:space="preserve"> Governance and People</w:t>
      </w:r>
    </w:p>
    <w:p w14:paraId="7BC543BE" w14:textId="77777777" w:rsidR="00BE1024" w:rsidRPr="00723968" w:rsidRDefault="00BE1024" w:rsidP="00BE1024">
      <w:pPr>
        <w:spacing w:after="160" w:line="259" w:lineRule="auto"/>
        <w:ind w:left="780"/>
        <w:contextualSpacing/>
        <w:rPr>
          <w:rFonts w:eastAsia="Calibri" w:cs="Arial"/>
          <w:b/>
          <w:lang w:eastAsia="en-GB"/>
        </w:rPr>
      </w:pPr>
    </w:p>
    <w:p w14:paraId="59C4BEB1" w14:textId="77777777" w:rsidR="00BE1024" w:rsidRPr="00723968" w:rsidRDefault="00BE1024" w:rsidP="00BE1024">
      <w:pPr>
        <w:rPr>
          <w:rFonts w:cs="Arial"/>
        </w:rPr>
      </w:pPr>
      <w:r w:rsidRPr="00723968">
        <w:rPr>
          <w:rFonts w:cs="Arial"/>
        </w:rPr>
        <w:lastRenderedPageBreak/>
        <w:t xml:space="preserve">The Authority has adopted a suite of core policies, values and behaviours to complement our Vision and these have been agreed by Members and codefied within the Authority Handbook. </w:t>
      </w:r>
    </w:p>
    <w:p w14:paraId="6BD47114" w14:textId="77777777" w:rsidR="00BE1024" w:rsidRPr="00723968" w:rsidRDefault="00BE1024" w:rsidP="00BE1024">
      <w:pPr>
        <w:rPr>
          <w:rFonts w:cs="Arial"/>
        </w:rPr>
      </w:pPr>
    </w:p>
    <w:p w14:paraId="5002F1DE" w14:textId="77777777" w:rsidR="00BE1024" w:rsidRPr="00723968" w:rsidRDefault="00BE1024" w:rsidP="00BE1024">
      <w:pPr>
        <w:rPr>
          <w:rFonts w:cs="Arial"/>
        </w:rPr>
      </w:pPr>
      <w:r w:rsidRPr="00723968">
        <w:rPr>
          <w:rFonts w:cs="Arial"/>
        </w:rPr>
        <w:t xml:space="preserve">The Authority’s Vision, values and behaviours, form a key part of the staff appraisal process and provide staff with a clear definition of the standards of behaviour expected in the Authority. The framework is supported by the Authority’s Officer Code of Conduct and staff induction programme. </w:t>
      </w:r>
    </w:p>
    <w:p w14:paraId="1C05B72E" w14:textId="77777777" w:rsidR="00BE1024" w:rsidRPr="00723968" w:rsidRDefault="00BE1024" w:rsidP="00BE1024">
      <w:pPr>
        <w:rPr>
          <w:rFonts w:cs="Arial"/>
        </w:rPr>
      </w:pPr>
    </w:p>
    <w:p w14:paraId="225117E9" w14:textId="77777777" w:rsidR="00BE1024" w:rsidRPr="00723968" w:rsidRDefault="00BE1024" w:rsidP="00BE1024">
      <w:pPr>
        <w:rPr>
          <w:rFonts w:cs="Arial"/>
        </w:rPr>
      </w:pPr>
      <w:r w:rsidRPr="00723968">
        <w:rPr>
          <w:rFonts w:cs="Arial"/>
        </w:rPr>
        <w:t>To support internal communications we have implemented Microsoft Teams, the Authority intranet was recently reviewed (Waymarker) and OneDrive has been fully rolled out.</w:t>
      </w:r>
    </w:p>
    <w:p w14:paraId="1C0F01F7" w14:textId="77777777" w:rsidR="00BE1024" w:rsidRPr="00723968" w:rsidRDefault="00BE1024" w:rsidP="00BE1024">
      <w:pPr>
        <w:rPr>
          <w:rFonts w:cs="Arial"/>
        </w:rPr>
      </w:pPr>
    </w:p>
    <w:p w14:paraId="06CB1CAD" w14:textId="77777777" w:rsidR="00BE1024" w:rsidRPr="00723968" w:rsidRDefault="00BE1024" w:rsidP="00BE1024">
      <w:pPr>
        <w:rPr>
          <w:rFonts w:cs="Arial"/>
        </w:rPr>
      </w:pPr>
      <w:r w:rsidRPr="00723968">
        <w:rPr>
          <w:rFonts w:cs="Arial"/>
        </w:rPr>
        <w:t>In 2023/24 Members have had access to training and away hours of relevance to their role. There was a significant influx of new Members following local government re-organisation, and this increased the need for Member training particularly comprehensive inductions.</w:t>
      </w:r>
    </w:p>
    <w:p w14:paraId="3917D850" w14:textId="77777777" w:rsidR="00BE1024" w:rsidRPr="00723968" w:rsidRDefault="00BE1024" w:rsidP="00BE1024">
      <w:pPr>
        <w:rPr>
          <w:rFonts w:cs="Arial"/>
        </w:rPr>
      </w:pPr>
    </w:p>
    <w:p w14:paraId="62D24921" w14:textId="77777777" w:rsidR="00BE1024" w:rsidRPr="00723968" w:rsidRDefault="00BE1024" w:rsidP="00BE1024">
      <w:pPr>
        <w:rPr>
          <w:rFonts w:cs="Arial"/>
        </w:rPr>
      </w:pPr>
      <w:r w:rsidRPr="00723968">
        <w:rPr>
          <w:rFonts w:cs="Arial"/>
        </w:rPr>
        <w:t xml:space="preserve">Our processes for induction and management of volunteers ensures a near seamless provision of services between staff and volunteers and they are integral to our visitor management activities in the National Park. </w:t>
      </w:r>
    </w:p>
    <w:p w14:paraId="384C6F8C" w14:textId="77777777" w:rsidR="00BE1024" w:rsidRPr="00723968" w:rsidRDefault="00BE1024" w:rsidP="00BE1024">
      <w:pPr>
        <w:rPr>
          <w:rFonts w:cs="Arial"/>
        </w:rPr>
      </w:pPr>
    </w:p>
    <w:p w14:paraId="676031A9" w14:textId="77777777" w:rsidR="00BE1024" w:rsidRPr="00723968" w:rsidRDefault="00BE1024" w:rsidP="00BE1024">
      <w:pPr>
        <w:rPr>
          <w:rFonts w:cs="Arial"/>
        </w:rPr>
      </w:pPr>
      <w:r w:rsidRPr="00723968">
        <w:rPr>
          <w:rFonts w:cs="Arial"/>
        </w:rPr>
        <w:t xml:space="preserve">We continue to prioritise management arrangements around equalities legislation to ensure we fulfil our obligations to promote social inclusion as a public body. In our Partnership Plan and Business Plan we have identified a “Lake District for Everyone” as a strategic priority to ensure we continue to work to promote accessibility and inclusion in the delivery of our services and the management of the National Park.  </w:t>
      </w:r>
    </w:p>
    <w:p w14:paraId="705E1E7F" w14:textId="77777777" w:rsidR="00BE1024" w:rsidRPr="00723968" w:rsidRDefault="00BE1024" w:rsidP="00BE1024">
      <w:pPr>
        <w:rPr>
          <w:rFonts w:eastAsia="Calibri" w:cs="Arial"/>
          <w:lang w:eastAsia="en-GB"/>
        </w:rPr>
      </w:pPr>
    </w:p>
    <w:p w14:paraId="65C4E2DF" w14:textId="77777777" w:rsidR="00BE1024" w:rsidRPr="00723968" w:rsidRDefault="00BE1024" w:rsidP="00BE1024">
      <w:pPr>
        <w:rPr>
          <w:rFonts w:eastAsia="Calibri" w:cs="Arial"/>
          <w:b/>
          <w:lang w:eastAsia="en-GB"/>
        </w:rPr>
      </w:pPr>
    </w:p>
    <w:p w14:paraId="4D408537" w14:textId="77777777" w:rsidR="00BE1024" w:rsidRPr="00723968" w:rsidRDefault="00BE1024" w:rsidP="00BE1024">
      <w:pPr>
        <w:pStyle w:val="ListParagraph"/>
        <w:numPr>
          <w:ilvl w:val="1"/>
          <w:numId w:val="17"/>
        </w:numPr>
        <w:ind w:left="567" w:hanging="567"/>
        <w:contextualSpacing w:val="0"/>
        <w:rPr>
          <w:rFonts w:cs="Arial"/>
          <w:szCs w:val="23"/>
          <w:u w:val="none"/>
        </w:rPr>
      </w:pPr>
      <w:r w:rsidRPr="00723968">
        <w:rPr>
          <w:rFonts w:cs="Arial"/>
          <w:b/>
          <w:szCs w:val="23"/>
          <w:u w:val="none"/>
        </w:rPr>
        <w:t>Risk Management</w:t>
      </w:r>
    </w:p>
    <w:p w14:paraId="3F4360A7" w14:textId="77777777" w:rsidR="00BE1024" w:rsidRPr="00723968" w:rsidRDefault="00BE1024" w:rsidP="00BE1024">
      <w:pPr>
        <w:spacing w:after="160" w:line="259" w:lineRule="auto"/>
        <w:ind w:left="780"/>
        <w:contextualSpacing/>
        <w:rPr>
          <w:rFonts w:eastAsia="Calibri" w:cs="Arial"/>
          <w:lang w:eastAsia="en-GB"/>
        </w:rPr>
      </w:pPr>
    </w:p>
    <w:p w14:paraId="16DFC00F" w14:textId="77777777" w:rsidR="00BE1024" w:rsidRPr="00723968" w:rsidRDefault="00BE1024" w:rsidP="00BE1024">
      <w:pPr>
        <w:rPr>
          <w:rFonts w:cs="Arial"/>
        </w:rPr>
      </w:pPr>
      <w:r w:rsidRPr="00723968">
        <w:rPr>
          <w:rFonts w:cs="Arial"/>
        </w:rPr>
        <w:t>To support the need for continuous improvement, the Authority has developed an integrated assurance framework to contribute to the delivery of the objectives and actions set out in the Business Plan. This is embedded into service planning and day-to-day risk management processes. The risk management framework was awarded substantial assurance during the 2023/24 internal audit review.</w:t>
      </w:r>
    </w:p>
    <w:p w14:paraId="20D7CDAD" w14:textId="77777777" w:rsidR="00BE1024" w:rsidRPr="00723968" w:rsidRDefault="00BE1024" w:rsidP="00BE1024">
      <w:pPr>
        <w:rPr>
          <w:rFonts w:cs="Arial"/>
        </w:rPr>
      </w:pPr>
    </w:p>
    <w:p w14:paraId="11FA319A" w14:textId="77777777" w:rsidR="00BE1024" w:rsidRPr="00723968" w:rsidRDefault="00BE1024" w:rsidP="00BE1024">
      <w:pPr>
        <w:rPr>
          <w:rFonts w:cs="Arial"/>
        </w:rPr>
      </w:pPr>
      <w:r w:rsidRPr="00723968">
        <w:rPr>
          <w:rFonts w:cs="Arial"/>
        </w:rPr>
        <w:t xml:space="preserve">Key corporate and business risks are discussed at monthly Strategic Leadership Team meetings and all risk owners are clear of their roles and responsibilities within the risk management framework. Communication of risk as part of the quarterly Finance, Performance and Risk report ensures the Authority’s Members have an opportunity to comment and contribute. </w:t>
      </w:r>
    </w:p>
    <w:p w14:paraId="464DACEC" w14:textId="77777777" w:rsidR="00BE1024" w:rsidRPr="00723968" w:rsidRDefault="00BE1024" w:rsidP="00BE1024">
      <w:pPr>
        <w:rPr>
          <w:rFonts w:cs="Arial"/>
          <w:b/>
        </w:rPr>
      </w:pPr>
    </w:p>
    <w:p w14:paraId="2CEFBA9E" w14:textId="77777777" w:rsidR="00BE1024" w:rsidRPr="00723968" w:rsidRDefault="00BE1024" w:rsidP="00BE1024">
      <w:pPr>
        <w:numPr>
          <w:ilvl w:val="1"/>
          <w:numId w:val="17"/>
        </w:numPr>
        <w:spacing w:after="160" w:line="259" w:lineRule="auto"/>
        <w:ind w:hanging="780"/>
        <w:contextualSpacing/>
        <w:rPr>
          <w:rFonts w:eastAsia="Calibri" w:cs="Arial"/>
          <w:b/>
          <w:lang w:eastAsia="en-GB"/>
        </w:rPr>
      </w:pPr>
      <w:r w:rsidRPr="00723968">
        <w:rPr>
          <w:rFonts w:eastAsia="Calibri" w:cs="Arial"/>
          <w:b/>
          <w:lang w:eastAsia="en-GB"/>
        </w:rPr>
        <w:t>Ensuring Effective Counter-fraud and Anti-corruption Arrangements are Developed and Maintained</w:t>
      </w:r>
    </w:p>
    <w:p w14:paraId="03D713EC" w14:textId="77777777" w:rsidR="00BE1024" w:rsidRPr="00723968" w:rsidRDefault="00BE1024" w:rsidP="00BE1024">
      <w:pPr>
        <w:spacing w:after="160" w:line="259" w:lineRule="auto"/>
        <w:ind w:left="780"/>
        <w:contextualSpacing/>
        <w:rPr>
          <w:rFonts w:eastAsia="Calibri" w:cs="Arial"/>
          <w:b/>
          <w:lang w:eastAsia="en-GB"/>
        </w:rPr>
      </w:pPr>
    </w:p>
    <w:p w14:paraId="6D23F403" w14:textId="77777777" w:rsidR="00BE1024" w:rsidRPr="00723968" w:rsidRDefault="00BE1024" w:rsidP="00BE1024">
      <w:pPr>
        <w:rPr>
          <w:rFonts w:cs="Arial"/>
        </w:rPr>
      </w:pPr>
      <w:r w:rsidRPr="00723968">
        <w:rPr>
          <w:rFonts w:cs="Arial"/>
        </w:rPr>
        <w:t xml:space="preserve">The Authority complies with CIPFA’s Code of Practice on Managing the Risk of Fraud and Corruption. It has an Anti-Fraud Theft and Corruption Policy that remains appropriate and fit for purpose. </w:t>
      </w:r>
    </w:p>
    <w:p w14:paraId="17550889" w14:textId="77777777" w:rsidR="00BE1024" w:rsidRPr="00723968" w:rsidRDefault="00BE1024" w:rsidP="00BE1024">
      <w:pPr>
        <w:rPr>
          <w:rFonts w:cs="Arial"/>
        </w:rPr>
      </w:pPr>
    </w:p>
    <w:p w14:paraId="3435238C" w14:textId="77777777" w:rsidR="00BE1024" w:rsidRPr="00723968" w:rsidRDefault="00BE1024" w:rsidP="00BE1024">
      <w:pPr>
        <w:rPr>
          <w:rFonts w:cs="Arial"/>
        </w:rPr>
      </w:pPr>
      <w:r w:rsidRPr="00723968">
        <w:rPr>
          <w:rFonts w:cs="Arial"/>
        </w:rPr>
        <w:t xml:space="preserve">Employees are made aware of its requirements in detail as part of our induction arrangements, Officer Code of Conduct. Employees must comply with our Financial Regulations and Contract Standing Orders and demonstrate high standards of probity when dealing with the Authority’s affairs. We also operate a Disciplinary and Capability procedure for allegations of fraud and corruption by officers. Members must operate within our adopted Code of Conduct for Members of the Lake District National Park Authority and with Standing Orders. The Members Handbook sets out the relevant requirements. </w:t>
      </w:r>
    </w:p>
    <w:p w14:paraId="75A1790A" w14:textId="77777777" w:rsidR="00BE1024" w:rsidRPr="00723968" w:rsidRDefault="00BE1024" w:rsidP="00BE1024">
      <w:pPr>
        <w:rPr>
          <w:rFonts w:cs="Arial"/>
        </w:rPr>
      </w:pPr>
    </w:p>
    <w:p w14:paraId="4EAD63E7" w14:textId="77777777" w:rsidR="00BE1024" w:rsidRPr="00723968" w:rsidRDefault="00BE1024" w:rsidP="00BE1024">
      <w:pPr>
        <w:rPr>
          <w:rFonts w:cs="Arial"/>
        </w:rPr>
      </w:pPr>
      <w:r w:rsidRPr="00723968">
        <w:rPr>
          <w:rFonts w:cs="Arial"/>
        </w:rPr>
        <w:lastRenderedPageBreak/>
        <w:t xml:space="preserve">The Authority operates a culture in which high standards of conduct and probity are expected, and this is supported by strong organisational policies and procedures. We deploy sufficient resources to the prevention and detection of fraud and our policies and procedures in this regard are sound. No instances of fraud or corruption were upheld in the 2023/24 financial year. </w:t>
      </w:r>
    </w:p>
    <w:p w14:paraId="6CDE64B7" w14:textId="77777777" w:rsidR="00BE1024" w:rsidRPr="00723968" w:rsidRDefault="00BE1024" w:rsidP="00BE1024">
      <w:pPr>
        <w:rPr>
          <w:rFonts w:cs="Arial"/>
        </w:rPr>
      </w:pPr>
    </w:p>
    <w:p w14:paraId="2ACAAB7B" w14:textId="77777777" w:rsidR="00BE1024" w:rsidRPr="00723968" w:rsidRDefault="00BE1024" w:rsidP="00BE1024">
      <w:pPr>
        <w:rPr>
          <w:rFonts w:cs="Arial"/>
        </w:rPr>
      </w:pPr>
      <w:r w:rsidRPr="00723968">
        <w:rPr>
          <w:rFonts w:cs="Arial"/>
        </w:rPr>
        <w:t>Managers ensure that staff are aware of the Authority’s values, standards and behaviours. The internal control environment is regularly reviewed through the work of internal and external audit. Internal audit have reviewed our arrangements and resourcing for the prevention, detection of fraud, theft or corruption and are satisfied with our approach. Risks around fraud are discussed with the internal auditors (TIAA) as part of preparation of the annual internal audit plan.</w:t>
      </w:r>
    </w:p>
    <w:p w14:paraId="3C214FD9" w14:textId="77777777" w:rsidR="00BE1024" w:rsidRPr="00723968" w:rsidRDefault="00BE1024" w:rsidP="00BE1024">
      <w:pPr>
        <w:rPr>
          <w:rFonts w:cs="Arial"/>
          <w:i/>
        </w:rPr>
      </w:pPr>
    </w:p>
    <w:p w14:paraId="6500FA37" w14:textId="77777777" w:rsidR="00BE1024" w:rsidRPr="00723968" w:rsidRDefault="00BE1024" w:rsidP="00BE1024">
      <w:pPr>
        <w:numPr>
          <w:ilvl w:val="1"/>
          <w:numId w:val="17"/>
        </w:numPr>
        <w:spacing w:after="160" w:line="259" w:lineRule="auto"/>
        <w:ind w:hanging="780"/>
        <w:contextualSpacing/>
        <w:rPr>
          <w:rFonts w:eastAsia="Calibri" w:cs="Arial"/>
          <w:lang w:eastAsia="en-GB"/>
        </w:rPr>
      </w:pPr>
      <w:r w:rsidRPr="00723968">
        <w:rPr>
          <w:rFonts w:eastAsia="Calibri" w:cs="Arial"/>
          <w:b/>
          <w:lang w:eastAsia="en-GB"/>
        </w:rPr>
        <w:t>Financial Management Arrangements</w:t>
      </w:r>
    </w:p>
    <w:p w14:paraId="718C0DA2" w14:textId="77777777" w:rsidR="00BE1024" w:rsidRPr="00723968" w:rsidRDefault="00BE1024" w:rsidP="00BE1024">
      <w:pPr>
        <w:spacing w:after="160" w:line="259" w:lineRule="auto"/>
        <w:ind w:left="780"/>
        <w:contextualSpacing/>
        <w:rPr>
          <w:rFonts w:eastAsia="Calibri" w:cs="Arial"/>
          <w:lang w:eastAsia="en-GB"/>
        </w:rPr>
      </w:pPr>
    </w:p>
    <w:p w14:paraId="24F3F125" w14:textId="77777777" w:rsidR="00BE1024" w:rsidRPr="00723968" w:rsidRDefault="00BE1024" w:rsidP="00BE1024">
      <w:pPr>
        <w:rPr>
          <w:rFonts w:cs="Arial"/>
        </w:rPr>
      </w:pPr>
      <w:r w:rsidRPr="00723968">
        <w:rPr>
          <w:rFonts w:cs="Arial"/>
        </w:rPr>
        <w:t>The Authority’s financial management arrangements conform to the Governance requirements of CIPFA’s “Statement on the Role of the Chief Financial Officer in Local Government” as the Head of Resources (S151 Officer) has full access to the Strategic Leadership Team and the Chief Executive. The Head of Resources is designated as the responsible officer for the administration of the Authority’s financial affairs under Section 151 of the Local Government Act 1972. Responsibilities are defined in the Scheme of Delegation. The S151 Officer oversees the development and work of the financial management function at the Authority and is its responsible officer for matters of financial administration. The post holder is a professionally qualified as an accountant with suitable experience, supported by a finance team with 4 qualified accountants (3 of whom are CIPFA qualified) with extensive local government experience.</w:t>
      </w:r>
    </w:p>
    <w:p w14:paraId="3D76E47E" w14:textId="77777777" w:rsidR="00BE1024" w:rsidRPr="00723968" w:rsidRDefault="00BE1024" w:rsidP="00BE1024">
      <w:pPr>
        <w:rPr>
          <w:rFonts w:cs="Arial"/>
        </w:rPr>
      </w:pPr>
    </w:p>
    <w:p w14:paraId="15289DA1" w14:textId="77777777" w:rsidR="00BE1024" w:rsidRPr="00723968" w:rsidRDefault="00BE1024" w:rsidP="00BE1024">
      <w:pPr>
        <w:rPr>
          <w:rFonts w:cs="Arial"/>
        </w:rPr>
      </w:pPr>
      <w:r w:rsidRPr="00723968">
        <w:rPr>
          <w:rFonts w:cs="Arial"/>
        </w:rPr>
        <w:t>The Authority operates a Commercial Strategy Board (CSB), which comprises Members and senior officers. The Board considers appropriate investments that support delivery of National Park objectives and improve our financial resilience as outlined in our Medium Term Financial Strategy. Lakeshore Phase 2 and Hawkshead TIC both came through CSB; Hawkshead TIC opened in February 2024 and Lakeshore Phase 2 is on progress to become operational during Q1 in 2024/25.</w:t>
      </w:r>
    </w:p>
    <w:p w14:paraId="5233D386" w14:textId="77777777" w:rsidR="00BE1024" w:rsidRPr="00723968" w:rsidRDefault="00BE1024" w:rsidP="00BE1024">
      <w:pPr>
        <w:rPr>
          <w:rFonts w:cs="Arial"/>
        </w:rPr>
      </w:pPr>
    </w:p>
    <w:p w14:paraId="294691B3" w14:textId="77777777" w:rsidR="00BE1024" w:rsidRPr="00723968" w:rsidRDefault="00BE1024" w:rsidP="00BE1024">
      <w:r w:rsidRPr="00723968">
        <w:t xml:space="preserve">CIPFA’s Financial Management Code sets out good practice in financial management to assist local authorities in demonstrating their financial stability. The Authority is compliant with most major elements of the code and considerable work has been undertaken to strengthen compliance further including the development of a Financial Resilience Assessment and ensuring compliance with the revised Prudential Code for Capital Finance for Local Authorities. </w:t>
      </w:r>
    </w:p>
    <w:p w14:paraId="13504796" w14:textId="77777777" w:rsidR="00BE1024" w:rsidRPr="00723968" w:rsidRDefault="00BE1024" w:rsidP="00BE1024">
      <w:pPr>
        <w:rPr>
          <w:b/>
          <w:i/>
        </w:rPr>
      </w:pPr>
    </w:p>
    <w:p w14:paraId="09D70AE1" w14:textId="77777777" w:rsidR="00BE1024" w:rsidRPr="00723968" w:rsidRDefault="00BE1024" w:rsidP="00BE1024">
      <w:pPr>
        <w:rPr>
          <w:rFonts w:cs="Arial"/>
          <w:b/>
        </w:rPr>
      </w:pPr>
    </w:p>
    <w:p w14:paraId="19C914DC" w14:textId="77777777" w:rsidR="00BE1024" w:rsidRPr="00723968" w:rsidRDefault="00BE1024" w:rsidP="00BE1024">
      <w:pPr>
        <w:numPr>
          <w:ilvl w:val="1"/>
          <w:numId w:val="17"/>
        </w:numPr>
        <w:spacing w:after="160" w:line="259" w:lineRule="auto"/>
        <w:ind w:hanging="780"/>
        <w:contextualSpacing/>
        <w:rPr>
          <w:rFonts w:eastAsia="Calibri" w:cs="Arial"/>
          <w:b/>
          <w:lang w:eastAsia="en-GB"/>
        </w:rPr>
      </w:pPr>
      <w:r w:rsidRPr="00723968">
        <w:rPr>
          <w:rFonts w:eastAsia="Calibri" w:cs="Arial"/>
          <w:b/>
          <w:lang w:eastAsia="en-GB"/>
        </w:rPr>
        <w:t>Financial Monitoring and Reporting</w:t>
      </w:r>
    </w:p>
    <w:p w14:paraId="5231FB76" w14:textId="77777777" w:rsidR="00BE1024" w:rsidRPr="00723968" w:rsidRDefault="00BE1024" w:rsidP="00BE1024">
      <w:pPr>
        <w:spacing w:after="160" w:line="259" w:lineRule="auto"/>
        <w:ind w:left="780"/>
        <w:contextualSpacing/>
        <w:rPr>
          <w:rFonts w:eastAsia="Calibri" w:cs="Arial"/>
          <w:b/>
          <w:lang w:eastAsia="en-GB"/>
        </w:rPr>
      </w:pPr>
    </w:p>
    <w:p w14:paraId="6288B8E7" w14:textId="77777777" w:rsidR="00BE1024" w:rsidRPr="00723968" w:rsidRDefault="00BE1024" w:rsidP="00BE1024">
      <w:pPr>
        <w:rPr>
          <w:rFonts w:cs="Arial"/>
        </w:rPr>
      </w:pPr>
      <w:r w:rsidRPr="00723968">
        <w:rPr>
          <w:rFonts w:cs="Arial"/>
        </w:rPr>
        <w:t>The Executive Board receive monthly financial performance reports. Members receive quarterly reports including revenue monitoring and forecast projections to the end of the financial year. Budget managers are allocated a business partner and budgets are reviewed jointly on a monthly basis to inform the reporting to Executive Board and Members.</w:t>
      </w:r>
    </w:p>
    <w:p w14:paraId="322A6A5C" w14:textId="77777777" w:rsidR="00BE1024" w:rsidRPr="00723968" w:rsidRDefault="00BE1024" w:rsidP="00BE1024">
      <w:pPr>
        <w:rPr>
          <w:rFonts w:cs="Arial"/>
        </w:rPr>
      </w:pPr>
    </w:p>
    <w:p w14:paraId="203F093D" w14:textId="77777777" w:rsidR="00BE1024" w:rsidRPr="00723968" w:rsidRDefault="00BE1024" w:rsidP="00BE1024">
      <w:pPr>
        <w:numPr>
          <w:ilvl w:val="1"/>
          <w:numId w:val="17"/>
        </w:numPr>
        <w:spacing w:after="160" w:line="259" w:lineRule="auto"/>
        <w:ind w:hanging="780"/>
        <w:contextualSpacing/>
        <w:rPr>
          <w:rFonts w:eastAsia="Calibri" w:cs="Arial"/>
          <w:b/>
          <w:lang w:eastAsia="en-GB"/>
        </w:rPr>
      </w:pPr>
      <w:r w:rsidRPr="00723968">
        <w:rPr>
          <w:rFonts w:eastAsia="Calibri" w:cs="Arial"/>
          <w:b/>
          <w:lang w:eastAsia="en-GB"/>
        </w:rPr>
        <w:t>Ensuring Effective Arrangements are in Place to Perform the Monitoring Officer Function</w:t>
      </w:r>
    </w:p>
    <w:p w14:paraId="2D523D62" w14:textId="77777777" w:rsidR="00BE1024" w:rsidRPr="00723968" w:rsidRDefault="00BE1024" w:rsidP="00BE1024">
      <w:pPr>
        <w:spacing w:after="160" w:line="259" w:lineRule="auto"/>
        <w:contextualSpacing/>
        <w:rPr>
          <w:rFonts w:eastAsia="Calibri" w:cs="Arial"/>
          <w:lang w:eastAsia="en-GB"/>
        </w:rPr>
      </w:pPr>
    </w:p>
    <w:p w14:paraId="4709925F" w14:textId="77777777" w:rsidR="00BE1024" w:rsidRPr="00723968" w:rsidRDefault="00BE1024" w:rsidP="00BE1024">
      <w:pPr>
        <w:contextualSpacing/>
        <w:rPr>
          <w:rFonts w:eastAsia="Calibri" w:cs="Arial"/>
          <w:lang w:eastAsia="en-GB"/>
        </w:rPr>
      </w:pPr>
      <w:r w:rsidRPr="00723968">
        <w:rPr>
          <w:rFonts w:eastAsia="Calibri" w:cs="Arial"/>
          <w:lang w:eastAsia="en-GB"/>
        </w:rPr>
        <w:t xml:space="preserve">The Director of Sustainable Development is the Authority’s Monitoring Officer. This officer has a duty to report to the Authority and Executive where they are of the opinion that any proposal, decision or omission will give rise to unlawfulness or if any decision or omission has given rise </w:t>
      </w:r>
      <w:r w:rsidRPr="00723968">
        <w:rPr>
          <w:rFonts w:eastAsia="Calibri" w:cs="Arial"/>
          <w:lang w:eastAsia="en-GB"/>
        </w:rPr>
        <w:lastRenderedPageBreak/>
        <w:t xml:space="preserve">to or would constitute maladministration. The Monitoring Officer provides a range of functions relating to the conduct of Members (for example maintaining the Register of Members’ Interests, Code of Conduct complaints etc.) advising the Governance Committee.  </w:t>
      </w:r>
    </w:p>
    <w:p w14:paraId="55412213" w14:textId="77777777" w:rsidR="00BE1024" w:rsidRPr="00723968" w:rsidRDefault="00BE1024" w:rsidP="00BE1024">
      <w:pPr>
        <w:contextualSpacing/>
        <w:rPr>
          <w:rFonts w:eastAsia="Calibri" w:cs="Arial"/>
          <w:lang w:eastAsia="en-GB"/>
        </w:rPr>
      </w:pPr>
    </w:p>
    <w:p w14:paraId="3EC50B65" w14:textId="77777777" w:rsidR="00BE1024" w:rsidRPr="00723968" w:rsidRDefault="00BE1024" w:rsidP="00BE1024">
      <w:pPr>
        <w:contextualSpacing/>
        <w:rPr>
          <w:rFonts w:cs="Arial"/>
        </w:rPr>
      </w:pPr>
      <w:r w:rsidRPr="00723968">
        <w:rPr>
          <w:rFonts w:cs="Arial"/>
        </w:rPr>
        <w:t>The Monitoring Officer is supported in his role by the Authority Solicitor (the Authority’s Deputy Monitoring Officer) who advises on legal matters, attends Executive Board and Committee meetings to support lawful decision making, and provides a legal commentary on reports to Members.</w:t>
      </w:r>
    </w:p>
    <w:p w14:paraId="2852E906" w14:textId="77777777" w:rsidR="00BE1024" w:rsidRPr="00723968" w:rsidRDefault="00BE1024" w:rsidP="00BE1024">
      <w:pPr>
        <w:spacing w:after="160" w:line="259" w:lineRule="auto"/>
        <w:contextualSpacing/>
        <w:rPr>
          <w:rFonts w:eastAsia="Calibri" w:cs="Arial"/>
          <w:lang w:eastAsia="en-GB"/>
        </w:rPr>
      </w:pPr>
    </w:p>
    <w:p w14:paraId="0FC26206" w14:textId="77777777" w:rsidR="00BE1024" w:rsidRPr="00723968" w:rsidRDefault="00BE1024" w:rsidP="00BE1024">
      <w:pPr>
        <w:numPr>
          <w:ilvl w:val="1"/>
          <w:numId w:val="17"/>
        </w:numPr>
        <w:spacing w:after="160" w:line="259" w:lineRule="auto"/>
        <w:ind w:hanging="780"/>
        <w:contextualSpacing/>
        <w:rPr>
          <w:rFonts w:eastAsia="Calibri" w:cs="Arial"/>
          <w:b/>
          <w:lang w:eastAsia="en-GB"/>
        </w:rPr>
      </w:pPr>
      <w:r w:rsidRPr="00723968">
        <w:rPr>
          <w:rFonts w:eastAsia="Calibri" w:cs="Arial"/>
          <w:b/>
          <w:lang w:eastAsia="en-GB"/>
        </w:rPr>
        <w:t>Ensuring Effective Arrangements are In Place to Perform the Head of Paid Service Function</w:t>
      </w:r>
    </w:p>
    <w:p w14:paraId="2F3747AA" w14:textId="77777777" w:rsidR="00BE1024" w:rsidRPr="00723968" w:rsidRDefault="00BE1024" w:rsidP="00BE1024">
      <w:pPr>
        <w:spacing w:after="160" w:line="259" w:lineRule="auto"/>
        <w:ind w:left="780"/>
        <w:contextualSpacing/>
        <w:rPr>
          <w:rFonts w:eastAsia="Calibri" w:cs="Arial"/>
          <w:b/>
          <w:lang w:eastAsia="en-GB"/>
        </w:rPr>
      </w:pPr>
    </w:p>
    <w:p w14:paraId="76C5032C" w14:textId="77777777" w:rsidR="00BE1024" w:rsidRPr="00723968" w:rsidRDefault="00BE1024" w:rsidP="00BE1024">
      <w:pPr>
        <w:contextualSpacing/>
        <w:rPr>
          <w:rFonts w:cs="Arial"/>
        </w:rPr>
      </w:pPr>
      <w:r w:rsidRPr="00723968">
        <w:rPr>
          <w:rFonts w:cs="Arial"/>
        </w:rPr>
        <w:t>The Authority’s Head of Paid Service is the Chief Executive who is responsible and accountable to the Authority for all aspects of operational management. The Chief Executive works closely with the Authority Chair and Deputy and Committee Chairs and Members in line with the principal contained within the Authority’s Local Code of Corporate Governance about Members and officers working together to achieve a common purpose with clearly defined functions and roles. During 2023/24 the current Chief Executive announced his intention to leave the Authority during 2024/25. Significant work has already commenced to recruit a new Chief Executive to ensure there is sufficient handover and an orderly on-boarding process.</w:t>
      </w:r>
    </w:p>
    <w:p w14:paraId="7F179495" w14:textId="77777777" w:rsidR="00BE1024" w:rsidRPr="00723968" w:rsidRDefault="00BE1024" w:rsidP="00BE1024">
      <w:pPr>
        <w:contextualSpacing/>
        <w:rPr>
          <w:rFonts w:cs="Arial"/>
        </w:rPr>
      </w:pPr>
    </w:p>
    <w:p w14:paraId="46AC2405" w14:textId="77777777" w:rsidR="00BE1024" w:rsidRPr="00723968" w:rsidRDefault="00BE1024" w:rsidP="00BE1024">
      <w:pPr>
        <w:contextualSpacing/>
        <w:rPr>
          <w:rFonts w:cs="Arial"/>
        </w:rPr>
      </w:pPr>
      <w:r w:rsidRPr="00723968">
        <w:rPr>
          <w:rFonts w:cs="Arial"/>
        </w:rPr>
        <w:t xml:space="preserve">The Chief Executive is supported in his role by the Directors, and has regular access to and contact with the Members through formal and informal meetings. The Strategic Leadership Team also supports this role, and consists of the Executive Board and Heads of Service meeting monthly to discuss strategic developments and business performance, and informally on a weekly basis to discuss any immediate issues. </w:t>
      </w:r>
    </w:p>
    <w:p w14:paraId="54EEB273" w14:textId="77777777" w:rsidR="00BE1024" w:rsidRPr="00723968" w:rsidRDefault="00BE1024" w:rsidP="00BE1024">
      <w:pPr>
        <w:rPr>
          <w:b/>
        </w:rPr>
      </w:pPr>
    </w:p>
    <w:p w14:paraId="6440CF6D" w14:textId="77777777" w:rsidR="00BE1024" w:rsidRPr="00723968" w:rsidRDefault="00BE1024" w:rsidP="00BE1024">
      <w:pPr>
        <w:pStyle w:val="ListParagraph"/>
        <w:numPr>
          <w:ilvl w:val="1"/>
          <w:numId w:val="17"/>
        </w:numPr>
        <w:spacing w:after="160" w:line="259" w:lineRule="auto"/>
        <w:ind w:hanging="780"/>
        <w:rPr>
          <w:rFonts w:cs="Arial"/>
          <w:b/>
          <w:szCs w:val="23"/>
          <w:u w:val="none"/>
        </w:rPr>
      </w:pPr>
      <w:r w:rsidRPr="00723968">
        <w:rPr>
          <w:rFonts w:cs="Arial"/>
          <w:b/>
          <w:szCs w:val="23"/>
          <w:u w:val="none"/>
        </w:rPr>
        <w:t>Governance Committee</w:t>
      </w:r>
    </w:p>
    <w:p w14:paraId="256266C9" w14:textId="77777777" w:rsidR="00BE1024" w:rsidRPr="00723968" w:rsidRDefault="00BE1024" w:rsidP="00BE1024">
      <w:pPr>
        <w:rPr>
          <w:rFonts w:cs="Arial"/>
          <w:bCs/>
        </w:rPr>
      </w:pPr>
      <w:r w:rsidRPr="00723968">
        <w:rPr>
          <w:rFonts w:cs="Arial"/>
        </w:rPr>
        <w:t>The Authority has established a Governance Committee to oversee the workings of the corporate governance arrangements of the Authority and to report to the Authority on these and related financial probity issues. The Governance Committee operates within CIPFA’s “Audit Committees – Practical Guidance for Local Authorities”.</w:t>
      </w:r>
      <w:r w:rsidRPr="00723968">
        <w:rPr>
          <w:rFonts w:cs="Arial"/>
          <w:b/>
        </w:rPr>
        <w:t xml:space="preserve"> </w:t>
      </w:r>
      <w:r w:rsidRPr="00723968">
        <w:rPr>
          <w:rFonts w:cs="Arial"/>
          <w:bCs/>
        </w:rPr>
        <w:t>The external auditor’s VFM opinion raised a recommendation around the need for self assessment of effectiveness and this was included in the AGS action plan for 2023/24 and has been implemented.</w:t>
      </w:r>
    </w:p>
    <w:p w14:paraId="4B0DECDC" w14:textId="77777777" w:rsidR="00BE1024" w:rsidRPr="00723968" w:rsidRDefault="00BE1024" w:rsidP="00BE1024">
      <w:pPr>
        <w:rPr>
          <w:rFonts w:cs="Arial"/>
          <w:bCs/>
        </w:rPr>
      </w:pPr>
    </w:p>
    <w:p w14:paraId="70448478" w14:textId="77777777" w:rsidR="00BE1024" w:rsidRPr="00723968" w:rsidRDefault="00BE1024" w:rsidP="00BE1024">
      <w:pPr>
        <w:rPr>
          <w:rFonts w:cs="Arial"/>
          <w:i/>
        </w:rPr>
      </w:pPr>
    </w:p>
    <w:p w14:paraId="0F9AD38D" w14:textId="77777777" w:rsidR="00BE1024" w:rsidRPr="00723968" w:rsidRDefault="00BE1024" w:rsidP="00BE1024">
      <w:pPr>
        <w:numPr>
          <w:ilvl w:val="1"/>
          <w:numId w:val="17"/>
        </w:numPr>
        <w:spacing w:after="160" w:line="259" w:lineRule="auto"/>
        <w:ind w:hanging="780"/>
        <w:contextualSpacing/>
        <w:rPr>
          <w:rFonts w:eastAsia="Calibri" w:cs="Arial"/>
          <w:b/>
          <w:lang w:eastAsia="en-GB"/>
        </w:rPr>
      </w:pPr>
      <w:r w:rsidRPr="00723968">
        <w:rPr>
          <w:rFonts w:eastAsia="Calibri" w:cs="Arial"/>
          <w:b/>
          <w:lang w:eastAsia="en-GB"/>
        </w:rPr>
        <w:t>Internal Audit</w:t>
      </w:r>
    </w:p>
    <w:p w14:paraId="41B287B0" w14:textId="77777777" w:rsidR="00BE1024" w:rsidRPr="00723968" w:rsidRDefault="00BE1024" w:rsidP="00BE1024">
      <w:pPr>
        <w:spacing w:after="160" w:line="259" w:lineRule="auto"/>
        <w:ind w:left="780"/>
        <w:contextualSpacing/>
        <w:rPr>
          <w:rFonts w:eastAsia="Calibri" w:cs="Arial"/>
          <w:b/>
          <w:lang w:eastAsia="en-GB"/>
        </w:rPr>
      </w:pPr>
    </w:p>
    <w:p w14:paraId="790C3F01" w14:textId="77777777" w:rsidR="00BE1024" w:rsidRPr="00723968" w:rsidRDefault="00BE1024" w:rsidP="00BE1024">
      <w:pPr>
        <w:rPr>
          <w:rFonts w:cs="Arial"/>
        </w:rPr>
      </w:pPr>
      <w:r w:rsidRPr="00723968">
        <w:rPr>
          <w:rFonts w:cs="Arial"/>
        </w:rPr>
        <w:t xml:space="preserve">The Authority maintains an independent Internal Audit Service, which operates within the principles set out within the Public Sector Internal Audit Standards (PSIAS).  Internal Audit has carried out an annual programme of reviews as approved by the Governance Committee. The managers of the services and functions reviewed have each agreed actions and priorities arising from the review and the achievement of those actions is monitored on an ongoing basis by the Authority’s Internal Audit service and Strategic Leadership Team.  The Head of Internal Audit has provided a written opinion to the Governance Committee based on the work undertaken on behalf of the Authority during the year that the Authority has reasonable and effective risk management, control and governance processes in place. </w:t>
      </w:r>
    </w:p>
    <w:p w14:paraId="65DA01EC" w14:textId="77777777" w:rsidR="00BE1024" w:rsidRPr="00723968" w:rsidRDefault="00BE1024" w:rsidP="00BE1024">
      <w:pPr>
        <w:spacing w:after="160" w:line="259" w:lineRule="auto"/>
        <w:contextualSpacing/>
        <w:rPr>
          <w:rFonts w:cs="Arial"/>
          <w:b/>
        </w:rPr>
      </w:pPr>
    </w:p>
    <w:p w14:paraId="77889E9C" w14:textId="77777777" w:rsidR="00BE1024" w:rsidRPr="00723968" w:rsidRDefault="00BE1024" w:rsidP="00BE1024">
      <w:pPr>
        <w:pStyle w:val="ListParagraph"/>
        <w:numPr>
          <w:ilvl w:val="1"/>
          <w:numId w:val="17"/>
        </w:numPr>
        <w:spacing w:after="160" w:line="259" w:lineRule="auto"/>
        <w:ind w:hanging="780"/>
        <w:rPr>
          <w:rFonts w:cs="Arial"/>
          <w:b/>
          <w:szCs w:val="23"/>
          <w:u w:val="none"/>
        </w:rPr>
      </w:pPr>
      <w:r w:rsidRPr="00723968">
        <w:rPr>
          <w:rFonts w:cs="Arial"/>
          <w:b/>
          <w:szCs w:val="23"/>
          <w:u w:val="none"/>
        </w:rPr>
        <w:t xml:space="preserve"> Ensuring Compliance with Relevant Laws</w:t>
      </w:r>
    </w:p>
    <w:p w14:paraId="4F39CBBE" w14:textId="77777777" w:rsidR="00BE1024" w:rsidRPr="00AD0EF4" w:rsidRDefault="00BE1024" w:rsidP="00BE1024">
      <w:pPr>
        <w:rPr>
          <w:rFonts w:cs="Arial"/>
        </w:rPr>
      </w:pPr>
      <w:r w:rsidRPr="00AD0EF4">
        <w:rPr>
          <w:rFonts w:cs="Arial"/>
        </w:rPr>
        <w:t xml:space="preserve">Systems are in place to ensure that appropriate legal and financial advice is provided at relevant points in the decision making process. All reports to Members are reviewed by formal Executive Board with attendance including the Head of Resources (S151 Officer), the </w:t>
      </w:r>
      <w:r w:rsidRPr="00AD0EF4">
        <w:rPr>
          <w:rFonts w:cs="Arial"/>
        </w:rPr>
        <w:lastRenderedPageBreak/>
        <w:t>Monitoring Officer and Authority Solicitor. This ensures that checks are made on the legal and financial consequences of any course of action prior to a decision being made. The Authority has a variety of methods for receiving updates in legislative changes. In addition to departmental officers keeping up to date with legislative, regulatory and guidance changes, the Authority subscribes to a legislative update service. The usual method of direct notification of legislative changes by Central Government also occurs on an ongoing basis. This is supported by employees’ membership of professional bodies and the associated requirement that they will remain up to date with changes to their area of expertise and responsibility. Employees are provided with training to maintain up to date professional competencies where applicable.</w:t>
      </w:r>
    </w:p>
    <w:p w14:paraId="774A28A3" w14:textId="77777777" w:rsidR="00BE1024" w:rsidRPr="00AD0EF4" w:rsidRDefault="00BE1024" w:rsidP="00BE1024">
      <w:pPr>
        <w:rPr>
          <w:rFonts w:cs="Arial"/>
        </w:rPr>
      </w:pPr>
    </w:p>
    <w:p w14:paraId="7305F5A4" w14:textId="77777777" w:rsidR="00BE1024" w:rsidRPr="00AD0EF4" w:rsidRDefault="00BE1024" w:rsidP="00BE1024">
      <w:pPr>
        <w:rPr>
          <w:rFonts w:cs="Arial"/>
          <w:b/>
        </w:rPr>
      </w:pPr>
      <w:r w:rsidRPr="00AD0EF4">
        <w:rPr>
          <w:rFonts w:cs="Arial"/>
          <w:b/>
        </w:rPr>
        <w:t>3.15</w:t>
      </w:r>
      <w:r w:rsidRPr="00AD0EF4">
        <w:rPr>
          <w:rFonts w:cs="Arial"/>
          <w:b/>
        </w:rPr>
        <w:tab/>
        <w:t xml:space="preserve">Complaints and Whistle Blowing </w:t>
      </w:r>
    </w:p>
    <w:p w14:paraId="46AD7B4E" w14:textId="77777777" w:rsidR="00BE1024" w:rsidRPr="00AD0EF4" w:rsidRDefault="00BE1024" w:rsidP="00BE1024">
      <w:pPr>
        <w:rPr>
          <w:rFonts w:cs="Arial"/>
        </w:rPr>
      </w:pPr>
    </w:p>
    <w:p w14:paraId="08603A61" w14:textId="559D0CDA" w:rsidR="00BE1024" w:rsidRPr="00AD0EF4" w:rsidRDefault="00BE1024" w:rsidP="00BE1024">
      <w:pPr>
        <w:rPr>
          <w:rFonts w:cs="Arial"/>
        </w:rPr>
      </w:pPr>
      <w:r w:rsidRPr="00AD0EF4">
        <w:rPr>
          <w:rFonts w:cs="Arial"/>
        </w:rPr>
        <w:t>The Authority operates a formal complaints system in accordance with best practice, giving members of the public the ability to complain about aspects of the Authority’s service with which they are dissatisfied.</w:t>
      </w:r>
      <w:r w:rsidRPr="00AD0EF4">
        <w:t xml:space="preserve"> </w:t>
      </w:r>
      <w:r w:rsidRPr="00AD0EF4">
        <w:rPr>
          <w:rFonts w:cs="Arial"/>
        </w:rPr>
        <w:t>The Authority reviews any complaints received in order to assess their validity and learn for the future. The Authority’s whistleblowing arrangements are set out in our Confidential Reporting Policy which is available to all staff on our intranet and externally on our web-site. Our Confidential Reporting Policy, ensures there is a clear channel of confidential reporting for staff should this be required. There has been limited use of the confidential reporting code during 202</w:t>
      </w:r>
      <w:r w:rsidR="00C329A3">
        <w:rPr>
          <w:rFonts w:cs="Arial"/>
        </w:rPr>
        <w:t>3</w:t>
      </w:r>
      <w:r w:rsidRPr="00AD0EF4">
        <w:rPr>
          <w:rFonts w:cs="Arial"/>
        </w:rPr>
        <w:t>/2</w:t>
      </w:r>
      <w:r w:rsidR="00C329A3">
        <w:rPr>
          <w:rFonts w:cs="Arial"/>
        </w:rPr>
        <w:t>4</w:t>
      </w:r>
      <w:r w:rsidRPr="00AD0EF4">
        <w:rPr>
          <w:rFonts w:cs="Arial"/>
        </w:rPr>
        <w:t xml:space="preserve"> and nothing that has lead to investigation of wider underlying governance issues.</w:t>
      </w:r>
    </w:p>
    <w:p w14:paraId="6EAC42F3" w14:textId="77777777" w:rsidR="00BE1024" w:rsidRPr="00AD0EF4" w:rsidRDefault="00BE1024" w:rsidP="00BE1024">
      <w:pPr>
        <w:rPr>
          <w:rFonts w:cs="Arial"/>
        </w:rPr>
      </w:pPr>
    </w:p>
    <w:p w14:paraId="61914874" w14:textId="77777777" w:rsidR="00BE1024" w:rsidRPr="00AD0EF4" w:rsidRDefault="00BE1024" w:rsidP="00BE1024">
      <w:pPr>
        <w:spacing w:after="160" w:line="259" w:lineRule="auto"/>
        <w:ind w:left="360" w:hanging="360"/>
        <w:contextualSpacing/>
        <w:rPr>
          <w:rFonts w:cs="Arial"/>
          <w:b/>
        </w:rPr>
      </w:pPr>
      <w:r w:rsidRPr="00AD0EF4">
        <w:rPr>
          <w:rFonts w:cs="Arial"/>
          <w:b/>
        </w:rPr>
        <w:t>3.16</w:t>
      </w:r>
      <w:r w:rsidRPr="00AD0EF4">
        <w:rPr>
          <w:rFonts w:cs="Arial"/>
          <w:b/>
        </w:rPr>
        <w:tab/>
        <w:t>Clear Channels of Communication.</w:t>
      </w:r>
    </w:p>
    <w:p w14:paraId="1D9584CD" w14:textId="77777777" w:rsidR="00BE1024" w:rsidRPr="00AD0EF4" w:rsidRDefault="00BE1024" w:rsidP="00BE1024">
      <w:pPr>
        <w:rPr>
          <w:rFonts w:cs="Arial"/>
        </w:rPr>
      </w:pPr>
    </w:p>
    <w:p w14:paraId="0C146D37" w14:textId="77777777" w:rsidR="00BE1024" w:rsidRPr="00AD0EF4" w:rsidRDefault="00BE1024" w:rsidP="00BE1024">
      <w:pPr>
        <w:rPr>
          <w:rFonts w:cs="Arial"/>
        </w:rPr>
      </w:pPr>
      <w:r w:rsidRPr="00AD0EF4">
        <w:rPr>
          <w:rFonts w:cs="Arial"/>
        </w:rPr>
        <w:t xml:space="preserve">All formal meetings are held in public, with the reports and minutes of those meetings being published on the Authority’s website unless there are legal reasons for confidentiality. There are opportunities for members of the public to ask questions at meetings of the Authority and committee meetings are now live streamed and recorded to allow greater public access. </w:t>
      </w:r>
    </w:p>
    <w:p w14:paraId="06AE8810" w14:textId="77777777" w:rsidR="00BE1024" w:rsidRPr="00AD0EF4" w:rsidRDefault="00BE1024" w:rsidP="00BE1024">
      <w:pPr>
        <w:rPr>
          <w:rFonts w:cs="Arial"/>
        </w:rPr>
      </w:pPr>
    </w:p>
    <w:p w14:paraId="70A68050" w14:textId="77777777" w:rsidR="00BE1024" w:rsidRPr="00AD0EF4" w:rsidRDefault="00BE1024" w:rsidP="00BE1024">
      <w:pPr>
        <w:rPr>
          <w:b/>
        </w:rPr>
      </w:pPr>
      <w:r w:rsidRPr="00AD0EF4">
        <w:rPr>
          <w:rFonts w:cs="Arial"/>
        </w:rPr>
        <w:t xml:space="preserve">Various channels of communication are available to ensure all stakeholders find information accessible. Internal communications are also delivered using a number of channels including Teams, Waymarker and email.  </w:t>
      </w:r>
    </w:p>
    <w:p w14:paraId="3E95673C" w14:textId="77777777" w:rsidR="00BE1024" w:rsidRPr="00AD0EF4" w:rsidRDefault="00BE1024" w:rsidP="00BE1024">
      <w:pPr>
        <w:rPr>
          <w:b/>
        </w:rPr>
      </w:pPr>
    </w:p>
    <w:p w14:paraId="04A6517A" w14:textId="77777777" w:rsidR="00BE1024" w:rsidRPr="00AD0EF4" w:rsidRDefault="00BE1024" w:rsidP="00BE1024">
      <w:pPr>
        <w:ind w:left="709" w:hanging="709"/>
        <w:rPr>
          <w:rFonts w:cs="Arial"/>
          <w:b/>
        </w:rPr>
      </w:pPr>
      <w:r w:rsidRPr="00AD0EF4">
        <w:rPr>
          <w:rFonts w:cs="Arial"/>
          <w:b/>
        </w:rPr>
        <w:t>3.17</w:t>
      </w:r>
      <w:r w:rsidRPr="00AD0EF4">
        <w:rPr>
          <w:rFonts w:cs="Arial"/>
          <w:b/>
        </w:rPr>
        <w:tab/>
        <w:t>Enhancing the Accountability for Service Delivery and Effectiveness of other Public Service Providers.</w:t>
      </w:r>
    </w:p>
    <w:p w14:paraId="7B905F47" w14:textId="77777777" w:rsidR="00BE1024" w:rsidRPr="00AD0EF4" w:rsidRDefault="00BE1024" w:rsidP="00BE1024">
      <w:pPr>
        <w:rPr>
          <w:rFonts w:cs="Arial"/>
          <w:b/>
        </w:rPr>
      </w:pPr>
    </w:p>
    <w:p w14:paraId="6CA41C34" w14:textId="77777777" w:rsidR="00BE1024" w:rsidRPr="00AD0EF4" w:rsidRDefault="00BE1024" w:rsidP="00BE1024">
      <w:pPr>
        <w:rPr>
          <w:rFonts w:cs="Arial"/>
        </w:rPr>
      </w:pPr>
      <w:r w:rsidRPr="00AD0EF4">
        <w:rPr>
          <w:rFonts w:cs="Arial"/>
        </w:rPr>
        <w:t>Whilst the Authority continues to deliver most of its services directly, there are a number of areas where the Authority has contractual arrangements in place for the delivery of services. Arrangements are in place to monitor the delivery, price and quality of these services and any significant issues would be reported back to Members through financial and performance reporting.</w:t>
      </w:r>
    </w:p>
    <w:p w14:paraId="6EDAE901" w14:textId="77777777" w:rsidR="00BE1024" w:rsidRPr="00AD0EF4" w:rsidRDefault="00BE1024" w:rsidP="00BE1024">
      <w:pPr>
        <w:rPr>
          <w:rFonts w:cs="Arial"/>
        </w:rPr>
      </w:pPr>
    </w:p>
    <w:p w14:paraId="5F29BDC7" w14:textId="77777777" w:rsidR="00BE1024" w:rsidRPr="00AD0EF4" w:rsidRDefault="00BE1024" w:rsidP="00BE1024">
      <w:pPr>
        <w:ind w:left="709" w:hanging="709"/>
        <w:rPr>
          <w:rFonts w:cs="Arial"/>
          <w:b/>
        </w:rPr>
      </w:pPr>
      <w:r w:rsidRPr="00AD0EF4">
        <w:rPr>
          <w:rFonts w:cs="Arial"/>
          <w:b/>
        </w:rPr>
        <w:t>3.18</w:t>
      </w:r>
      <w:r w:rsidRPr="00AD0EF4">
        <w:rPr>
          <w:rFonts w:cs="Arial"/>
          <w:b/>
        </w:rPr>
        <w:tab/>
        <w:t>Commerciality and Commissioning</w:t>
      </w:r>
    </w:p>
    <w:p w14:paraId="5F626338" w14:textId="77777777" w:rsidR="00BE1024" w:rsidRPr="00AD0EF4" w:rsidRDefault="00BE1024" w:rsidP="00BE1024">
      <w:pPr>
        <w:ind w:left="780"/>
        <w:rPr>
          <w:rFonts w:cs="Arial"/>
        </w:rPr>
      </w:pPr>
    </w:p>
    <w:p w14:paraId="5C8532B5" w14:textId="77777777" w:rsidR="00BE1024" w:rsidRPr="00AD0EF4" w:rsidRDefault="00BE1024" w:rsidP="00BE1024">
      <w:pPr>
        <w:rPr>
          <w:rFonts w:cs="Arial"/>
        </w:rPr>
      </w:pPr>
      <w:r w:rsidRPr="00AD0EF4">
        <w:rPr>
          <w:rFonts w:cs="Arial"/>
        </w:rPr>
        <w:t xml:space="preserve">The Authority recognises that a commercial and commissioning approach brings with it opportunities for introducing greater flexibility with regard to the delivery of services. Purchasing of services from third parties also demands that we receive assurance that the businesses delivering the goods and services are resilient, reliable and reputable and will continue to deliver at the right quality in the face of difficult economic conditions locally, nationally and globally. This work is governed by the regulations and guidance set out in our Contract Standing Orders. A recommendation was included within the 2022/23 AGS action plan around embedding social value and carbon impacts into the procurement procedures. A full review of our procurement procedures is currently underway to align the Authority with the new procurement act regulations. The existing action will be addressed in the review and so has been rolled forward into the 2023/24 action plan.  </w:t>
      </w:r>
    </w:p>
    <w:p w14:paraId="7CF74203" w14:textId="77777777" w:rsidR="00BE1024" w:rsidRPr="00AD0EF4" w:rsidRDefault="00BE1024" w:rsidP="00BE1024">
      <w:pPr>
        <w:rPr>
          <w:rFonts w:cs="Arial"/>
        </w:rPr>
      </w:pPr>
    </w:p>
    <w:p w14:paraId="34AC5B63" w14:textId="77777777" w:rsidR="00BE1024" w:rsidRPr="00AD0EF4" w:rsidRDefault="00BE1024" w:rsidP="00BE1024">
      <w:pPr>
        <w:rPr>
          <w:rFonts w:cs="Arial"/>
          <w:b/>
        </w:rPr>
      </w:pPr>
      <w:r w:rsidRPr="00AD0EF4">
        <w:rPr>
          <w:rFonts w:cs="Arial"/>
          <w:b/>
        </w:rPr>
        <w:t>3.19</w:t>
      </w:r>
      <w:r w:rsidRPr="00AD0EF4">
        <w:rPr>
          <w:rFonts w:cs="Arial"/>
          <w:b/>
        </w:rPr>
        <w:tab/>
        <w:t xml:space="preserve">  Good Governance in respect of Partnerships</w:t>
      </w:r>
    </w:p>
    <w:p w14:paraId="533AA6D3" w14:textId="77777777" w:rsidR="00BE1024" w:rsidRPr="00AD0EF4" w:rsidRDefault="00BE1024" w:rsidP="00BE1024">
      <w:pPr>
        <w:rPr>
          <w:rFonts w:cs="Arial"/>
          <w:b/>
        </w:rPr>
      </w:pPr>
    </w:p>
    <w:p w14:paraId="0C1EDFE5" w14:textId="77777777" w:rsidR="00BE1024" w:rsidRPr="00AD0EF4" w:rsidRDefault="00BE1024" w:rsidP="00BE1024">
      <w:pPr>
        <w:rPr>
          <w:rFonts w:cs="Arial"/>
        </w:rPr>
      </w:pPr>
      <w:r w:rsidRPr="00AD0EF4">
        <w:rPr>
          <w:rFonts w:cs="Arial"/>
        </w:rPr>
        <w:t>The Authority’s governance arrangements and procedures ensure that partnerships are entered into for the delivery of strategic objectives and that partnership arrangements are clearly defined. The effective management of individual partnerships is the responsibility of the lead service area and significant partnerships, such as the Lake District National Park Partnership are subject to regular monitoring and review. Internal Audit performed a review on partnership working during 2023/24 and concluded that our arrangements provide substantial assurance over this area of activity.</w:t>
      </w:r>
    </w:p>
    <w:p w14:paraId="1780159B" w14:textId="77777777" w:rsidR="00BE1024" w:rsidRPr="00AD0EF4" w:rsidRDefault="00BE1024" w:rsidP="00BE1024">
      <w:pPr>
        <w:rPr>
          <w:rFonts w:cs="Arial"/>
        </w:rPr>
      </w:pPr>
    </w:p>
    <w:p w14:paraId="27C9A4BD" w14:textId="77777777" w:rsidR="00BE1024" w:rsidRPr="00AD0EF4" w:rsidRDefault="00BE1024" w:rsidP="00BE1024">
      <w:pPr>
        <w:rPr>
          <w:rFonts w:cs="Arial"/>
          <w:b/>
          <w:bCs/>
        </w:rPr>
      </w:pPr>
      <w:r w:rsidRPr="00AD0EF4">
        <w:rPr>
          <w:rFonts w:cs="Arial"/>
          <w:b/>
          <w:bCs/>
        </w:rPr>
        <w:t>3.20</w:t>
      </w:r>
      <w:r w:rsidRPr="00AD0EF4">
        <w:rPr>
          <w:rFonts w:cs="Arial"/>
          <w:b/>
          <w:bCs/>
        </w:rPr>
        <w:tab/>
        <w:t>External Audit</w:t>
      </w:r>
    </w:p>
    <w:p w14:paraId="7DC1C0CC" w14:textId="77777777" w:rsidR="00BE1024" w:rsidRPr="00AD0EF4" w:rsidRDefault="00BE1024" w:rsidP="00BE1024">
      <w:pPr>
        <w:rPr>
          <w:rFonts w:cs="Arial"/>
        </w:rPr>
      </w:pPr>
    </w:p>
    <w:p w14:paraId="0D0E3FA8" w14:textId="77777777" w:rsidR="00BE1024" w:rsidRPr="00AD0EF4" w:rsidRDefault="00BE1024" w:rsidP="00BE1024">
      <w:pPr>
        <w:rPr>
          <w:rFonts w:cs="Arial"/>
        </w:rPr>
      </w:pPr>
      <w:r w:rsidRPr="00AD0EF4">
        <w:rPr>
          <w:rFonts w:cs="Arial"/>
        </w:rPr>
        <w:t>A robust framework for external audit also provides Members with independent assurance over the financial statements and arrangements for Value for Money. The Authority prepared the unaudited 2022/23 accounts by the statutory deadline of 31 May 2023. The audited accounts were published in January 2024, well ahead of most Local Authorities. There is a national issue around backlogs in external audit of local authorities. The Authority is in a relatively good position for 2023/24 being in a minority of bodies with no backlog. The external audit plan for the 2023/24 accounts was presented to Governance Committee in April 2024.</w:t>
      </w:r>
    </w:p>
    <w:p w14:paraId="76ACD915" w14:textId="77777777" w:rsidR="00BE1024" w:rsidRPr="00AD0EF4" w:rsidRDefault="00BE1024" w:rsidP="00BE1024">
      <w:pPr>
        <w:rPr>
          <w:b/>
        </w:rPr>
      </w:pPr>
    </w:p>
    <w:p w14:paraId="6010FEA7" w14:textId="77777777" w:rsidR="00BE1024" w:rsidRPr="00AD0EF4" w:rsidRDefault="00BE1024" w:rsidP="00BE1024">
      <w:pPr>
        <w:numPr>
          <w:ilvl w:val="0"/>
          <w:numId w:val="17"/>
        </w:numPr>
        <w:spacing w:after="160" w:line="259" w:lineRule="auto"/>
        <w:ind w:hanging="643"/>
        <w:contextualSpacing/>
        <w:rPr>
          <w:rFonts w:eastAsia="Calibri" w:cs="Arial"/>
          <w:b/>
          <w:lang w:eastAsia="en-GB"/>
        </w:rPr>
      </w:pPr>
      <w:r w:rsidRPr="00AD0EF4">
        <w:rPr>
          <w:rFonts w:eastAsia="Calibri" w:cs="Arial"/>
          <w:b/>
          <w:lang w:eastAsia="en-GB"/>
        </w:rPr>
        <w:t>Review of Effectiveness</w:t>
      </w:r>
    </w:p>
    <w:p w14:paraId="0706289C" w14:textId="77777777" w:rsidR="00BE1024" w:rsidRPr="00AD0EF4" w:rsidRDefault="00BE1024" w:rsidP="00BE1024">
      <w:pPr>
        <w:spacing w:after="160" w:line="259" w:lineRule="auto"/>
        <w:ind w:left="643"/>
        <w:contextualSpacing/>
        <w:rPr>
          <w:rFonts w:eastAsia="Calibri" w:cs="Arial"/>
          <w:b/>
          <w:lang w:eastAsia="en-GB"/>
        </w:rPr>
      </w:pPr>
    </w:p>
    <w:p w14:paraId="12509748" w14:textId="77777777" w:rsidR="00BE1024" w:rsidRPr="00AD0EF4" w:rsidRDefault="00BE1024" w:rsidP="00BE1024">
      <w:pPr>
        <w:rPr>
          <w:rFonts w:cs="Arial"/>
        </w:rPr>
      </w:pPr>
      <w:r w:rsidRPr="00AD0EF4">
        <w:rPr>
          <w:rFonts w:cs="Arial"/>
        </w:rPr>
        <w:t>During 2023/24 assurance information has been collated using different means of independent review of effectiveness across the Authority’s Services. These include:</w:t>
      </w:r>
    </w:p>
    <w:p w14:paraId="38C857E2" w14:textId="77777777" w:rsidR="00BE1024" w:rsidRPr="00AD0EF4" w:rsidRDefault="00BE1024" w:rsidP="00BE1024">
      <w:pPr>
        <w:rPr>
          <w:rFonts w:cs="Arial"/>
        </w:rPr>
      </w:pPr>
    </w:p>
    <w:p w14:paraId="78E051D0" w14:textId="77777777" w:rsidR="00BE1024" w:rsidRPr="00AD0EF4" w:rsidRDefault="00BE1024" w:rsidP="00BE1024">
      <w:pPr>
        <w:ind w:left="567" w:hanging="567"/>
        <w:rPr>
          <w:rFonts w:cs="Arial"/>
          <w:b/>
          <w:bCs/>
        </w:rPr>
      </w:pPr>
      <w:r w:rsidRPr="00AD0EF4">
        <w:rPr>
          <w:rFonts w:cs="Arial"/>
          <w:b/>
          <w:bCs/>
        </w:rPr>
        <w:t>4.1</w:t>
      </w:r>
      <w:r w:rsidRPr="00AD0EF4">
        <w:rPr>
          <w:rFonts w:cs="Arial"/>
          <w:b/>
          <w:bCs/>
        </w:rPr>
        <w:tab/>
        <w:t>Individual assurance reviews from the risk based internal audit plan (TIAA)</w:t>
      </w:r>
    </w:p>
    <w:p w14:paraId="50AF9B29" w14:textId="77777777" w:rsidR="00BE1024" w:rsidRPr="00AD0EF4" w:rsidRDefault="00BE1024" w:rsidP="00BE1024">
      <w:pPr>
        <w:ind w:left="567" w:hanging="567"/>
        <w:rPr>
          <w:rFonts w:cs="Arial"/>
        </w:rPr>
      </w:pPr>
    </w:p>
    <w:p w14:paraId="7BE064CF" w14:textId="77777777" w:rsidR="00BE1024" w:rsidRPr="00AD0EF4" w:rsidRDefault="00BE1024" w:rsidP="00BE1024">
      <w:pPr>
        <w:ind w:left="567"/>
        <w:rPr>
          <w:rFonts w:cs="Arial"/>
        </w:rPr>
      </w:pPr>
      <w:r w:rsidRPr="00AD0EF4">
        <w:rPr>
          <w:rFonts w:cs="Arial"/>
        </w:rPr>
        <w:t xml:space="preserve">TIAA have reported on specific operational areas during the year. These reports have been presented to Governance Committee for their scrutiny and oversight. A number of areas were rated as substantial assurance during the year, the highest rating available. </w:t>
      </w:r>
    </w:p>
    <w:p w14:paraId="6A884F22" w14:textId="77777777" w:rsidR="00BE1024" w:rsidRPr="00AD0EF4" w:rsidRDefault="00BE1024" w:rsidP="00BE1024">
      <w:pPr>
        <w:ind w:left="567" w:hanging="567"/>
        <w:rPr>
          <w:rFonts w:cs="Arial"/>
        </w:rPr>
      </w:pPr>
    </w:p>
    <w:p w14:paraId="0A50C7F6" w14:textId="77777777" w:rsidR="00BE1024" w:rsidRPr="00AD0EF4" w:rsidRDefault="00BE1024" w:rsidP="00BE1024">
      <w:pPr>
        <w:ind w:left="567" w:hanging="567"/>
        <w:rPr>
          <w:rFonts w:cs="Arial"/>
          <w:b/>
          <w:bCs/>
        </w:rPr>
      </w:pPr>
      <w:r w:rsidRPr="00AD0EF4">
        <w:rPr>
          <w:rFonts w:cs="Arial"/>
          <w:b/>
          <w:bCs/>
        </w:rPr>
        <w:t>4.2</w:t>
      </w:r>
      <w:r w:rsidRPr="00AD0EF4">
        <w:rPr>
          <w:rFonts w:cs="Arial"/>
          <w:b/>
          <w:bCs/>
        </w:rPr>
        <w:tab/>
        <w:t xml:space="preserve">Annual internal audit opinion issued by Internal Audit (TIAA) </w:t>
      </w:r>
    </w:p>
    <w:p w14:paraId="5813DE77" w14:textId="77777777" w:rsidR="00BE1024" w:rsidRPr="00AD0EF4" w:rsidRDefault="00BE1024" w:rsidP="00BE1024">
      <w:pPr>
        <w:ind w:left="567" w:hanging="567"/>
        <w:rPr>
          <w:rFonts w:cs="Arial"/>
        </w:rPr>
      </w:pPr>
    </w:p>
    <w:p w14:paraId="0D4A5A9E" w14:textId="77777777" w:rsidR="00BE1024" w:rsidRPr="00AD0EF4" w:rsidRDefault="00BE1024" w:rsidP="00BE1024">
      <w:pPr>
        <w:ind w:left="567"/>
        <w:rPr>
          <w:rFonts w:cs="Arial"/>
        </w:rPr>
      </w:pPr>
      <w:r w:rsidRPr="00AD0EF4">
        <w:rPr>
          <w:rFonts w:cs="Arial"/>
        </w:rPr>
        <w:t xml:space="preserve">TIAA also provide an annual audit opinion to give an overall assessment of the control environment at the Authority. Reflecting the individual assurance reviews, this was judged to provide reasonable assurance. </w:t>
      </w:r>
    </w:p>
    <w:p w14:paraId="78831BA3" w14:textId="77777777" w:rsidR="00BE1024" w:rsidRPr="00AD0EF4" w:rsidRDefault="00BE1024" w:rsidP="00BE1024">
      <w:pPr>
        <w:ind w:left="567" w:hanging="567"/>
        <w:rPr>
          <w:rFonts w:cs="Arial"/>
        </w:rPr>
      </w:pPr>
    </w:p>
    <w:p w14:paraId="58C83DEA" w14:textId="77777777" w:rsidR="00BE1024" w:rsidRPr="00AD0EF4" w:rsidRDefault="00BE1024" w:rsidP="00BE1024">
      <w:pPr>
        <w:ind w:left="567" w:hanging="567"/>
        <w:rPr>
          <w:rFonts w:cs="Arial"/>
          <w:b/>
          <w:bCs/>
        </w:rPr>
      </w:pPr>
      <w:r w:rsidRPr="00AD0EF4">
        <w:rPr>
          <w:rFonts w:cs="Arial"/>
          <w:b/>
          <w:bCs/>
        </w:rPr>
        <w:t>4.3</w:t>
      </w:r>
      <w:r w:rsidRPr="00AD0EF4">
        <w:rPr>
          <w:rFonts w:cs="Arial"/>
          <w:b/>
          <w:bCs/>
        </w:rPr>
        <w:tab/>
        <w:t>Accounts opinion issued by the external auditor (Grant Thornton)</w:t>
      </w:r>
    </w:p>
    <w:p w14:paraId="14FC2409" w14:textId="77777777" w:rsidR="00BE1024" w:rsidRPr="00AD0EF4" w:rsidRDefault="00BE1024" w:rsidP="00BE1024">
      <w:pPr>
        <w:ind w:left="567" w:hanging="567"/>
        <w:rPr>
          <w:rFonts w:cs="Arial"/>
        </w:rPr>
      </w:pPr>
    </w:p>
    <w:p w14:paraId="27FF2192" w14:textId="77777777" w:rsidR="00BE1024" w:rsidRPr="00AD0EF4" w:rsidRDefault="00BE1024" w:rsidP="00BE1024">
      <w:pPr>
        <w:ind w:left="567"/>
        <w:rPr>
          <w:rFonts w:cs="Arial"/>
        </w:rPr>
      </w:pPr>
      <w:r w:rsidRPr="00AD0EF4">
        <w:rPr>
          <w:rFonts w:cs="Arial"/>
        </w:rPr>
        <w:t>The statement of accounts for 2022/23 was prepared by the deadline and audited and published in January 2024. The auditors concluded that “the authority was in a minority of c30% local authorities who managed to meet the deadline,….we have not identified any audit adjustment impacting on the Authority’s usable reserves”. This provides overall assurance on the arrangements for financial reporting and the supporting systems, people and processes.</w:t>
      </w:r>
    </w:p>
    <w:p w14:paraId="01B7AFA4" w14:textId="77777777" w:rsidR="00BE1024" w:rsidRPr="00AD0EF4" w:rsidRDefault="00BE1024" w:rsidP="00BE1024">
      <w:pPr>
        <w:ind w:left="567" w:hanging="567"/>
        <w:rPr>
          <w:rFonts w:cs="Arial"/>
        </w:rPr>
      </w:pPr>
    </w:p>
    <w:p w14:paraId="7ED9D2A2" w14:textId="77777777" w:rsidR="00BE1024" w:rsidRPr="00AD0EF4" w:rsidRDefault="00BE1024" w:rsidP="00BE1024">
      <w:pPr>
        <w:ind w:left="567" w:hanging="567"/>
        <w:rPr>
          <w:rFonts w:cs="Arial"/>
          <w:b/>
          <w:bCs/>
        </w:rPr>
      </w:pPr>
      <w:r w:rsidRPr="00AD0EF4">
        <w:rPr>
          <w:rFonts w:cs="Arial"/>
          <w:b/>
          <w:bCs/>
        </w:rPr>
        <w:t>4.4</w:t>
      </w:r>
      <w:r w:rsidRPr="00AD0EF4">
        <w:rPr>
          <w:rFonts w:cs="Arial"/>
          <w:b/>
          <w:bCs/>
        </w:rPr>
        <w:tab/>
        <w:t>Value for Money opinion issued by external audit (Grant Thornton)</w:t>
      </w:r>
    </w:p>
    <w:p w14:paraId="05728991" w14:textId="77777777" w:rsidR="00BE1024" w:rsidRPr="00AD0EF4" w:rsidRDefault="00BE1024" w:rsidP="00BE1024">
      <w:pPr>
        <w:ind w:left="567" w:hanging="567"/>
        <w:rPr>
          <w:rFonts w:cs="Arial"/>
        </w:rPr>
      </w:pPr>
    </w:p>
    <w:p w14:paraId="16143BB2" w14:textId="77777777" w:rsidR="00BE1024" w:rsidRPr="00AD0EF4" w:rsidRDefault="00BE1024" w:rsidP="00BE1024">
      <w:pPr>
        <w:ind w:left="567"/>
        <w:rPr>
          <w:rFonts w:cs="Arial"/>
        </w:rPr>
      </w:pPr>
      <w:r w:rsidRPr="00AD0EF4">
        <w:rPr>
          <w:rFonts w:cs="Arial"/>
        </w:rPr>
        <w:t>The value for money opinion for 2022/23 was issued in December 2023 looking at Financial Sustainability, Governance and Improving Economy, Efficiency and Effectiveness. There were no significant weaknesses and no new recommendations. The majority of items previously raised have been implemented. A recommendation on the gifts and hospitality register has now been addressed as part of 2023/24 year end procedures.</w:t>
      </w:r>
    </w:p>
    <w:p w14:paraId="2142E219" w14:textId="77777777" w:rsidR="00BE1024" w:rsidRPr="00AD0EF4" w:rsidRDefault="00BE1024" w:rsidP="00BE1024">
      <w:pPr>
        <w:ind w:left="567" w:hanging="567"/>
        <w:rPr>
          <w:rFonts w:cs="Arial"/>
        </w:rPr>
      </w:pPr>
    </w:p>
    <w:p w14:paraId="1DE8A908" w14:textId="77777777" w:rsidR="00BE1024" w:rsidRPr="00AD0EF4" w:rsidRDefault="00BE1024" w:rsidP="00BE1024">
      <w:pPr>
        <w:ind w:left="567" w:hanging="567"/>
        <w:rPr>
          <w:rFonts w:cs="Arial"/>
          <w:b/>
          <w:bCs/>
        </w:rPr>
      </w:pPr>
      <w:r w:rsidRPr="00AD0EF4">
        <w:rPr>
          <w:rFonts w:cs="Arial"/>
          <w:b/>
          <w:bCs/>
        </w:rPr>
        <w:t>4.5</w:t>
      </w:r>
      <w:r w:rsidRPr="00AD0EF4">
        <w:rPr>
          <w:rFonts w:cs="Arial"/>
          <w:b/>
          <w:bCs/>
        </w:rPr>
        <w:tab/>
        <w:t>Volume and severity of governance issues reported through committee and Executive Board</w:t>
      </w:r>
    </w:p>
    <w:p w14:paraId="01A96A7B" w14:textId="77777777" w:rsidR="00BE1024" w:rsidRPr="00AD0EF4" w:rsidRDefault="00BE1024" w:rsidP="00BE1024">
      <w:pPr>
        <w:ind w:left="567" w:hanging="567"/>
        <w:rPr>
          <w:rFonts w:cs="Arial"/>
        </w:rPr>
      </w:pPr>
    </w:p>
    <w:p w14:paraId="5B66AA9A" w14:textId="77777777" w:rsidR="00BE1024" w:rsidRPr="00AD0EF4" w:rsidRDefault="00BE1024" w:rsidP="00BE1024">
      <w:pPr>
        <w:ind w:left="567"/>
        <w:rPr>
          <w:rFonts w:cs="Arial"/>
        </w:rPr>
      </w:pPr>
      <w:r w:rsidRPr="00AD0EF4">
        <w:rPr>
          <w:rFonts w:cs="Arial"/>
        </w:rPr>
        <w:t xml:space="preserve">There have been no significant occurrences of issues where the governance framework has been tested around standards, ultra vires activity or other fraudulent transactions.  </w:t>
      </w:r>
    </w:p>
    <w:p w14:paraId="0CABBF73" w14:textId="77777777" w:rsidR="00BE1024" w:rsidRPr="00AD0EF4" w:rsidRDefault="00BE1024" w:rsidP="00BE1024">
      <w:pPr>
        <w:ind w:left="567" w:hanging="567"/>
        <w:rPr>
          <w:rFonts w:cs="Arial"/>
        </w:rPr>
      </w:pPr>
    </w:p>
    <w:p w14:paraId="33DC5421" w14:textId="77777777" w:rsidR="00BE1024" w:rsidRPr="00AD0EF4" w:rsidRDefault="00BE1024" w:rsidP="00BE1024">
      <w:pPr>
        <w:ind w:left="567" w:hanging="567"/>
        <w:rPr>
          <w:rFonts w:cs="Arial"/>
          <w:b/>
          <w:bCs/>
        </w:rPr>
      </w:pPr>
      <w:r w:rsidRPr="00AD0EF4">
        <w:rPr>
          <w:rFonts w:cs="Arial"/>
          <w:b/>
          <w:bCs/>
        </w:rPr>
        <w:t>4.6</w:t>
      </w:r>
      <w:r w:rsidRPr="00AD0EF4">
        <w:rPr>
          <w:rFonts w:cs="Arial"/>
          <w:b/>
          <w:bCs/>
        </w:rPr>
        <w:tab/>
        <w:t>Performance reporting against the business plan targets and financial budgets (Resources Committee)</w:t>
      </w:r>
    </w:p>
    <w:p w14:paraId="2694360E" w14:textId="77777777" w:rsidR="00BE1024" w:rsidRPr="00AD0EF4" w:rsidRDefault="00BE1024" w:rsidP="00BE1024">
      <w:pPr>
        <w:ind w:left="567" w:hanging="567"/>
        <w:rPr>
          <w:rFonts w:cs="Arial"/>
          <w:b/>
          <w:bCs/>
        </w:rPr>
      </w:pPr>
    </w:p>
    <w:p w14:paraId="1EEA762E" w14:textId="77777777" w:rsidR="00BE1024" w:rsidRPr="00AD0EF4" w:rsidRDefault="00BE1024" w:rsidP="00BE1024">
      <w:pPr>
        <w:ind w:left="567"/>
        <w:rPr>
          <w:rFonts w:cs="Arial"/>
        </w:rPr>
      </w:pPr>
      <w:r w:rsidRPr="00AD0EF4">
        <w:rPr>
          <w:rFonts w:cs="Arial"/>
        </w:rPr>
        <w:t>Ongoing monitoring and reporting of performance against business plan targets and financial budgets has been in place during the year. The framework has proved to be effective at detecting and finding mitigations for events that threaten delivery of the business plan, within the available resources. For example, issues raised during the in-year budget monitoring were reflected in the Medium Term Financial Strategy for 2024/25; the budget and MTFS for 23/24 were balanced and the budget for 2024/25 is also balanced and approved.</w:t>
      </w:r>
    </w:p>
    <w:p w14:paraId="23C473F1" w14:textId="77777777" w:rsidR="00BE1024" w:rsidRPr="00AD0EF4" w:rsidRDefault="00BE1024" w:rsidP="00BE1024">
      <w:pPr>
        <w:rPr>
          <w:rFonts w:cs="Arial"/>
        </w:rPr>
      </w:pPr>
    </w:p>
    <w:p w14:paraId="42A0A4FD" w14:textId="38035451" w:rsidR="00BE1024" w:rsidRPr="00723968" w:rsidRDefault="00BE1024" w:rsidP="00BE1024">
      <w:pPr>
        <w:rPr>
          <w:rFonts w:cs="Arial"/>
        </w:rPr>
      </w:pPr>
      <w:r w:rsidRPr="00AD0EF4">
        <w:rPr>
          <w:rFonts w:cs="Arial"/>
          <w:b/>
          <w:bCs/>
        </w:rPr>
        <w:t>4.7</w:t>
      </w:r>
      <w:r w:rsidR="00723968">
        <w:rPr>
          <w:rFonts w:cs="Arial"/>
        </w:rPr>
        <w:t xml:space="preserve">    </w:t>
      </w:r>
      <w:r w:rsidRPr="00AD0EF4">
        <w:rPr>
          <w:rFonts w:cs="Arial"/>
          <w:b/>
          <w:bCs/>
        </w:rPr>
        <w:t>Committee self assessment</w:t>
      </w:r>
    </w:p>
    <w:p w14:paraId="27E65FD8" w14:textId="77777777" w:rsidR="00BE1024" w:rsidRPr="00AD0EF4" w:rsidRDefault="00BE1024" w:rsidP="00BE1024">
      <w:pPr>
        <w:rPr>
          <w:rFonts w:cs="Arial"/>
          <w:b/>
          <w:bCs/>
        </w:rPr>
      </w:pPr>
    </w:p>
    <w:p w14:paraId="4BF7A474" w14:textId="77777777" w:rsidR="00BE1024" w:rsidRPr="00AD0EF4" w:rsidRDefault="00BE1024" w:rsidP="00723968">
      <w:pPr>
        <w:ind w:left="567"/>
        <w:rPr>
          <w:rFonts w:cs="Arial"/>
        </w:rPr>
      </w:pPr>
      <w:r w:rsidRPr="5DBC84B2">
        <w:rPr>
          <w:rFonts w:cs="Arial"/>
        </w:rPr>
        <w:t>As noted, a prior year recommendation was to introduce sub committee self assessments of effectiveness. Resources committee is yet to be completed at the time of this review. The draft Governance Committee review has been prepared with one action included in the AGS action plan. It is anticipated that both of these committee self assessments will be complete in time for the final audited 2023/24 accounts sign off. This will add further evidence to help assess whether governance arrangements are fit for purpose.</w:t>
      </w:r>
    </w:p>
    <w:p w14:paraId="766CDED0" w14:textId="77777777" w:rsidR="00BE1024" w:rsidRPr="00AD0EF4" w:rsidRDefault="00BE1024" w:rsidP="00BE1024">
      <w:pPr>
        <w:ind w:left="567" w:hanging="567"/>
        <w:rPr>
          <w:rFonts w:cs="Arial"/>
        </w:rPr>
      </w:pPr>
    </w:p>
    <w:p w14:paraId="49ACC840" w14:textId="77777777" w:rsidR="00BE1024" w:rsidRPr="00AD0EF4" w:rsidRDefault="00BE1024" w:rsidP="00BE1024">
      <w:pPr>
        <w:ind w:left="567" w:hanging="567"/>
        <w:rPr>
          <w:rFonts w:cs="Arial"/>
        </w:rPr>
      </w:pPr>
    </w:p>
    <w:p w14:paraId="048B0E4E" w14:textId="77777777" w:rsidR="00BE1024" w:rsidRPr="00AD0EF4" w:rsidRDefault="00BE1024" w:rsidP="00BE1024">
      <w:pPr>
        <w:ind w:left="567" w:hanging="567"/>
        <w:rPr>
          <w:rFonts w:cs="Arial"/>
          <w:b/>
          <w:bCs/>
        </w:rPr>
      </w:pPr>
      <w:r w:rsidRPr="00AD0EF4">
        <w:rPr>
          <w:rFonts w:cs="Arial"/>
          <w:b/>
          <w:bCs/>
        </w:rPr>
        <w:t>4.8</w:t>
      </w:r>
      <w:r w:rsidRPr="00AD0EF4">
        <w:rPr>
          <w:rFonts w:cs="Arial"/>
          <w:b/>
          <w:bCs/>
        </w:rPr>
        <w:tab/>
        <w:t>Review of arrangements in place during 2023/24 against the CIPFA/Solace framework by officers.</w:t>
      </w:r>
    </w:p>
    <w:p w14:paraId="65B06BA6" w14:textId="77777777" w:rsidR="00BE1024" w:rsidRPr="00AD0EF4" w:rsidRDefault="00BE1024" w:rsidP="00BE1024">
      <w:pPr>
        <w:ind w:left="567" w:hanging="567"/>
        <w:rPr>
          <w:rFonts w:cs="Arial"/>
        </w:rPr>
      </w:pPr>
    </w:p>
    <w:p w14:paraId="3C1EAAAD" w14:textId="77777777" w:rsidR="00BE1024" w:rsidRPr="00AD0EF4" w:rsidRDefault="00BE1024" w:rsidP="00BE1024">
      <w:pPr>
        <w:ind w:left="567"/>
        <w:rPr>
          <w:rFonts w:cs="Arial"/>
        </w:rPr>
      </w:pPr>
      <w:r w:rsidRPr="00AD0EF4">
        <w:rPr>
          <w:rFonts w:cs="Arial"/>
        </w:rPr>
        <w:t>A full review of LCoGC against the CIPFA Solace framework was conducted in 2022/23. This produced a number of areas that were included for follow up in the 2022/23 action plan. There has been no change in the best practice framework. The LCoGC has been reviewed in detail and there is little material change. Any significant amends that require action have been included in the 2023/24 action plan.</w:t>
      </w:r>
    </w:p>
    <w:p w14:paraId="7F8693D9" w14:textId="77777777" w:rsidR="00BE1024" w:rsidRPr="00AD0EF4" w:rsidRDefault="00BE1024" w:rsidP="00BE1024">
      <w:pPr>
        <w:ind w:left="567" w:hanging="567"/>
        <w:rPr>
          <w:rFonts w:cs="Arial"/>
        </w:rPr>
      </w:pPr>
    </w:p>
    <w:p w14:paraId="68E2E656" w14:textId="77777777" w:rsidR="00BE1024" w:rsidRPr="00AD0EF4" w:rsidRDefault="00BE1024" w:rsidP="00BE1024">
      <w:pPr>
        <w:ind w:left="567" w:hanging="567"/>
        <w:rPr>
          <w:rFonts w:cs="Arial"/>
          <w:b/>
          <w:bCs/>
        </w:rPr>
      </w:pPr>
      <w:r w:rsidRPr="00AD0EF4">
        <w:rPr>
          <w:rFonts w:cs="Arial"/>
          <w:b/>
          <w:bCs/>
        </w:rPr>
        <w:t>4.9</w:t>
      </w:r>
      <w:r w:rsidRPr="00AD0EF4">
        <w:rPr>
          <w:rFonts w:cs="Arial"/>
          <w:b/>
          <w:bCs/>
        </w:rPr>
        <w:tab/>
        <w:t>Monitoring of implementation of the 2022/23 action plan</w:t>
      </w:r>
    </w:p>
    <w:p w14:paraId="63AB70D8" w14:textId="77777777" w:rsidR="00BE1024" w:rsidRPr="00AD0EF4" w:rsidRDefault="00BE1024" w:rsidP="00BE1024">
      <w:pPr>
        <w:ind w:left="567" w:hanging="567"/>
        <w:rPr>
          <w:rFonts w:cs="Arial"/>
        </w:rPr>
      </w:pPr>
    </w:p>
    <w:p w14:paraId="4314F51F" w14:textId="77777777" w:rsidR="00BE1024" w:rsidRPr="00AD0EF4" w:rsidRDefault="00BE1024" w:rsidP="00BE1024">
      <w:pPr>
        <w:ind w:left="567"/>
        <w:rPr>
          <w:rFonts w:cs="Arial"/>
        </w:rPr>
      </w:pPr>
      <w:r w:rsidRPr="00AD0EF4">
        <w:rPr>
          <w:rFonts w:cs="Arial"/>
        </w:rPr>
        <w:t>The governance issues that we identified in the 2022/23 review have seen considerable progress during the 2023/24 financial year. Further detail is provided below.</w:t>
      </w:r>
    </w:p>
    <w:p w14:paraId="160C7A42" w14:textId="77777777" w:rsidR="00BE1024" w:rsidRPr="00AD0EF4" w:rsidRDefault="00BE1024" w:rsidP="00BE1024">
      <w:pPr>
        <w:rPr>
          <w:b/>
        </w:rPr>
      </w:pPr>
    </w:p>
    <w:p w14:paraId="77BB0134" w14:textId="77777777" w:rsidR="00BE1024" w:rsidRPr="00BE1024" w:rsidRDefault="00BE1024" w:rsidP="00BE1024">
      <w:pPr>
        <w:pStyle w:val="ListParagraph"/>
        <w:numPr>
          <w:ilvl w:val="0"/>
          <w:numId w:val="17"/>
        </w:numPr>
        <w:ind w:left="567" w:hanging="567"/>
        <w:contextualSpacing w:val="0"/>
        <w:rPr>
          <w:b/>
          <w:szCs w:val="23"/>
          <w:u w:val="none"/>
        </w:rPr>
      </w:pPr>
      <w:r w:rsidRPr="00BE1024">
        <w:rPr>
          <w:b/>
          <w:szCs w:val="23"/>
          <w:u w:val="none"/>
        </w:rPr>
        <w:t>Significant Governance Issues</w:t>
      </w:r>
    </w:p>
    <w:p w14:paraId="5C2A0FD1" w14:textId="77777777" w:rsidR="00BE1024" w:rsidRPr="00AD0EF4" w:rsidRDefault="00BE1024" w:rsidP="00BE1024"/>
    <w:p w14:paraId="54AD9C5E" w14:textId="77777777" w:rsidR="00BE1024" w:rsidRPr="00AD0EF4" w:rsidRDefault="00BE1024" w:rsidP="00BE1024">
      <w:r w:rsidRPr="00AD0EF4">
        <w:t>Nine issues were flagged during the 2022/23 review (please see prior year AGS for details). Of these, 7 are judged to have been implemented. The action around committee self assessment of effectiveness has been rolled forward as partially implemented at the time of this review, pendng completion of the Resources Committee self assessment. In addition, as noted above the action around procurement has also been rolled forward within a wider review of procedure required to align with the new Procurement act.</w:t>
      </w:r>
    </w:p>
    <w:p w14:paraId="23549B04" w14:textId="77777777" w:rsidR="00BE1024" w:rsidRPr="00AD0EF4" w:rsidRDefault="00BE1024" w:rsidP="00BE1024"/>
    <w:p w14:paraId="7FCBAC42" w14:textId="77777777" w:rsidR="00BE1024" w:rsidRPr="00AD0EF4" w:rsidRDefault="00BE1024" w:rsidP="00BE1024">
      <w:r w:rsidRPr="00AD0EF4">
        <w:t>In addition, there are a small number of new items that have been flagged from the 2023/24 annual review. These are not judged to be significant governance issues but are opportunities for improvement. The full action plan to be monitored during 2024/25 is as follows:</w:t>
      </w:r>
    </w:p>
    <w:p w14:paraId="439C6EF1" w14:textId="77777777" w:rsidR="00BE1024" w:rsidRPr="00AD0EF4" w:rsidRDefault="00BE1024" w:rsidP="00BE1024"/>
    <w:p w14:paraId="6358DCE7" w14:textId="77777777" w:rsidR="00BE1024" w:rsidRPr="00BE1024" w:rsidRDefault="00BE1024" w:rsidP="00BE1024">
      <w:pPr>
        <w:pStyle w:val="ListParagraph"/>
        <w:numPr>
          <w:ilvl w:val="0"/>
          <w:numId w:val="21"/>
        </w:numPr>
        <w:tabs>
          <w:tab w:val="right" w:pos="9200"/>
        </w:tabs>
        <w:ind w:left="1070"/>
        <w:contextualSpacing w:val="0"/>
        <w:rPr>
          <w:rFonts w:cs="Arial"/>
          <w:iCs/>
          <w:szCs w:val="23"/>
          <w:u w:val="none"/>
        </w:rPr>
      </w:pPr>
      <w:r w:rsidRPr="00BE1024">
        <w:rPr>
          <w:rFonts w:cs="Arial"/>
          <w:iCs/>
          <w:szCs w:val="23"/>
          <w:u w:val="none"/>
        </w:rPr>
        <w:t>Complete the process of annual self-assessment effectiveness reviews for Resources and Governance Committees</w:t>
      </w:r>
    </w:p>
    <w:p w14:paraId="631F8373" w14:textId="77777777" w:rsidR="00BE1024" w:rsidRPr="00BE1024" w:rsidRDefault="00BE1024" w:rsidP="00BE1024">
      <w:pPr>
        <w:pStyle w:val="ListParagraph"/>
        <w:numPr>
          <w:ilvl w:val="0"/>
          <w:numId w:val="21"/>
        </w:numPr>
        <w:tabs>
          <w:tab w:val="right" w:pos="9200"/>
        </w:tabs>
        <w:ind w:left="1070"/>
        <w:contextualSpacing w:val="0"/>
        <w:rPr>
          <w:rFonts w:cs="Arial"/>
          <w:iCs/>
          <w:szCs w:val="23"/>
          <w:u w:val="none"/>
        </w:rPr>
      </w:pPr>
      <w:r w:rsidRPr="00BE1024">
        <w:rPr>
          <w:rFonts w:cs="Arial"/>
          <w:iCs/>
          <w:szCs w:val="23"/>
          <w:u w:val="none"/>
        </w:rPr>
        <w:t>Incorporate social value and carbon cost work fully into the procurement strategy and process.</w:t>
      </w:r>
    </w:p>
    <w:p w14:paraId="4B02C471" w14:textId="77777777" w:rsidR="00BE1024" w:rsidRPr="00BE1024" w:rsidRDefault="00BE1024" w:rsidP="00BE1024">
      <w:pPr>
        <w:pStyle w:val="ListParagraph"/>
        <w:numPr>
          <w:ilvl w:val="0"/>
          <w:numId w:val="21"/>
        </w:numPr>
        <w:ind w:left="1070"/>
        <w:contextualSpacing w:val="0"/>
        <w:jc w:val="both"/>
        <w:rPr>
          <w:rFonts w:asciiTheme="minorHAnsi" w:hAnsiTheme="minorHAnsi"/>
          <w:szCs w:val="23"/>
          <w:u w:val="none"/>
        </w:rPr>
      </w:pPr>
      <w:r w:rsidRPr="00BE1024">
        <w:rPr>
          <w:rStyle w:val="normaltextrun"/>
          <w:rFonts w:cs="Arial"/>
          <w:color w:val="000000"/>
          <w:u w:val="none"/>
          <w:shd w:val="clear" w:color="auto" w:fill="FFFFFF"/>
        </w:rPr>
        <w:t xml:space="preserve">Chair of Governance to consider whether </w:t>
      </w:r>
      <w:r w:rsidRPr="00BE1024">
        <w:rPr>
          <w:rStyle w:val="normaltextrun"/>
          <w:u w:val="none"/>
        </w:rPr>
        <w:t>a private meeting with external and/or internal audit is required.</w:t>
      </w:r>
      <w:r w:rsidRPr="00BE1024">
        <w:rPr>
          <w:rStyle w:val="eop"/>
          <w:rFonts w:cs="Arial"/>
          <w:color w:val="000000"/>
          <w:szCs w:val="23"/>
          <w:u w:val="none"/>
          <w:shd w:val="clear" w:color="auto" w:fill="FFFFFF"/>
        </w:rPr>
        <w:t> </w:t>
      </w:r>
    </w:p>
    <w:p w14:paraId="443711F2" w14:textId="77777777" w:rsidR="00BE1024" w:rsidRPr="00BE1024" w:rsidRDefault="00BE1024" w:rsidP="00BE1024">
      <w:pPr>
        <w:pStyle w:val="ListParagraph"/>
        <w:numPr>
          <w:ilvl w:val="0"/>
          <w:numId w:val="21"/>
        </w:numPr>
        <w:tabs>
          <w:tab w:val="right" w:pos="9200"/>
        </w:tabs>
        <w:ind w:left="1070"/>
        <w:contextualSpacing w:val="0"/>
        <w:rPr>
          <w:rFonts w:cs="Arial"/>
          <w:iCs/>
          <w:szCs w:val="23"/>
          <w:u w:val="none"/>
        </w:rPr>
      </w:pPr>
      <w:r w:rsidRPr="00BE1024">
        <w:rPr>
          <w:rFonts w:cs="Arial"/>
          <w:iCs/>
          <w:szCs w:val="23"/>
          <w:u w:val="none"/>
        </w:rPr>
        <w:t>Increase the rate of annual staff appraisal completion to support the skills audit.</w:t>
      </w:r>
    </w:p>
    <w:p w14:paraId="0FB8442A" w14:textId="77777777" w:rsidR="00BE1024" w:rsidRPr="00BE1024" w:rsidRDefault="00BE1024" w:rsidP="00BE1024">
      <w:pPr>
        <w:pStyle w:val="ListParagraph"/>
        <w:numPr>
          <w:ilvl w:val="0"/>
          <w:numId w:val="21"/>
        </w:numPr>
        <w:tabs>
          <w:tab w:val="right" w:pos="9200"/>
        </w:tabs>
        <w:ind w:left="1070"/>
        <w:contextualSpacing w:val="0"/>
        <w:rPr>
          <w:rFonts w:cs="Arial"/>
          <w:iCs/>
          <w:szCs w:val="23"/>
          <w:u w:val="none"/>
        </w:rPr>
      </w:pPr>
      <w:r w:rsidRPr="00BE1024">
        <w:rPr>
          <w:rFonts w:cs="Arial"/>
          <w:iCs/>
          <w:szCs w:val="23"/>
          <w:u w:val="none"/>
        </w:rPr>
        <w:t xml:space="preserve">Monitor readiness for and compliance with the </w:t>
      </w:r>
      <w:r w:rsidRPr="00BE1024">
        <w:rPr>
          <w:rFonts w:cs="Arial"/>
          <w:color w:val="000000"/>
          <w:szCs w:val="23"/>
          <w:u w:val="none"/>
        </w:rPr>
        <w:t>Data Protection and Digital Information Bill</w:t>
      </w:r>
    </w:p>
    <w:p w14:paraId="2B1BAB2B" w14:textId="77777777" w:rsidR="00BE1024" w:rsidRPr="00BE1024" w:rsidRDefault="00BE1024" w:rsidP="00BE1024">
      <w:pPr>
        <w:pStyle w:val="ListParagraph"/>
        <w:numPr>
          <w:ilvl w:val="0"/>
          <w:numId w:val="21"/>
        </w:numPr>
        <w:tabs>
          <w:tab w:val="right" w:pos="9200"/>
        </w:tabs>
        <w:ind w:left="1070"/>
        <w:contextualSpacing w:val="0"/>
        <w:rPr>
          <w:rFonts w:cs="Arial"/>
          <w:iCs/>
          <w:szCs w:val="23"/>
          <w:u w:val="none"/>
        </w:rPr>
      </w:pPr>
      <w:r w:rsidRPr="00BE1024">
        <w:rPr>
          <w:rFonts w:cs="Arial"/>
          <w:iCs/>
          <w:szCs w:val="23"/>
          <w:u w:val="none"/>
        </w:rPr>
        <w:t>Consider whether further reporting, confirming how feedback from service users has led to change, would add value. If we conclude it would, put the reporting method in place.</w:t>
      </w:r>
    </w:p>
    <w:p w14:paraId="5F825507" w14:textId="77777777" w:rsidR="00BE1024" w:rsidRPr="00AD0EF4" w:rsidRDefault="00BE1024" w:rsidP="00BE1024"/>
    <w:p w14:paraId="2604E787" w14:textId="77777777" w:rsidR="00BE1024" w:rsidRPr="00AD0EF4" w:rsidRDefault="00BE1024" w:rsidP="00BE1024">
      <w:r w:rsidRPr="00AD0EF4">
        <w:t>We propose over the coming year to take steps to address the above matters to further enhance our governance arrangements and will monitor their implementation and operation as part of our next annual review.</w:t>
      </w:r>
    </w:p>
    <w:p w14:paraId="528F8B99" w14:textId="77777777" w:rsidR="004C2EC8" w:rsidRPr="004C2EC8" w:rsidRDefault="004C2EC8" w:rsidP="004C2EC8"/>
    <w:p w14:paraId="67EB5268" w14:textId="77777777" w:rsidR="004C2EC8" w:rsidRPr="004C2EC8" w:rsidRDefault="004C2EC8" w:rsidP="004C2EC8"/>
    <w:p w14:paraId="49C55A37" w14:textId="77777777" w:rsidR="004C2EC8" w:rsidRPr="004C2EC8" w:rsidRDefault="004C2EC8" w:rsidP="00DB1DCB">
      <w:pPr>
        <w:pStyle w:val="ListParagraph"/>
        <w:numPr>
          <w:ilvl w:val="0"/>
          <w:numId w:val="38"/>
        </w:numPr>
        <w:ind w:left="567" w:hanging="567"/>
        <w:contextualSpacing w:val="0"/>
        <w:rPr>
          <w:b/>
          <w:bCs/>
          <w:szCs w:val="23"/>
          <w:u w:val="none"/>
        </w:rPr>
      </w:pPr>
      <w:r w:rsidRPr="004C2EC8">
        <w:rPr>
          <w:b/>
          <w:bCs/>
          <w:szCs w:val="23"/>
          <w:u w:val="none"/>
        </w:rPr>
        <w:t>Opinion</w:t>
      </w:r>
    </w:p>
    <w:p w14:paraId="3322C22E" w14:textId="77777777" w:rsidR="004C2EC8" w:rsidRPr="004C2EC8" w:rsidRDefault="004C2EC8" w:rsidP="004C2EC8"/>
    <w:p w14:paraId="57801C27" w14:textId="77777777" w:rsidR="004C2EC8" w:rsidRPr="004C2EC8" w:rsidRDefault="004C2EC8" w:rsidP="004C2EC8">
      <w:r w:rsidRPr="004C2EC8">
        <w:t xml:space="preserve">We are satisfied that there are no significant governance issues and that the governance arrangements are fit for purpose. </w:t>
      </w:r>
    </w:p>
    <w:p w14:paraId="68C4DBE8" w14:textId="77777777" w:rsidR="004C2EC8" w:rsidRPr="002D7873" w:rsidRDefault="004C2EC8" w:rsidP="004C2EC8">
      <w:pPr>
        <w:rPr>
          <w:b/>
        </w:rPr>
      </w:pPr>
    </w:p>
    <w:p w14:paraId="63354805" w14:textId="25AAB445" w:rsidR="004C2EC8" w:rsidRPr="0009290C" w:rsidRDefault="004C2EC8" w:rsidP="004C2EC8">
      <w:pPr>
        <w:rPr>
          <w:rFonts w:ascii="Times New Roman" w:hAnsi="Times New Roman"/>
          <w:bCs/>
          <w:sz w:val="24"/>
          <w:szCs w:val="24"/>
        </w:rPr>
      </w:pPr>
    </w:p>
    <w:p w14:paraId="6AD3A379" w14:textId="5709E0B3" w:rsidR="004C2EC8" w:rsidRPr="002D7873" w:rsidRDefault="00C56D08" w:rsidP="004C2EC8">
      <w:pPr>
        <w:rPr>
          <w:b/>
        </w:rPr>
      </w:pPr>
      <w:r>
        <w:rPr>
          <w:b/>
        </w:rPr>
        <w:t xml:space="preserve">                  </w:t>
      </w:r>
    </w:p>
    <w:p w14:paraId="767515E0" w14:textId="729FB656" w:rsidR="008928F2" w:rsidRPr="006A7AA2" w:rsidRDefault="004C2EC8" w:rsidP="004C2EC8">
      <w:pPr>
        <w:rPr>
          <w:b/>
        </w:rPr>
      </w:pPr>
      <w:r w:rsidRPr="006A7AA2">
        <w:rPr>
          <w:b/>
        </w:rPr>
        <w:t xml:space="preserve">Signed:  </w:t>
      </w:r>
      <w:r w:rsidR="006A7AA2" w:rsidRPr="006A7AA2">
        <w:rPr>
          <w:b/>
        </w:rPr>
        <w:t xml:space="preserve">TIFFANY HUNT </w:t>
      </w:r>
      <w:r w:rsidR="006A7AA2">
        <w:rPr>
          <w:b/>
        </w:rPr>
        <w:t xml:space="preserve">  </w:t>
      </w:r>
      <w:r w:rsidR="006A7AA2" w:rsidRPr="006A7AA2">
        <w:rPr>
          <w:b/>
        </w:rPr>
        <w:t>30/5/2024</w:t>
      </w:r>
      <w:r w:rsidRPr="006A7AA2">
        <w:rPr>
          <w:b/>
        </w:rPr>
        <w:tab/>
      </w:r>
      <w:r w:rsidRPr="006A7AA2">
        <w:rPr>
          <w:b/>
        </w:rPr>
        <w:tab/>
      </w:r>
    </w:p>
    <w:p w14:paraId="7CDBD117" w14:textId="77777777" w:rsidR="006A7AA2" w:rsidRDefault="006A7AA2" w:rsidP="004C2EC8">
      <w:pPr>
        <w:rPr>
          <w:b/>
        </w:rPr>
      </w:pPr>
    </w:p>
    <w:p w14:paraId="4A9E83AD" w14:textId="7422F9F3" w:rsidR="008928F2" w:rsidRPr="006A7AA2" w:rsidRDefault="008928F2" w:rsidP="004C2EC8">
      <w:pPr>
        <w:rPr>
          <w:b/>
        </w:rPr>
      </w:pPr>
      <w:r w:rsidRPr="006A7AA2">
        <w:rPr>
          <w:b/>
        </w:rPr>
        <w:t>Tiffany Hunt MBE</w:t>
      </w:r>
    </w:p>
    <w:p w14:paraId="630FC1A4" w14:textId="1D1F3457" w:rsidR="008928F2" w:rsidRPr="006A7AA2" w:rsidRDefault="008928F2" w:rsidP="004C2EC8">
      <w:pPr>
        <w:rPr>
          <w:b/>
        </w:rPr>
      </w:pPr>
      <w:r w:rsidRPr="006A7AA2">
        <w:t>Chair</w:t>
      </w:r>
    </w:p>
    <w:p w14:paraId="72AFC3A3" w14:textId="77777777" w:rsidR="008928F2" w:rsidRPr="006C7E96" w:rsidRDefault="008928F2" w:rsidP="004C2EC8">
      <w:pPr>
        <w:rPr>
          <w:b/>
          <w:highlight w:val="red"/>
        </w:rPr>
      </w:pPr>
    </w:p>
    <w:p w14:paraId="6FDAD6C1" w14:textId="77777777" w:rsidR="0009290C" w:rsidRPr="006C7E96" w:rsidRDefault="008928F2" w:rsidP="004C2EC8">
      <w:pPr>
        <w:rPr>
          <w:b/>
          <w:highlight w:val="red"/>
        </w:rPr>
      </w:pPr>
      <w:r w:rsidRPr="006C7E96">
        <w:rPr>
          <w:b/>
          <w:highlight w:val="red"/>
        </w:rPr>
        <w:t xml:space="preserve">    </w:t>
      </w:r>
    </w:p>
    <w:p w14:paraId="3A746D7D" w14:textId="14B53054" w:rsidR="0009290C" w:rsidRPr="006C7E96" w:rsidRDefault="0009290C" w:rsidP="004C2EC8">
      <w:pPr>
        <w:rPr>
          <w:rFonts w:ascii="Times New Roman" w:hAnsi="Times New Roman"/>
          <w:bCs/>
          <w:sz w:val="24"/>
          <w:szCs w:val="24"/>
          <w:highlight w:val="red"/>
        </w:rPr>
      </w:pPr>
    </w:p>
    <w:p w14:paraId="504820B9" w14:textId="396D8AD9" w:rsidR="008928F2" w:rsidRPr="006C7E96" w:rsidRDefault="008928F2" w:rsidP="004C2EC8">
      <w:pPr>
        <w:rPr>
          <w:b/>
          <w:highlight w:val="red"/>
        </w:rPr>
      </w:pPr>
      <w:r w:rsidRPr="006C7E96">
        <w:rPr>
          <w:b/>
          <w:highlight w:val="red"/>
        </w:rPr>
        <w:t xml:space="preserve">               </w:t>
      </w:r>
    </w:p>
    <w:p w14:paraId="4FE217CC" w14:textId="7DB0CAC4" w:rsidR="004C2EC8" w:rsidRPr="006A7AA2" w:rsidRDefault="008928F2" w:rsidP="004C2EC8">
      <w:pPr>
        <w:rPr>
          <w:b/>
        </w:rPr>
      </w:pPr>
      <w:r w:rsidRPr="006A7AA2">
        <w:rPr>
          <w:b/>
        </w:rPr>
        <w:t xml:space="preserve">Signed: </w:t>
      </w:r>
      <w:r w:rsidR="006A7AA2" w:rsidRPr="006A7AA2">
        <w:rPr>
          <w:b/>
        </w:rPr>
        <w:t xml:space="preserve"> RICHARD LEAFE    24/5/2024</w:t>
      </w:r>
    </w:p>
    <w:p w14:paraId="2D3853CA" w14:textId="77777777" w:rsidR="006A7AA2" w:rsidRPr="006A7AA2" w:rsidRDefault="006A7AA2" w:rsidP="008928F2">
      <w:pPr>
        <w:tabs>
          <w:tab w:val="left" w:pos="1610"/>
        </w:tabs>
        <w:rPr>
          <w:b/>
          <w:bCs/>
        </w:rPr>
      </w:pPr>
    </w:p>
    <w:p w14:paraId="75BBBCDE" w14:textId="025FB891" w:rsidR="008928F2" w:rsidRPr="006A7AA2" w:rsidRDefault="006C7E96" w:rsidP="008928F2">
      <w:pPr>
        <w:tabs>
          <w:tab w:val="left" w:pos="1610"/>
        </w:tabs>
        <w:rPr>
          <w:b/>
          <w:bCs/>
        </w:rPr>
      </w:pPr>
      <w:r w:rsidRPr="006A7AA2">
        <w:rPr>
          <w:b/>
          <w:bCs/>
        </w:rPr>
        <w:t>Richard Leafe</w:t>
      </w:r>
    </w:p>
    <w:p w14:paraId="39E1F83B" w14:textId="4325D523" w:rsidR="004C2EC8" w:rsidRPr="002D7873" w:rsidRDefault="004C2EC8" w:rsidP="008928F2">
      <w:pPr>
        <w:tabs>
          <w:tab w:val="left" w:pos="1610"/>
        </w:tabs>
      </w:pPr>
      <w:r w:rsidRPr="006A7AA2">
        <w:t>Chief Executive</w:t>
      </w:r>
    </w:p>
    <w:p w14:paraId="2CFCD3B0" w14:textId="77777777" w:rsidR="004C2EC8" w:rsidRDefault="004C2EC8" w:rsidP="004C2EC8">
      <w:pPr>
        <w:ind w:firstLine="709"/>
      </w:pPr>
    </w:p>
    <w:p w14:paraId="5F3DBF64" w14:textId="77777777" w:rsidR="00C56D08" w:rsidRPr="002D7873" w:rsidRDefault="00C56D08" w:rsidP="004C2EC8">
      <w:pPr>
        <w:ind w:firstLine="709"/>
      </w:pPr>
    </w:p>
    <w:p w14:paraId="5EF85BFE" w14:textId="77777777" w:rsidR="00C56D08" w:rsidRDefault="00C56D08" w:rsidP="004C2EC8"/>
    <w:p w14:paraId="7A51E21F" w14:textId="1C2F55B9" w:rsidR="004C2EC8" w:rsidRPr="002D7873" w:rsidRDefault="004C2EC8" w:rsidP="004C2EC8">
      <w:r w:rsidRPr="002D7873">
        <w:t>On behalf of the Lake District National Park Authority</w:t>
      </w:r>
    </w:p>
    <w:p w14:paraId="485A49BA" w14:textId="6061FC82" w:rsidR="008D7EE4" w:rsidRPr="008D7EE4" w:rsidRDefault="008D7EE4" w:rsidP="00782866">
      <w:pPr>
        <w:rPr>
          <w:sz w:val="22"/>
          <w:szCs w:val="22"/>
        </w:rPr>
        <w:sectPr w:rsidR="008D7EE4" w:rsidRPr="008D7EE4" w:rsidSect="00397A5D">
          <w:pgSz w:w="11906" w:h="16838" w:code="9"/>
          <w:pgMar w:top="1135" w:right="991" w:bottom="993" w:left="1276" w:header="709" w:footer="403" w:gutter="0"/>
          <w:cols w:space="708"/>
          <w:docGrid w:linePitch="360"/>
        </w:sectPr>
      </w:pPr>
      <w:r>
        <w:rPr>
          <w:sz w:val="22"/>
          <w:szCs w:val="22"/>
        </w:rPr>
        <w:t xml:space="preserve"> </w:t>
      </w:r>
      <w:r w:rsidR="008928F2">
        <w:rPr>
          <w:sz w:val="22"/>
          <w:szCs w:val="22"/>
        </w:rPr>
        <w:t xml:space="preserve">  </w:t>
      </w:r>
    </w:p>
    <w:p w14:paraId="485A49BB" w14:textId="641F725B" w:rsidR="008A14A3" w:rsidRPr="004C2EC8" w:rsidRDefault="008A14A3" w:rsidP="00DC13BD">
      <w:pPr>
        <w:pStyle w:val="Heading1"/>
        <w:jc w:val="left"/>
      </w:pPr>
      <w:bookmarkStart w:id="644" w:name="_Toc167965825"/>
      <w:r w:rsidRPr="006C7E96">
        <w:lastRenderedPageBreak/>
        <w:t>G</w:t>
      </w:r>
      <w:bookmarkEnd w:id="643"/>
      <w:r w:rsidR="009C5A0E" w:rsidRPr="006C7E96">
        <w:t>lossary of Terms</w:t>
      </w:r>
      <w:bookmarkEnd w:id="644"/>
    </w:p>
    <w:p w14:paraId="485A49BC" w14:textId="77777777" w:rsidR="008A14A3" w:rsidRPr="004C2EC8" w:rsidRDefault="008A14A3" w:rsidP="006D2EED">
      <w:pPr>
        <w:rPr>
          <w:rFonts w:cs="Arial"/>
        </w:rPr>
      </w:pPr>
    </w:p>
    <w:p w14:paraId="485A49BD" w14:textId="77777777" w:rsidR="008A14A3" w:rsidRPr="004C2EC8" w:rsidRDefault="008A14A3" w:rsidP="006D2EED">
      <w:pPr>
        <w:autoSpaceDE w:val="0"/>
        <w:autoSpaceDN w:val="0"/>
        <w:adjustRightInd w:val="0"/>
        <w:rPr>
          <w:rFonts w:cs="Arial"/>
          <w:b/>
          <w:bCs/>
          <w:szCs w:val="20"/>
          <w:lang w:val="en-US"/>
        </w:rPr>
      </w:pPr>
    </w:p>
    <w:p w14:paraId="485A49BE"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Accounting Period - </w:t>
      </w:r>
      <w:r w:rsidRPr="004C2EC8">
        <w:rPr>
          <w:rFonts w:cs="Arial"/>
          <w:szCs w:val="20"/>
          <w:lang w:val="en-US"/>
        </w:rPr>
        <w:t>The period of time covered by the accounts, normally 12 months commenci</w:t>
      </w:r>
      <w:r w:rsidR="001A7638" w:rsidRPr="004C2EC8">
        <w:rPr>
          <w:rFonts w:cs="Arial"/>
          <w:szCs w:val="20"/>
          <w:lang w:val="en-US"/>
        </w:rPr>
        <w:t xml:space="preserve">ng </w:t>
      </w:r>
      <w:r w:rsidRPr="004C2EC8">
        <w:rPr>
          <w:rFonts w:cs="Arial"/>
          <w:szCs w:val="20"/>
          <w:lang w:val="en-US"/>
        </w:rPr>
        <w:t>on 1st April for local authorities.</w:t>
      </w:r>
    </w:p>
    <w:p w14:paraId="485A49BF" w14:textId="77777777" w:rsidR="008A14A3" w:rsidRPr="004C2EC8" w:rsidRDefault="008A14A3" w:rsidP="006D2EED">
      <w:pPr>
        <w:autoSpaceDE w:val="0"/>
        <w:autoSpaceDN w:val="0"/>
        <w:adjustRightInd w:val="0"/>
        <w:rPr>
          <w:rFonts w:cs="Arial"/>
          <w:szCs w:val="20"/>
          <w:lang w:val="en-US"/>
        </w:rPr>
      </w:pPr>
    </w:p>
    <w:p w14:paraId="485A49C0" w14:textId="77777777" w:rsidR="00E0086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Accruals - </w:t>
      </w:r>
      <w:r w:rsidRPr="004C2EC8">
        <w:rPr>
          <w:rFonts w:cs="Arial"/>
          <w:szCs w:val="20"/>
          <w:lang w:val="en-US"/>
        </w:rPr>
        <w:t>Sums included in the final accounts to cover income or expenditure attributable to the accounting period but for which payment has not been made</w:t>
      </w:r>
      <w:r w:rsidR="00977D80" w:rsidRPr="004C2EC8">
        <w:rPr>
          <w:rFonts w:cs="Arial"/>
          <w:szCs w:val="20"/>
          <w:lang w:val="en-US"/>
        </w:rPr>
        <w:t xml:space="preserve"> or </w:t>
      </w:r>
      <w:r w:rsidRPr="004C2EC8">
        <w:rPr>
          <w:rFonts w:cs="Arial"/>
          <w:szCs w:val="20"/>
          <w:lang w:val="en-US"/>
        </w:rPr>
        <w:t>received at the balance sheet date.</w:t>
      </w:r>
    </w:p>
    <w:p w14:paraId="485A49C1" w14:textId="77777777" w:rsidR="00E00863" w:rsidRPr="004C2EC8" w:rsidRDefault="00E00863" w:rsidP="006D2EED">
      <w:pPr>
        <w:autoSpaceDE w:val="0"/>
        <w:autoSpaceDN w:val="0"/>
        <w:adjustRightInd w:val="0"/>
        <w:rPr>
          <w:rFonts w:cs="Arial"/>
          <w:szCs w:val="20"/>
          <w:lang w:val="en-US"/>
        </w:rPr>
      </w:pPr>
    </w:p>
    <w:p w14:paraId="485A49C2"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Amortisation</w:t>
      </w:r>
      <w:r w:rsidRPr="004C2EC8">
        <w:rPr>
          <w:rFonts w:cs="Arial"/>
          <w:szCs w:val="20"/>
          <w:lang w:val="en-US"/>
        </w:rPr>
        <w:t xml:space="preserve"> – The writing down of intangible assets and </w:t>
      </w:r>
      <w:r w:rsidR="00773785" w:rsidRPr="004C2EC8">
        <w:rPr>
          <w:rFonts w:cs="Arial"/>
          <w:szCs w:val="20"/>
          <w:lang w:val="en-US"/>
        </w:rPr>
        <w:t>revenue expenditure funded from capital resources</w:t>
      </w:r>
      <w:r w:rsidRPr="004C2EC8">
        <w:rPr>
          <w:rFonts w:cs="Arial"/>
          <w:szCs w:val="20"/>
          <w:lang w:val="en-US"/>
        </w:rPr>
        <w:t xml:space="preserve"> by making a charge (similar to depreciation) to service revenue accounts.</w:t>
      </w:r>
    </w:p>
    <w:p w14:paraId="485A49C3" w14:textId="77777777" w:rsidR="008A14A3" w:rsidRPr="004C2EC8" w:rsidRDefault="008A14A3" w:rsidP="006D2EED">
      <w:pPr>
        <w:autoSpaceDE w:val="0"/>
        <w:autoSpaceDN w:val="0"/>
        <w:adjustRightInd w:val="0"/>
        <w:rPr>
          <w:rFonts w:cs="Arial"/>
          <w:szCs w:val="20"/>
          <w:lang w:val="en-US"/>
        </w:rPr>
      </w:pPr>
    </w:p>
    <w:p w14:paraId="485A49C4" w14:textId="77777777" w:rsidR="008A14A3" w:rsidRPr="004C2EC8" w:rsidRDefault="008A14A3" w:rsidP="006D2EED">
      <w:pPr>
        <w:autoSpaceDE w:val="0"/>
        <w:autoSpaceDN w:val="0"/>
        <w:adjustRightInd w:val="0"/>
        <w:rPr>
          <w:rFonts w:cs="Arial"/>
          <w:szCs w:val="24"/>
        </w:rPr>
      </w:pPr>
      <w:r w:rsidRPr="004C2EC8">
        <w:rPr>
          <w:rFonts w:cs="Arial"/>
          <w:b/>
          <w:bCs/>
          <w:szCs w:val="24"/>
        </w:rPr>
        <w:t>Budget -</w:t>
      </w:r>
      <w:r w:rsidRPr="004C2EC8">
        <w:rPr>
          <w:rFonts w:cs="Arial"/>
          <w:szCs w:val="24"/>
        </w:rPr>
        <w:t xml:space="preserve"> A statement of the Authority’s plans in financial terms.</w:t>
      </w:r>
      <w:r w:rsidR="00D95903" w:rsidRPr="004C2EC8">
        <w:rPr>
          <w:rFonts w:cs="Arial"/>
          <w:szCs w:val="24"/>
        </w:rPr>
        <w:t xml:space="preserve"> </w:t>
      </w:r>
      <w:r w:rsidRPr="004C2EC8">
        <w:rPr>
          <w:rFonts w:cs="Arial"/>
          <w:szCs w:val="24"/>
        </w:rPr>
        <w:t>A budget is prepared and approved by the Lake District National Park Authority prior to the start of each financial year and is used to monitor actual expenditure throughout the year.</w:t>
      </w:r>
    </w:p>
    <w:p w14:paraId="485A49C5" w14:textId="77777777" w:rsidR="008A14A3" w:rsidRPr="004C2EC8" w:rsidRDefault="008A14A3" w:rsidP="006D2EED">
      <w:pPr>
        <w:autoSpaceDE w:val="0"/>
        <w:autoSpaceDN w:val="0"/>
        <w:adjustRightInd w:val="0"/>
        <w:rPr>
          <w:rFonts w:cs="Arial"/>
          <w:b/>
          <w:bCs/>
          <w:szCs w:val="20"/>
          <w:lang w:val="en-US"/>
        </w:rPr>
      </w:pPr>
    </w:p>
    <w:p w14:paraId="485A49C6"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Capital Expenditure - </w:t>
      </w:r>
      <w:r w:rsidRPr="004C2EC8">
        <w:rPr>
          <w:rFonts w:cs="Arial"/>
          <w:szCs w:val="20"/>
          <w:lang w:val="en-US"/>
        </w:rPr>
        <w:t>Expenditure on new assets such as land and buildings, or on enhancements to existing assets that significantly prolong their useful life or increase their value.</w:t>
      </w:r>
    </w:p>
    <w:p w14:paraId="485A49C7" w14:textId="77777777" w:rsidR="008A14A3" w:rsidRPr="004C2EC8" w:rsidRDefault="008A14A3" w:rsidP="006D2EED">
      <w:pPr>
        <w:autoSpaceDE w:val="0"/>
        <w:autoSpaceDN w:val="0"/>
        <w:adjustRightInd w:val="0"/>
        <w:rPr>
          <w:rFonts w:cs="Arial"/>
          <w:szCs w:val="20"/>
          <w:lang w:val="en-US"/>
        </w:rPr>
      </w:pPr>
    </w:p>
    <w:p w14:paraId="485A49C8"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Capital Financing Costs - </w:t>
      </w:r>
      <w:r w:rsidRPr="004C2EC8">
        <w:rPr>
          <w:rFonts w:cs="Arial"/>
          <w:szCs w:val="20"/>
          <w:lang w:val="en-US"/>
        </w:rPr>
        <w:t>The annual cost of borrowing (principal repayments and interest charges), leasing charges and other costs of funding capital expenditure.</w:t>
      </w:r>
    </w:p>
    <w:p w14:paraId="485A49C9" w14:textId="77777777" w:rsidR="008A14A3" w:rsidRPr="004C2EC8" w:rsidRDefault="008A14A3" w:rsidP="006D2EED">
      <w:pPr>
        <w:autoSpaceDE w:val="0"/>
        <w:autoSpaceDN w:val="0"/>
        <w:adjustRightInd w:val="0"/>
        <w:rPr>
          <w:rFonts w:cs="Arial"/>
          <w:szCs w:val="20"/>
          <w:lang w:val="en-US"/>
        </w:rPr>
      </w:pPr>
    </w:p>
    <w:p w14:paraId="485A49CA"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Capital Receipt - </w:t>
      </w:r>
      <w:r w:rsidRPr="004C2EC8">
        <w:rPr>
          <w:rFonts w:cs="Arial"/>
          <w:szCs w:val="20"/>
          <w:lang w:val="en-US"/>
        </w:rPr>
        <w:t>Income from the sale of capital assets such as land or buildings.</w:t>
      </w:r>
    </w:p>
    <w:p w14:paraId="485A49CB" w14:textId="77777777" w:rsidR="008A14A3" w:rsidRPr="004C2EC8" w:rsidRDefault="008A14A3" w:rsidP="006D2EED">
      <w:pPr>
        <w:autoSpaceDE w:val="0"/>
        <w:autoSpaceDN w:val="0"/>
        <w:adjustRightInd w:val="0"/>
        <w:rPr>
          <w:rFonts w:cs="Arial"/>
          <w:szCs w:val="20"/>
          <w:lang w:val="en-US"/>
        </w:rPr>
      </w:pPr>
    </w:p>
    <w:p w14:paraId="485A49CC" w14:textId="77777777" w:rsidR="00A53DEE" w:rsidRPr="004C2EC8" w:rsidRDefault="00A53DEE" w:rsidP="006D2EED">
      <w:pPr>
        <w:autoSpaceDE w:val="0"/>
        <w:autoSpaceDN w:val="0"/>
        <w:adjustRightInd w:val="0"/>
        <w:rPr>
          <w:rFonts w:cs="Arial"/>
          <w:szCs w:val="20"/>
          <w:lang w:val="en-US"/>
        </w:rPr>
      </w:pPr>
      <w:r w:rsidRPr="004C2EC8">
        <w:rPr>
          <w:rFonts w:cs="Arial"/>
          <w:b/>
          <w:szCs w:val="20"/>
          <w:lang w:val="en-US"/>
        </w:rPr>
        <w:t>CIPFA –</w:t>
      </w:r>
      <w:r w:rsidRPr="004C2EC8">
        <w:rPr>
          <w:rFonts w:cs="Arial"/>
          <w:szCs w:val="20"/>
          <w:lang w:val="en-US"/>
        </w:rPr>
        <w:t xml:space="preserve"> Chartered Institute of Public Finance and Accountancy</w:t>
      </w:r>
    </w:p>
    <w:p w14:paraId="485A49CD" w14:textId="77777777" w:rsidR="00A53DEE" w:rsidRPr="004C2EC8" w:rsidRDefault="00A53DEE" w:rsidP="006D2EED">
      <w:pPr>
        <w:autoSpaceDE w:val="0"/>
        <w:autoSpaceDN w:val="0"/>
        <w:adjustRightInd w:val="0"/>
        <w:rPr>
          <w:rFonts w:cs="Arial"/>
          <w:szCs w:val="20"/>
          <w:lang w:val="en-US"/>
        </w:rPr>
      </w:pPr>
    </w:p>
    <w:p w14:paraId="485A49CE"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Creditors - </w:t>
      </w:r>
      <w:r w:rsidR="001A7638" w:rsidRPr="004C2EC8">
        <w:rPr>
          <w:rFonts w:cs="Arial"/>
          <w:szCs w:val="20"/>
          <w:lang w:val="en-US"/>
        </w:rPr>
        <w:t>Amounts owed by the Authority</w:t>
      </w:r>
      <w:r w:rsidRPr="004C2EC8">
        <w:rPr>
          <w:rFonts w:cs="Arial"/>
          <w:szCs w:val="20"/>
          <w:lang w:val="en-US"/>
        </w:rPr>
        <w:t xml:space="preserve"> at 31 March for goods received or services rendered but not yet paid for.</w:t>
      </w:r>
    </w:p>
    <w:p w14:paraId="485A49CF" w14:textId="77777777" w:rsidR="008A14A3" w:rsidRPr="004C2EC8" w:rsidRDefault="008A14A3" w:rsidP="006D2EED">
      <w:pPr>
        <w:autoSpaceDE w:val="0"/>
        <w:autoSpaceDN w:val="0"/>
        <w:adjustRightInd w:val="0"/>
        <w:rPr>
          <w:rFonts w:cs="Arial"/>
          <w:szCs w:val="20"/>
          <w:lang w:val="en-US"/>
        </w:rPr>
      </w:pPr>
    </w:p>
    <w:p w14:paraId="485A49D0"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Current Assets - </w:t>
      </w:r>
      <w:r w:rsidRPr="004C2EC8">
        <w:rPr>
          <w:rFonts w:cs="Arial"/>
          <w:szCs w:val="20"/>
          <w:lang w:val="en-US"/>
        </w:rPr>
        <w:t>Assets which can be expected to be consumed or realised during the next accounting period.</w:t>
      </w:r>
    </w:p>
    <w:p w14:paraId="485A49D1" w14:textId="77777777" w:rsidR="008A14A3" w:rsidRPr="004C2EC8" w:rsidRDefault="008A14A3" w:rsidP="006D2EED">
      <w:pPr>
        <w:autoSpaceDE w:val="0"/>
        <w:autoSpaceDN w:val="0"/>
        <w:adjustRightInd w:val="0"/>
        <w:rPr>
          <w:rFonts w:cs="Arial"/>
          <w:szCs w:val="20"/>
          <w:lang w:val="en-US"/>
        </w:rPr>
      </w:pPr>
    </w:p>
    <w:p w14:paraId="485A49D2"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Current Liabilities - </w:t>
      </w:r>
      <w:r w:rsidRPr="004C2EC8">
        <w:rPr>
          <w:rFonts w:cs="Arial"/>
          <w:szCs w:val="20"/>
          <w:lang w:val="en-US"/>
        </w:rPr>
        <w:t>Amounts which will become due or could be called upon during the next accounting period.</w:t>
      </w:r>
    </w:p>
    <w:p w14:paraId="485A49D3" w14:textId="77777777" w:rsidR="008A14A3" w:rsidRPr="004C2EC8" w:rsidRDefault="008A14A3" w:rsidP="006D2EED">
      <w:pPr>
        <w:autoSpaceDE w:val="0"/>
        <w:autoSpaceDN w:val="0"/>
        <w:adjustRightInd w:val="0"/>
        <w:rPr>
          <w:rFonts w:cs="Arial"/>
          <w:szCs w:val="20"/>
          <w:lang w:val="en-US"/>
        </w:rPr>
      </w:pPr>
    </w:p>
    <w:p w14:paraId="485A49D4"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Debtor - </w:t>
      </w:r>
      <w:r w:rsidR="001A7638" w:rsidRPr="004C2EC8">
        <w:rPr>
          <w:rFonts w:cs="Arial"/>
          <w:szCs w:val="20"/>
          <w:lang w:val="en-US"/>
        </w:rPr>
        <w:t>Amounts owed to the Authority</w:t>
      </w:r>
      <w:r w:rsidRPr="004C2EC8">
        <w:rPr>
          <w:rFonts w:cs="Arial"/>
          <w:szCs w:val="20"/>
          <w:lang w:val="en-US"/>
        </w:rPr>
        <w:t>, which are collectable or outstanding at 31 March.</w:t>
      </w:r>
    </w:p>
    <w:p w14:paraId="485A49D5" w14:textId="77777777" w:rsidR="008A14A3" w:rsidRPr="004C2EC8" w:rsidRDefault="008A14A3" w:rsidP="006D2EED">
      <w:pPr>
        <w:autoSpaceDE w:val="0"/>
        <w:autoSpaceDN w:val="0"/>
        <w:adjustRightInd w:val="0"/>
        <w:rPr>
          <w:rFonts w:cs="Arial"/>
          <w:szCs w:val="20"/>
          <w:lang w:val="en-US"/>
        </w:rPr>
      </w:pPr>
    </w:p>
    <w:p w14:paraId="485A49D6"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Deferred Liabilities - </w:t>
      </w:r>
      <w:r w:rsidRPr="004C2EC8">
        <w:rPr>
          <w:rFonts w:cs="Arial"/>
          <w:szCs w:val="20"/>
          <w:lang w:val="en-US"/>
        </w:rPr>
        <w:t>This represents the liability for principal repayments on finance leases.</w:t>
      </w:r>
    </w:p>
    <w:p w14:paraId="485A49D7" w14:textId="77777777" w:rsidR="008A14A3" w:rsidRPr="004C2EC8" w:rsidRDefault="008A14A3" w:rsidP="006D2EED">
      <w:pPr>
        <w:autoSpaceDE w:val="0"/>
        <w:autoSpaceDN w:val="0"/>
        <w:adjustRightInd w:val="0"/>
        <w:rPr>
          <w:rFonts w:cs="Arial"/>
          <w:szCs w:val="20"/>
          <w:lang w:val="en-US"/>
        </w:rPr>
      </w:pPr>
    </w:p>
    <w:p w14:paraId="485A49D8"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Depreciation - </w:t>
      </w:r>
      <w:r w:rsidRPr="004C2EC8">
        <w:rPr>
          <w:rFonts w:cs="Arial"/>
          <w:szCs w:val="20"/>
          <w:lang w:val="en-US"/>
        </w:rPr>
        <w:t>The estimated using up of the value of an asset, owing to age, wear and tear, deterioration, or obsolescence.</w:t>
      </w:r>
    </w:p>
    <w:p w14:paraId="485A49D9" w14:textId="77777777" w:rsidR="008A14A3" w:rsidRPr="004C2EC8" w:rsidRDefault="008A14A3" w:rsidP="006D2EED">
      <w:pPr>
        <w:autoSpaceDE w:val="0"/>
        <w:autoSpaceDN w:val="0"/>
        <w:adjustRightInd w:val="0"/>
        <w:rPr>
          <w:rFonts w:cs="Arial"/>
          <w:szCs w:val="20"/>
          <w:lang w:val="en-US"/>
        </w:rPr>
      </w:pPr>
    </w:p>
    <w:p w14:paraId="485A49DA"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Finance Lease - </w:t>
      </w:r>
      <w:r w:rsidRPr="004C2EC8">
        <w:rPr>
          <w:rFonts w:cs="Arial"/>
          <w:szCs w:val="20"/>
          <w:lang w:val="en-US"/>
        </w:rPr>
        <w:t>A lease that transfers substantially all of the risks and rewards of ownership of a fixed asset to the lessee.</w:t>
      </w:r>
    </w:p>
    <w:p w14:paraId="485A49DB" w14:textId="77777777" w:rsidR="00773785" w:rsidRPr="004C2EC8" w:rsidRDefault="00773785" w:rsidP="006D2EED">
      <w:pPr>
        <w:autoSpaceDE w:val="0"/>
        <w:autoSpaceDN w:val="0"/>
        <w:adjustRightInd w:val="0"/>
        <w:rPr>
          <w:rFonts w:cs="Arial"/>
          <w:szCs w:val="20"/>
          <w:lang w:val="en-US"/>
        </w:rPr>
      </w:pPr>
    </w:p>
    <w:p w14:paraId="485A49DC"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Government Grants - </w:t>
      </w:r>
      <w:r w:rsidRPr="004C2EC8">
        <w:rPr>
          <w:rFonts w:cs="Arial"/>
          <w:szCs w:val="20"/>
          <w:lang w:val="en-US"/>
        </w:rPr>
        <w:t>Payments by central government towards local authority expenditure. They may be specific, for example Sustainable Development Grant, or general, such as National Park Grant.</w:t>
      </w:r>
    </w:p>
    <w:p w14:paraId="485A49DD" w14:textId="77777777" w:rsidR="008A14A3" w:rsidRPr="004C2EC8" w:rsidRDefault="008A14A3" w:rsidP="006D2EED">
      <w:pPr>
        <w:autoSpaceDE w:val="0"/>
        <w:autoSpaceDN w:val="0"/>
        <w:adjustRightInd w:val="0"/>
        <w:rPr>
          <w:rFonts w:cs="Arial"/>
          <w:szCs w:val="20"/>
          <w:lang w:val="en-US"/>
        </w:rPr>
      </w:pPr>
    </w:p>
    <w:p w14:paraId="485A49DE" w14:textId="77777777" w:rsidR="00CF043A" w:rsidRPr="004C2EC8" w:rsidRDefault="00CF043A" w:rsidP="006D2EED">
      <w:pPr>
        <w:autoSpaceDE w:val="0"/>
        <w:autoSpaceDN w:val="0"/>
        <w:adjustRightInd w:val="0"/>
        <w:rPr>
          <w:rFonts w:cs="Arial"/>
          <w:szCs w:val="20"/>
          <w:lang w:val="en-US"/>
        </w:rPr>
      </w:pPr>
      <w:r w:rsidRPr="004C2EC8">
        <w:rPr>
          <w:rFonts w:cs="Arial"/>
          <w:b/>
          <w:szCs w:val="20"/>
          <w:lang w:val="en-US"/>
        </w:rPr>
        <w:t>Heritage Assets</w:t>
      </w:r>
      <w:r w:rsidRPr="004C2EC8">
        <w:rPr>
          <w:rFonts w:cs="Arial"/>
          <w:szCs w:val="20"/>
          <w:lang w:val="en-US"/>
        </w:rPr>
        <w:t xml:space="preserve"> </w:t>
      </w:r>
      <w:r w:rsidR="00355E7F" w:rsidRPr="004C2EC8">
        <w:rPr>
          <w:rFonts w:cs="Arial"/>
          <w:b/>
          <w:szCs w:val="20"/>
          <w:lang w:val="en-US"/>
        </w:rPr>
        <w:t>-</w:t>
      </w:r>
      <w:r w:rsidRPr="004C2EC8">
        <w:rPr>
          <w:rFonts w:cs="Arial"/>
          <w:szCs w:val="20"/>
          <w:lang w:val="en-US"/>
        </w:rPr>
        <w:t xml:space="preserve"> </w:t>
      </w:r>
      <w:r w:rsidR="00355E7F" w:rsidRPr="004C2EC8">
        <w:rPr>
          <w:rFonts w:cs="Arial"/>
          <w:szCs w:val="20"/>
          <w:lang w:val="en-US"/>
        </w:rPr>
        <w:t>Assets with historical, artistic, scientific, technological, geophysical or environmental qualities that are held and maintained principally for their contribution to knowledge and culture.</w:t>
      </w:r>
    </w:p>
    <w:p w14:paraId="485A49DF" w14:textId="77777777" w:rsidR="00CF043A" w:rsidRPr="004C2EC8" w:rsidRDefault="00CF043A" w:rsidP="006D2EED">
      <w:pPr>
        <w:autoSpaceDE w:val="0"/>
        <w:autoSpaceDN w:val="0"/>
        <w:adjustRightInd w:val="0"/>
        <w:rPr>
          <w:rFonts w:cs="Arial"/>
          <w:szCs w:val="20"/>
          <w:lang w:val="en-US"/>
        </w:rPr>
      </w:pPr>
    </w:p>
    <w:p w14:paraId="485A49E0"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lastRenderedPageBreak/>
        <w:t xml:space="preserve">National Park Grant - </w:t>
      </w:r>
      <w:r w:rsidRPr="004C2EC8">
        <w:rPr>
          <w:rFonts w:cs="Arial"/>
          <w:szCs w:val="20"/>
          <w:lang w:val="en-US"/>
        </w:rPr>
        <w:t>The main grant paid by central government to a National Park Authority towards the costs of its services.</w:t>
      </w:r>
    </w:p>
    <w:p w14:paraId="485A49E1" w14:textId="77777777" w:rsidR="0099063B" w:rsidRPr="004C2EC8" w:rsidRDefault="0099063B" w:rsidP="006D2EED">
      <w:pPr>
        <w:autoSpaceDE w:val="0"/>
        <w:autoSpaceDN w:val="0"/>
        <w:adjustRightInd w:val="0"/>
        <w:rPr>
          <w:rFonts w:cs="Arial"/>
          <w:b/>
          <w:bCs/>
          <w:szCs w:val="20"/>
          <w:lang w:val="en-US"/>
        </w:rPr>
      </w:pPr>
    </w:p>
    <w:p w14:paraId="485A49E2" w14:textId="77777777" w:rsidR="0099063B" w:rsidRPr="004C2EC8" w:rsidRDefault="0099063B" w:rsidP="006D2EED">
      <w:pPr>
        <w:autoSpaceDE w:val="0"/>
        <w:autoSpaceDN w:val="0"/>
        <w:adjustRightInd w:val="0"/>
        <w:rPr>
          <w:rFonts w:cs="Arial"/>
          <w:szCs w:val="20"/>
          <w:lang w:val="en-US"/>
        </w:rPr>
      </w:pPr>
      <w:r w:rsidRPr="004C2EC8">
        <w:rPr>
          <w:rFonts w:cs="Arial"/>
          <w:b/>
          <w:bCs/>
          <w:szCs w:val="20"/>
          <w:lang w:val="en-US"/>
        </w:rPr>
        <w:t xml:space="preserve">Non-Current Asset - </w:t>
      </w:r>
      <w:r w:rsidRPr="004C2EC8">
        <w:rPr>
          <w:rFonts w:cs="Arial"/>
          <w:szCs w:val="20"/>
          <w:lang w:val="en-US"/>
        </w:rPr>
        <w:t>Assets that can be expected to be of use or benefit the Authority in providing its service for more than one accounting period.</w:t>
      </w:r>
    </w:p>
    <w:p w14:paraId="485A49E3" w14:textId="77777777" w:rsidR="008A14A3" w:rsidRPr="004C2EC8" w:rsidRDefault="008A14A3" w:rsidP="006D2EED">
      <w:pPr>
        <w:autoSpaceDE w:val="0"/>
        <w:autoSpaceDN w:val="0"/>
        <w:adjustRightInd w:val="0"/>
        <w:rPr>
          <w:rFonts w:cs="Arial"/>
          <w:szCs w:val="20"/>
          <w:lang w:val="en-US"/>
        </w:rPr>
      </w:pPr>
    </w:p>
    <w:p w14:paraId="485A49E4"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Operating Lease - </w:t>
      </w:r>
      <w:r w:rsidRPr="004C2EC8">
        <w:rPr>
          <w:rFonts w:cs="Arial"/>
          <w:szCs w:val="20"/>
          <w:lang w:val="en-US"/>
        </w:rPr>
        <w:t>A lease under which the ownership of the asset remains with the</w:t>
      </w:r>
      <w:r w:rsidRPr="004C2EC8">
        <w:rPr>
          <w:rFonts w:cs="Arial"/>
          <w:szCs w:val="20"/>
        </w:rPr>
        <w:t xml:space="preserve"> lessor</w:t>
      </w:r>
      <w:r w:rsidRPr="004C2EC8">
        <w:rPr>
          <w:rFonts w:cs="Arial"/>
          <w:szCs w:val="20"/>
          <w:lang w:val="en-US"/>
        </w:rPr>
        <w:t>; for practical purposes it is equivalent to contract hiring.</w:t>
      </w:r>
    </w:p>
    <w:p w14:paraId="485A49E7" w14:textId="77777777" w:rsidR="008A14A3" w:rsidRPr="004C2EC8" w:rsidRDefault="008A14A3" w:rsidP="006D2EED">
      <w:pPr>
        <w:autoSpaceDE w:val="0"/>
        <w:autoSpaceDN w:val="0"/>
        <w:adjustRightInd w:val="0"/>
        <w:rPr>
          <w:rFonts w:cs="Arial"/>
          <w:szCs w:val="20"/>
          <w:lang w:val="en-US"/>
        </w:rPr>
      </w:pPr>
    </w:p>
    <w:p w14:paraId="485A49E8"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Provisions – </w:t>
      </w:r>
      <w:r w:rsidRPr="004C2EC8">
        <w:rPr>
          <w:rFonts w:cs="Arial"/>
          <w:szCs w:val="20"/>
          <w:lang w:val="en-US"/>
        </w:rPr>
        <w:t>Amounts set aside to meet known liabilities.</w:t>
      </w:r>
    </w:p>
    <w:p w14:paraId="485A49E9" w14:textId="77777777" w:rsidR="008A14A3" w:rsidRPr="004C2EC8" w:rsidRDefault="008A14A3" w:rsidP="006D2EED">
      <w:pPr>
        <w:autoSpaceDE w:val="0"/>
        <w:autoSpaceDN w:val="0"/>
        <w:adjustRightInd w:val="0"/>
        <w:rPr>
          <w:rFonts w:cs="Arial"/>
          <w:b/>
          <w:bCs/>
          <w:szCs w:val="20"/>
          <w:lang w:val="en-US"/>
        </w:rPr>
      </w:pPr>
    </w:p>
    <w:p w14:paraId="485A49EA"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Reserves - </w:t>
      </w:r>
      <w:r w:rsidRPr="004C2EC8">
        <w:rPr>
          <w:rFonts w:cs="Arial"/>
          <w:szCs w:val="20"/>
          <w:lang w:val="en-US"/>
        </w:rPr>
        <w:t>Amounts set aside in the accounts for the purpose of meeting future</w:t>
      </w:r>
      <w:r w:rsidR="008F1E43" w:rsidRPr="004C2EC8">
        <w:rPr>
          <w:rFonts w:cs="Arial"/>
          <w:szCs w:val="20"/>
          <w:lang w:val="en-US"/>
        </w:rPr>
        <w:t xml:space="preserve"> expenditure.</w:t>
      </w:r>
    </w:p>
    <w:p w14:paraId="485A49EB" w14:textId="77777777" w:rsidR="008A14A3" w:rsidRPr="004C2EC8" w:rsidRDefault="008A14A3" w:rsidP="006D2EED">
      <w:pPr>
        <w:autoSpaceDE w:val="0"/>
        <w:autoSpaceDN w:val="0"/>
        <w:adjustRightInd w:val="0"/>
        <w:rPr>
          <w:rFonts w:cs="Arial"/>
          <w:szCs w:val="20"/>
          <w:lang w:val="en-US"/>
        </w:rPr>
      </w:pPr>
    </w:p>
    <w:p w14:paraId="485A49EC" w14:textId="77777777" w:rsidR="008A14A3" w:rsidRPr="004C2EC8" w:rsidRDefault="008A14A3" w:rsidP="006D2EED">
      <w:pPr>
        <w:autoSpaceDE w:val="0"/>
        <w:autoSpaceDN w:val="0"/>
        <w:adjustRightInd w:val="0"/>
        <w:rPr>
          <w:rFonts w:cs="Arial"/>
          <w:szCs w:val="20"/>
          <w:lang w:val="en-US"/>
        </w:rPr>
      </w:pPr>
      <w:r w:rsidRPr="004C2EC8">
        <w:rPr>
          <w:rFonts w:cs="Arial"/>
          <w:b/>
          <w:bCs/>
          <w:szCs w:val="20"/>
          <w:lang w:val="en-US"/>
        </w:rPr>
        <w:t xml:space="preserve">Revenue Expenditure - </w:t>
      </w:r>
      <w:r w:rsidRPr="004C2EC8">
        <w:rPr>
          <w:rFonts w:cs="Arial"/>
          <w:szCs w:val="20"/>
          <w:lang w:val="en-US"/>
        </w:rPr>
        <w:t>Spending on day-to-day items including employees’ pay, premises costs and supplies and services.</w:t>
      </w:r>
    </w:p>
    <w:p w14:paraId="485A49ED" w14:textId="77777777" w:rsidR="00014B0A" w:rsidRPr="004C2EC8" w:rsidRDefault="00014B0A" w:rsidP="006D2EED">
      <w:pPr>
        <w:autoSpaceDE w:val="0"/>
        <w:autoSpaceDN w:val="0"/>
        <w:adjustRightInd w:val="0"/>
        <w:rPr>
          <w:rFonts w:cs="Arial"/>
          <w:szCs w:val="20"/>
          <w:lang w:val="en-US"/>
        </w:rPr>
      </w:pPr>
    </w:p>
    <w:p w14:paraId="485A49EE" w14:textId="77777777" w:rsidR="00014B0A" w:rsidRPr="004C2EC8" w:rsidRDefault="00014B0A" w:rsidP="006D2EED">
      <w:pPr>
        <w:autoSpaceDE w:val="0"/>
        <w:autoSpaceDN w:val="0"/>
        <w:adjustRightInd w:val="0"/>
        <w:rPr>
          <w:rFonts w:cs="Arial"/>
          <w:b/>
          <w:szCs w:val="20"/>
          <w:lang w:val="en-US"/>
        </w:rPr>
      </w:pPr>
      <w:r w:rsidRPr="004C2EC8">
        <w:rPr>
          <w:b/>
        </w:rPr>
        <w:t xml:space="preserve">Revenue Expenditure Funded from Capital </w:t>
      </w:r>
      <w:r w:rsidR="00115D3B" w:rsidRPr="004C2EC8">
        <w:rPr>
          <w:b/>
        </w:rPr>
        <w:t>Under Statute</w:t>
      </w:r>
      <w:r w:rsidRPr="004C2EC8">
        <w:rPr>
          <w:b/>
        </w:rPr>
        <w:t xml:space="preserve"> -</w:t>
      </w:r>
      <w:r w:rsidRPr="004C2EC8">
        <w:t xml:space="preserve"> </w:t>
      </w:r>
      <w:r w:rsidRPr="004C2EC8">
        <w:rPr>
          <w:rFonts w:cs="Arial"/>
          <w:szCs w:val="20"/>
          <w:lang w:val="en-US"/>
        </w:rPr>
        <w:t>Expenditure of a capital nature but for which there is no tangible asset, for example capital grants.</w:t>
      </w:r>
    </w:p>
    <w:p w14:paraId="485A49EF" w14:textId="77777777" w:rsidR="008A14A3" w:rsidRPr="004C2EC8" w:rsidRDefault="008A14A3" w:rsidP="006D2EED">
      <w:pPr>
        <w:autoSpaceDE w:val="0"/>
        <w:autoSpaceDN w:val="0"/>
        <w:adjustRightInd w:val="0"/>
        <w:rPr>
          <w:rFonts w:cs="Arial"/>
          <w:szCs w:val="20"/>
          <w:lang w:val="en-US"/>
        </w:rPr>
      </w:pPr>
    </w:p>
    <w:p w14:paraId="485A49F0" w14:textId="77777777" w:rsidR="008A14A3" w:rsidRPr="004C2EC8" w:rsidRDefault="008A14A3" w:rsidP="006D2EED">
      <w:pPr>
        <w:pStyle w:val="Heading4"/>
        <w:autoSpaceDE w:val="0"/>
        <w:autoSpaceDN w:val="0"/>
        <w:adjustRightInd w:val="0"/>
        <w:rPr>
          <w:rFonts w:cs="Arial"/>
          <w:szCs w:val="20"/>
          <w:lang w:val="en-US"/>
        </w:rPr>
      </w:pPr>
      <w:r w:rsidRPr="004C2EC8">
        <w:rPr>
          <w:rFonts w:cs="Arial"/>
          <w:szCs w:val="20"/>
          <w:lang w:val="en-US"/>
        </w:rPr>
        <w:t>Abbreviations used in the accounts</w:t>
      </w:r>
    </w:p>
    <w:p w14:paraId="485A49F2" w14:textId="77777777" w:rsidR="008A14A3" w:rsidRPr="004C2EC8" w:rsidRDefault="008A14A3" w:rsidP="006D2EED">
      <w:pPr>
        <w:autoSpaceDE w:val="0"/>
        <w:autoSpaceDN w:val="0"/>
        <w:adjustRightInd w:val="0"/>
        <w:rPr>
          <w:rFonts w:cs="Arial"/>
          <w:szCs w:val="20"/>
          <w:lang w:val="en-US"/>
        </w:rPr>
      </w:pPr>
      <w:r w:rsidRPr="004C2EC8">
        <w:rPr>
          <w:rFonts w:cs="Arial"/>
          <w:szCs w:val="20"/>
          <w:lang w:val="en-US"/>
        </w:rPr>
        <w:t>CIPFA - Chartered Institute of Public Finance and Accountancy</w:t>
      </w:r>
    </w:p>
    <w:p w14:paraId="485A49F3" w14:textId="77777777" w:rsidR="0099063B" w:rsidRPr="004C2EC8" w:rsidRDefault="0099063B" w:rsidP="006D2EED">
      <w:pPr>
        <w:autoSpaceDE w:val="0"/>
        <w:autoSpaceDN w:val="0"/>
        <w:adjustRightInd w:val="0"/>
        <w:rPr>
          <w:rFonts w:cs="Arial"/>
          <w:szCs w:val="20"/>
          <w:lang w:val="en-US"/>
        </w:rPr>
      </w:pPr>
      <w:r w:rsidRPr="004C2EC8">
        <w:rPr>
          <w:rFonts w:cs="Arial"/>
          <w:szCs w:val="20"/>
          <w:lang w:val="en-US"/>
        </w:rPr>
        <w:t>IFRS – International Financial Reporting Standards</w:t>
      </w:r>
    </w:p>
    <w:p w14:paraId="485A49F4" w14:textId="77777777" w:rsidR="008A14A3" w:rsidRPr="004C2EC8" w:rsidRDefault="008A14A3" w:rsidP="006D2EED">
      <w:pPr>
        <w:autoSpaceDE w:val="0"/>
        <w:autoSpaceDN w:val="0"/>
        <w:adjustRightInd w:val="0"/>
        <w:rPr>
          <w:rFonts w:cs="Arial"/>
          <w:szCs w:val="20"/>
          <w:lang w:val="en-US"/>
        </w:rPr>
      </w:pPr>
      <w:r w:rsidRPr="004C2EC8">
        <w:rPr>
          <w:rFonts w:cs="Arial"/>
          <w:szCs w:val="20"/>
          <w:lang w:val="en-US"/>
        </w:rPr>
        <w:t>FRS - Financial Reporting Standard</w:t>
      </w:r>
    </w:p>
    <w:p w14:paraId="485A49F7" w14:textId="77777777" w:rsidR="008A14A3" w:rsidRDefault="008A14A3" w:rsidP="006D2EED">
      <w:pPr>
        <w:pStyle w:val="Recommend"/>
        <w:tabs>
          <w:tab w:val="clear" w:pos="709"/>
          <w:tab w:val="left" w:pos="0"/>
          <w:tab w:val="left" w:pos="360"/>
          <w:tab w:val="left" w:pos="720"/>
          <w:tab w:val="left" w:pos="5580"/>
          <w:tab w:val="left" w:pos="6480"/>
        </w:tabs>
        <w:jc w:val="left"/>
        <w:rPr>
          <w:rFonts w:cs="Arial"/>
          <w:szCs w:val="24"/>
        </w:rPr>
      </w:pPr>
    </w:p>
    <w:p w14:paraId="485A49F8" w14:textId="77777777" w:rsidR="008A14A3" w:rsidRDefault="008A14A3" w:rsidP="00D34473">
      <w:pPr>
        <w:pStyle w:val="TOC1"/>
        <w:jc w:val="center"/>
      </w:pPr>
    </w:p>
    <w:sectPr w:rsidR="008A14A3" w:rsidSect="00397A5D">
      <w:pgSz w:w="11906" w:h="16838" w:code="9"/>
      <w:pgMar w:top="1135" w:right="991" w:bottom="993" w:left="1276"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A4A58" w14:textId="77777777" w:rsidR="004817B7" w:rsidRDefault="004817B7">
      <w:r>
        <w:separator/>
      </w:r>
    </w:p>
  </w:endnote>
  <w:endnote w:type="continuationSeparator" w:id="0">
    <w:p w14:paraId="485A4A59" w14:textId="77777777" w:rsidR="004817B7" w:rsidRDefault="0048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4A5A" w14:textId="77777777" w:rsidR="004817B7" w:rsidRDefault="004817B7">
    <w:pPr>
      <w:pStyle w:val="Footer"/>
      <w:jc w:val="center"/>
    </w:pPr>
  </w:p>
  <w:p w14:paraId="485A4A5B" w14:textId="77777777" w:rsidR="004817B7" w:rsidRDefault="00481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4A5E" w14:textId="77777777" w:rsidR="004817B7" w:rsidRDefault="004817B7">
    <w:pPr>
      <w:pStyle w:val="Footer"/>
      <w:jc w:val="center"/>
    </w:pPr>
    <w:r>
      <w:fldChar w:fldCharType="begin"/>
    </w:r>
    <w:r>
      <w:instrText xml:space="preserve"> PAGE   \* MERGEFORMAT </w:instrText>
    </w:r>
    <w:r>
      <w:fldChar w:fldCharType="separate"/>
    </w:r>
    <w:r w:rsidR="00E720A4">
      <w:rPr>
        <w:noProof/>
      </w:rPr>
      <w:t>18</w:t>
    </w:r>
    <w:r>
      <w:rPr>
        <w:noProof/>
      </w:rPr>
      <w:fldChar w:fldCharType="end"/>
    </w:r>
  </w:p>
  <w:p w14:paraId="485A4A5F" w14:textId="77777777" w:rsidR="004817B7" w:rsidRDefault="00481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4A63" w14:textId="77777777" w:rsidR="004817B7" w:rsidRDefault="004817B7">
    <w:pPr>
      <w:pStyle w:val="Footer"/>
      <w:jc w:val="center"/>
    </w:pPr>
    <w:r>
      <w:fldChar w:fldCharType="begin"/>
    </w:r>
    <w:r>
      <w:instrText xml:space="preserve"> PAGE   \* MERGEFORMAT </w:instrText>
    </w:r>
    <w:r>
      <w:fldChar w:fldCharType="separate"/>
    </w:r>
    <w:r w:rsidR="00E720A4">
      <w:rPr>
        <w:noProof/>
      </w:rPr>
      <w:t>21</w:t>
    </w:r>
    <w:r>
      <w:rPr>
        <w:noProof/>
      </w:rPr>
      <w:fldChar w:fldCharType="end"/>
    </w:r>
  </w:p>
  <w:p w14:paraId="485A4A64" w14:textId="77777777" w:rsidR="004817B7" w:rsidRDefault="00481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A4A56" w14:textId="77777777" w:rsidR="004817B7" w:rsidRDefault="004817B7">
      <w:r>
        <w:separator/>
      </w:r>
    </w:p>
  </w:footnote>
  <w:footnote w:type="continuationSeparator" w:id="0">
    <w:p w14:paraId="485A4A57" w14:textId="77777777" w:rsidR="004817B7" w:rsidRDefault="0048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4A5C" w14:textId="77777777" w:rsidR="004817B7" w:rsidRDefault="00481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4A5D" w14:textId="77777777" w:rsidR="004817B7" w:rsidRDefault="00481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4A60" w14:textId="77777777" w:rsidR="004817B7" w:rsidRDefault="004817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4A61" w14:textId="77777777" w:rsidR="004817B7" w:rsidRDefault="004817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4A62" w14:textId="77777777" w:rsidR="004817B7" w:rsidRDefault="004817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4A65" w14:textId="77777777" w:rsidR="004817B7" w:rsidRDefault="00481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3FE1"/>
    <w:multiLevelType w:val="hybridMultilevel"/>
    <w:tmpl w:val="CDD8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1174"/>
    <w:multiLevelType w:val="hybridMultilevel"/>
    <w:tmpl w:val="6C8466CA"/>
    <w:lvl w:ilvl="0" w:tplc="0809000F">
      <w:start w:val="1"/>
      <w:numFmt w:val="decimal"/>
      <w:lvlText w:val="%1."/>
      <w:lvlJc w:val="left"/>
      <w:pPr>
        <w:ind w:left="1069" w:hanging="360"/>
      </w:pPr>
      <w:rPr>
        <w:rFonts w:hint="default"/>
        <w:color w:val="auto"/>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740B7"/>
    <w:multiLevelType w:val="multilevel"/>
    <w:tmpl w:val="F976C3AE"/>
    <w:lvl w:ilvl="0">
      <w:start w:val="1"/>
      <w:numFmt w:val="bullet"/>
      <w:pStyle w:val="ListBullet3"/>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56067"/>
    <w:multiLevelType w:val="hybridMultilevel"/>
    <w:tmpl w:val="4E740AB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0D715956"/>
    <w:multiLevelType w:val="multilevel"/>
    <w:tmpl w:val="53264444"/>
    <w:lvl w:ilvl="0">
      <w:start w:val="1"/>
      <w:numFmt w:val="decimal"/>
      <w:lvlText w:val="%1."/>
      <w:lvlJc w:val="left"/>
      <w:pPr>
        <w:ind w:left="643"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0511DF2"/>
    <w:multiLevelType w:val="hybridMultilevel"/>
    <w:tmpl w:val="1B52735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 w15:restartNumberingAfterBreak="0">
    <w:nsid w:val="13776397"/>
    <w:multiLevelType w:val="multilevel"/>
    <w:tmpl w:val="CFA2142E"/>
    <w:lvl w:ilvl="0">
      <w:start w:val="1"/>
      <w:numFmt w:val="decimal"/>
      <w:lvlText w:val="%1."/>
      <w:lvlJc w:val="left"/>
      <w:pPr>
        <w:ind w:left="720" w:hanging="360"/>
      </w:pPr>
      <w:rPr>
        <w:rFonts w:ascii="Arial" w:hAnsi="Arial" w:cs="Times New Roman" w:hint="default"/>
        <w:i w:val="0"/>
        <w:iCs/>
        <w:sz w:val="28"/>
        <w:u w:val="none"/>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800" w:hanging="1440"/>
      </w:pPr>
      <w:rPr>
        <w:rFonts w:ascii="Arial" w:hAnsi="Arial" w:cs="Arial" w:hint="default"/>
      </w:rPr>
    </w:lvl>
    <w:lvl w:ilvl="6">
      <w:start w:val="1"/>
      <w:numFmt w:val="decimal"/>
      <w:isLgl/>
      <w:lvlText w:val="%1.%2.%3.%4.%5.%6.%7."/>
      <w:lvlJc w:val="left"/>
      <w:pPr>
        <w:ind w:left="2160" w:hanging="1800"/>
      </w:pPr>
      <w:rPr>
        <w:rFonts w:ascii="Arial" w:hAnsi="Arial" w:cs="Arial" w:hint="default"/>
      </w:rPr>
    </w:lvl>
    <w:lvl w:ilvl="7">
      <w:start w:val="1"/>
      <w:numFmt w:val="decimal"/>
      <w:isLgl/>
      <w:lvlText w:val="%1.%2.%3.%4.%5.%6.%7.%8."/>
      <w:lvlJc w:val="left"/>
      <w:pPr>
        <w:ind w:left="2160" w:hanging="1800"/>
      </w:pPr>
      <w:rPr>
        <w:rFonts w:ascii="Arial" w:hAnsi="Arial" w:cs="Arial" w:hint="default"/>
      </w:rPr>
    </w:lvl>
    <w:lvl w:ilvl="8">
      <w:start w:val="1"/>
      <w:numFmt w:val="decimal"/>
      <w:isLgl/>
      <w:lvlText w:val="%1.%2.%3.%4.%5.%6.%7.%8.%9."/>
      <w:lvlJc w:val="left"/>
      <w:pPr>
        <w:ind w:left="2520" w:hanging="2160"/>
      </w:pPr>
      <w:rPr>
        <w:rFonts w:ascii="Arial" w:hAnsi="Arial" w:cs="Arial" w:hint="default"/>
      </w:rPr>
    </w:lvl>
  </w:abstractNum>
  <w:abstractNum w:abstractNumId="7" w15:restartNumberingAfterBreak="0">
    <w:nsid w:val="15062954"/>
    <w:multiLevelType w:val="hybridMultilevel"/>
    <w:tmpl w:val="1466F3FC"/>
    <w:lvl w:ilvl="0" w:tplc="2090A358">
      <w:start w:val="1"/>
      <w:numFmt w:val="bullet"/>
      <w:lvlText w:val=""/>
      <w:lvlJc w:val="left"/>
      <w:pPr>
        <w:tabs>
          <w:tab w:val="num" w:pos="36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A8750D"/>
    <w:multiLevelType w:val="hybridMultilevel"/>
    <w:tmpl w:val="824E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521C2"/>
    <w:multiLevelType w:val="hybridMultilevel"/>
    <w:tmpl w:val="1BF84B86"/>
    <w:lvl w:ilvl="0" w:tplc="C9008B94">
      <w:start w:val="1"/>
      <w:numFmt w:val="decimal"/>
      <w:pStyle w:val="Elementheading"/>
      <w:lvlText w:val="%1."/>
      <w:lvlJc w:val="left"/>
      <w:pPr>
        <w:tabs>
          <w:tab w:val="num" w:pos="360"/>
        </w:tabs>
        <w:ind w:left="360" w:hanging="360"/>
      </w:pPr>
      <w:rPr>
        <w:rFonts w:cs="Times New Roman"/>
      </w:rPr>
    </w:lvl>
    <w:lvl w:ilvl="1" w:tplc="9F54DB4C">
      <w:start w:val="1"/>
      <w:numFmt w:val="bullet"/>
      <w:lvlText w:val="–"/>
      <w:lvlJc w:val="left"/>
      <w:pPr>
        <w:tabs>
          <w:tab w:val="num" w:pos="1080"/>
        </w:tabs>
        <w:ind w:left="1080" w:hanging="360"/>
      </w:pPr>
      <w:rPr>
        <w:rFonts w:ascii="Arial" w:hAnsi="Aria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76F40D9"/>
    <w:multiLevelType w:val="hybridMultilevel"/>
    <w:tmpl w:val="6E74DD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DD28AC"/>
    <w:multiLevelType w:val="hybridMultilevel"/>
    <w:tmpl w:val="144E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1013D"/>
    <w:multiLevelType w:val="hybridMultilevel"/>
    <w:tmpl w:val="FCD8716C"/>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1CA05286"/>
    <w:multiLevelType w:val="hybridMultilevel"/>
    <w:tmpl w:val="95C05D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FD55480"/>
    <w:multiLevelType w:val="multilevel"/>
    <w:tmpl w:val="D6EC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510A21"/>
    <w:multiLevelType w:val="hybridMultilevel"/>
    <w:tmpl w:val="8524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4532A"/>
    <w:multiLevelType w:val="hybridMultilevel"/>
    <w:tmpl w:val="53BCEA4E"/>
    <w:lvl w:ilvl="0" w:tplc="2090A358">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1C29C1"/>
    <w:multiLevelType w:val="hybridMultilevel"/>
    <w:tmpl w:val="181095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6500F73"/>
    <w:multiLevelType w:val="hybridMultilevel"/>
    <w:tmpl w:val="BAA6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606BE2"/>
    <w:multiLevelType w:val="hybridMultilevel"/>
    <w:tmpl w:val="EDAA12D4"/>
    <w:lvl w:ilvl="0" w:tplc="5D2E082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CF40F2"/>
    <w:multiLevelType w:val="multilevel"/>
    <w:tmpl w:val="6B4A89F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2A9B3F60"/>
    <w:multiLevelType w:val="hybridMultilevel"/>
    <w:tmpl w:val="300A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766B6D"/>
    <w:multiLevelType w:val="multilevel"/>
    <w:tmpl w:val="FA8E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172FF"/>
    <w:multiLevelType w:val="multilevel"/>
    <w:tmpl w:val="DDFE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914D38"/>
    <w:multiLevelType w:val="hybridMultilevel"/>
    <w:tmpl w:val="1074B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163696"/>
    <w:multiLevelType w:val="hybridMultilevel"/>
    <w:tmpl w:val="BF883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2A23523"/>
    <w:multiLevelType w:val="multilevel"/>
    <w:tmpl w:val="3FC27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EE495F"/>
    <w:multiLevelType w:val="hybridMultilevel"/>
    <w:tmpl w:val="2A5A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5B0F9A"/>
    <w:multiLevelType w:val="hybridMultilevel"/>
    <w:tmpl w:val="E36C638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732" w:hanging="360"/>
      </w:pPr>
    </w:lvl>
    <w:lvl w:ilvl="2" w:tplc="0809001B" w:tentative="1">
      <w:start w:val="1"/>
      <w:numFmt w:val="lowerRoman"/>
      <w:lvlText w:val="%3."/>
      <w:lvlJc w:val="right"/>
      <w:pPr>
        <w:ind w:left="1452" w:hanging="180"/>
      </w:pPr>
    </w:lvl>
    <w:lvl w:ilvl="3" w:tplc="0809000F" w:tentative="1">
      <w:start w:val="1"/>
      <w:numFmt w:val="decimal"/>
      <w:lvlText w:val="%4."/>
      <w:lvlJc w:val="left"/>
      <w:pPr>
        <w:ind w:left="2172" w:hanging="360"/>
      </w:pPr>
    </w:lvl>
    <w:lvl w:ilvl="4" w:tplc="08090019" w:tentative="1">
      <w:start w:val="1"/>
      <w:numFmt w:val="lowerLetter"/>
      <w:lvlText w:val="%5."/>
      <w:lvlJc w:val="left"/>
      <w:pPr>
        <w:ind w:left="2892" w:hanging="360"/>
      </w:pPr>
    </w:lvl>
    <w:lvl w:ilvl="5" w:tplc="0809001B" w:tentative="1">
      <w:start w:val="1"/>
      <w:numFmt w:val="lowerRoman"/>
      <w:lvlText w:val="%6."/>
      <w:lvlJc w:val="right"/>
      <w:pPr>
        <w:ind w:left="3612" w:hanging="180"/>
      </w:pPr>
    </w:lvl>
    <w:lvl w:ilvl="6" w:tplc="0809000F" w:tentative="1">
      <w:start w:val="1"/>
      <w:numFmt w:val="decimal"/>
      <w:lvlText w:val="%7."/>
      <w:lvlJc w:val="left"/>
      <w:pPr>
        <w:ind w:left="4332" w:hanging="360"/>
      </w:pPr>
    </w:lvl>
    <w:lvl w:ilvl="7" w:tplc="08090019" w:tentative="1">
      <w:start w:val="1"/>
      <w:numFmt w:val="lowerLetter"/>
      <w:lvlText w:val="%8."/>
      <w:lvlJc w:val="left"/>
      <w:pPr>
        <w:ind w:left="5052" w:hanging="360"/>
      </w:pPr>
    </w:lvl>
    <w:lvl w:ilvl="8" w:tplc="0809001B" w:tentative="1">
      <w:start w:val="1"/>
      <w:numFmt w:val="lowerRoman"/>
      <w:lvlText w:val="%9."/>
      <w:lvlJc w:val="right"/>
      <w:pPr>
        <w:ind w:left="5772" w:hanging="180"/>
      </w:pPr>
    </w:lvl>
  </w:abstractNum>
  <w:abstractNum w:abstractNumId="29" w15:restartNumberingAfterBreak="0">
    <w:nsid w:val="35DC6B88"/>
    <w:multiLevelType w:val="hybridMultilevel"/>
    <w:tmpl w:val="2230DC26"/>
    <w:lvl w:ilvl="0" w:tplc="2090A358">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0" w15:restartNumberingAfterBreak="0">
    <w:nsid w:val="38F30DB6"/>
    <w:multiLevelType w:val="hybridMultilevel"/>
    <w:tmpl w:val="47F04F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39E25086"/>
    <w:multiLevelType w:val="hybridMultilevel"/>
    <w:tmpl w:val="61544E3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2" w15:restartNumberingAfterBreak="0">
    <w:nsid w:val="3BA44B57"/>
    <w:multiLevelType w:val="multilevel"/>
    <w:tmpl w:val="3258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C512AF9"/>
    <w:multiLevelType w:val="hybridMultilevel"/>
    <w:tmpl w:val="BA2499F2"/>
    <w:lvl w:ilvl="0" w:tplc="2090A35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727F53"/>
    <w:multiLevelType w:val="hybridMultilevel"/>
    <w:tmpl w:val="B03C92BC"/>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4A24F3B"/>
    <w:multiLevelType w:val="hybridMultilevel"/>
    <w:tmpl w:val="CBC28D86"/>
    <w:lvl w:ilvl="0" w:tplc="FFFFFFFF">
      <w:start w:val="1"/>
      <w:numFmt w:val="bullet"/>
      <w:pStyle w:val="Bullet1"/>
      <w:lvlText w:val=""/>
      <w:lvlJc w:val="left"/>
      <w:pPr>
        <w:tabs>
          <w:tab w:val="num" w:pos="757"/>
        </w:tabs>
        <w:ind w:left="75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3068CD"/>
    <w:multiLevelType w:val="hybridMultilevel"/>
    <w:tmpl w:val="8CF88DF4"/>
    <w:lvl w:ilvl="0" w:tplc="2090A358">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9D1105"/>
    <w:multiLevelType w:val="hybridMultilevel"/>
    <w:tmpl w:val="4366225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8" w15:restartNumberingAfterBreak="0">
    <w:nsid w:val="50632A89"/>
    <w:multiLevelType w:val="hybridMultilevel"/>
    <w:tmpl w:val="DB387082"/>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start w:val="1"/>
      <w:numFmt w:val="bullet"/>
      <w:lvlText w:val=""/>
      <w:lvlJc w:val="left"/>
      <w:pPr>
        <w:ind w:left="3163" w:hanging="360"/>
      </w:pPr>
      <w:rPr>
        <w:rFonts w:ascii="Symbol" w:hAnsi="Symbol" w:hint="default"/>
      </w:rPr>
    </w:lvl>
    <w:lvl w:ilvl="4" w:tplc="08090003">
      <w:start w:val="1"/>
      <w:numFmt w:val="bullet"/>
      <w:lvlText w:val="o"/>
      <w:lvlJc w:val="left"/>
      <w:pPr>
        <w:ind w:left="3883" w:hanging="360"/>
      </w:pPr>
      <w:rPr>
        <w:rFonts w:ascii="Courier New" w:hAnsi="Courier New" w:cs="Courier New" w:hint="default"/>
      </w:rPr>
    </w:lvl>
    <w:lvl w:ilvl="5" w:tplc="08090005">
      <w:start w:val="1"/>
      <w:numFmt w:val="bullet"/>
      <w:lvlText w:val=""/>
      <w:lvlJc w:val="left"/>
      <w:pPr>
        <w:ind w:left="4603" w:hanging="360"/>
      </w:pPr>
      <w:rPr>
        <w:rFonts w:ascii="Wingdings" w:hAnsi="Wingdings" w:hint="default"/>
      </w:rPr>
    </w:lvl>
    <w:lvl w:ilvl="6" w:tplc="08090001">
      <w:start w:val="1"/>
      <w:numFmt w:val="bullet"/>
      <w:lvlText w:val=""/>
      <w:lvlJc w:val="left"/>
      <w:pPr>
        <w:ind w:left="5323" w:hanging="360"/>
      </w:pPr>
      <w:rPr>
        <w:rFonts w:ascii="Symbol" w:hAnsi="Symbol" w:hint="default"/>
      </w:rPr>
    </w:lvl>
    <w:lvl w:ilvl="7" w:tplc="08090003">
      <w:start w:val="1"/>
      <w:numFmt w:val="bullet"/>
      <w:lvlText w:val="o"/>
      <w:lvlJc w:val="left"/>
      <w:pPr>
        <w:ind w:left="6043" w:hanging="360"/>
      </w:pPr>
      <w:rPr>
        <w:rFonts w:ascii="Courier New" w:hAnsi="Courier New" w:cs="Courier New" w:hint="default"/>
      </w:rPr>
    </w:lvl>
    <w:lvl w:ilvl="8" w:tplc="08090005">
      <w:start w:val="1"/>
      <w:numFmt w:val="bullet"/>
      <w:lvlText w:val=""/>
      <w:lvlJc w:val="left"/>
      <w:pPr>
        <w:ind w:left="6763" w:hanging="360"/>
      </w:pPr>
      <w:rPr>
        <w:rFonts w:ascii="Wingdings" w:hAnsi="Wingdings" w:hint="default"/>
      </w:rPr>
    </w:lvl>
  </w:abstractNum>
  <w:abstractNum w:abstractNumId="39" w15:restartNumberingAfterBreak="0">
    <w:nsid w:val="533B4E43"/>
    <w:multiLevelType w:val="hybridMultilevel"/>
    <w:tmpl w:val="EB388BB4"/>
    <w:lvl w:ilvl="0" w:tplc="553C6026">
      <w:start w:val="8"/>
      <w:numFmt w:val="decimal"/>
      <w:lvlText w:val="%1."/>
      <w:lvlJc w:val="left"/>
      <w:pPr>
        <w:ind w:left="720" w:hanging="360"/>
      </w:pPr>
      <w:rPr>
        <w:rFonts w:ascii="Arial" w:eastAsia="Times New Roman" w:hAnsi="Arial"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841567"/>
    <w:multiLevelType w:val="hybridMultilevel"/>
    <w:tmpl w:val="91B8A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8591581"/>
    <w:multiLevelType w:val="hybridMultilevel"/>
    <w:tmpl w:val="F3BAB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DDB5E6E"/>
    <w:multiLevelType w:val="multilevel"/>
    <w:tmpl w:val="FAE6F968"/>
    <w:numStyleLink w:val="GTListBullet"/>
  </w:abstractNum>
  <w:abstractNum w:abstractNumId="43" w15:restartNumberingAfterBreak="0">
    <w:nsid w:val="61BC3D3D"/>
    <w:multiLevelType w:val="multilevel"/>
    <w:tmpl w:val="FAE6F968"/>
    <w:styleLink w:val="GTListBullet"/>
    <w:lvl w:ilvl="0">
      <w:start w:val="1"/>
      <w:numFmt w:val="bullet"/>
      <w:pStyle w:val="ListBullet1"/>
      <w:lvlText w:val=""/>
      <w:lvlJc w:val="left"/>
      <w:pPr>
        <w:tabs>
          <w:tab w:val="num" w:pos="284"/>
        </w:tabs>
        <w:ind w:left="284" w:hanging="284"/>
      </w:pPr>
      <w:rPr>
        <w:rFonts w:ascii="Symbol" w:hAnsi="Symbol" w:hint="default"/>
        <w:color w:val="auto"/>
      </w:rPr>
    </w:lvl>
    <w:lvl w:ilvl="1">
      <w:start w:val="1"/>
      <w:numFmt w:val="bullet"/>
      <w:pStyle w:val="ListBullet21"/>
      <w:lvlText w:val=""/>
      <w:lvlJc w:val="left"/>
      <w:pPr>
        <w:tabs>
          <w:tab w:val="num" w:pos="567"/>
        </w:tabs>
        <w:ind w:left="567" w:hanging="283"/>
      </w:pPr>
      <w:rPr>
        <w:rFonts w:ascii="Symbol" w:hAnsi="Symbol" w:hint="default"/>
      </w:rPr>
    </w:lvl>
    <w:lvl w:ilvl="2">
      <w:start w:val="1"/>
      <w:numFmt w:val="bullet"/>
      <w:lvlRestart w:val="0"/>
      <w:pStyle w:val="ListBullet31"/>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44" w15:restartNumberingAfterBreak="0">
    <w:nsid w:val="668E2BB4"/>
    <w:multiLevelType w:val="hybridMultilevel"/>
    <w:tmpl w:val="970AF0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8BE16A8"/>
    <w:multiLevelType w:val="hybridMultilevel"/>
    <w:tmpl w:val="DDDC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0775CE"/>
    <w:multiLevelType w:val="hybridMultilevel"/>
    <w:tmpl w:val="631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2C01F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6E434227"/>
    <w:multiLevelType w:val="hybridMultilevel"/>
    <w:tmpl w:val="7AEE86DA"/>
    <w:lvl w:ilvl="0" w:tplc="0809000F">
      <w:start w:val="10"/>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F957BA0"/>
    <w:multiLevelType w:val="hybridMultilevel"/>
    <w:tmpl w:val="DF3A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C62C14"/>
    <w:multiLevelType w:val="multilevel"/>
    <w:tmpl w:val="62FA68FE"/>
    <w:lvl w:ilvl="0">
      <w:start w:val="1"/>
      <w:numFmt w:val="lowerRoman"/>
      <w:lvlText w:val="%1."/>
      <w:lvlJc w:val="right"/>
      <w:pPr>
        <w:tabs>
          <w:tab w:val="num" w:pos="720"/>
        </w:tabs>
        <w:ind w:left="720" w:hanging="360"/>
      </w:pPr>
    </w:lvl>
    <w:lvl w:ilvl="1">
      <w:start w:val="1"/>
      <w:numFmt w:val="decimal"/>
      <w:lvlText w:val="%2."/>
      <w:lvlJc w:val="left"/>
      <w:pPr>
        <w:ind w:left="1440" w:hanging="360"/>
      </w:pPr>
      <w:rPr>
        <w:rFonts w:hint="default"/>
        <w:b/>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716E681F"/>
    <w:multiLevelType w:val="hybridMultilevel"/>
    <w:tmpl w:val="78A496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15:restartNumberingAfterBreak="0">
    <w:nsid w:val="71E104AC"/>
    <w:multiLevelType w:val="multilevel"/>
    <w:tmpl w:val="C2B6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A9E62D2"/>
    <w:multiLevelType w:val="hybridMultilevel"/>
    <w:tmpl w:val="A35E00A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15:restartNumberingAfterBreak="0">
    <w:nsid w:val="7CCC0285"/>
    <w:multiLevelType w:val="hybridMultilevel"/>
    <w:tmpl w:val="C846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767724">
    <w:abstractNumId w:val="7"/>
  </w:num>
  <w:num w:numId="2" w16cid:durableId="1953197990">
    <w:abstractNumId w:val="33"/>
  </w:num>
  <w:num w:numId="3" w16cid:durableId="43915174">
    <w:abstractNumId w:val="35"/>
  </w:num>
  <w:num w:numId="4" w16cid:durableId="567502393">
    <w:abstractNumId w:val="47"/>
  </w:num>
  <w:num w:numId="5" w16cid:durableId="1859001469">
    <w:abstractNumId w:val="9"/>
  </w:num>
  <w:num w:numId="6" w16cid:durableId="1382287908">
    <w:abstractNumId w:val="30"/>
  </w:num>
  <w:num w:numId="7" w16cid:durableId="1907446830">
    <w:abstractNumId w:val="13"/>
  </w:num>
  <w:num w:numId="8" w16cid:durableId="889805631">
    <w:abstractNumId w:val="34"/>
  </w:num>
  <w:num w:numId="9" w16cid:durableId="235751129">
    <w:abstractNumId w:val="44"/>
  </w:num>
  <w:num w:numId="10" w16cid:durableId="2096248190">
    <w:abstractNumId w:val="41"/>
  </w:num>
  <w:num w:numId="11" w16cid:durableId="1323392464">
    <w:abstractNumId w:val="28"/>
  </w:num>
  <w:num w:numId="12" w16cid:durableId="1687749943">
    <w:abstractNumId w:val="12"/>
  </w:num>
  <w:num w:numId="13" w16cid:durableId="965819470">
    <w:abstractNumId w:val="10"/>
  </w:num>
  <w:num w:numId="14" w16cid:durableId="6098632">
    <w:abstractNumId w:val="24"/>
  </w:num>
  <w:num w:numId="15" w16cid:durableId="512650417">
    <w:abstractNumId w:val="39"/>
  </w:num>
  <w:num w:numId="16" w16cid:durableId="752628257">
    <w:abstractNumId w:val="29"/>
  </w:num>
  <w:num w:numId="17" w16cid:durableId="148135791">
    <w:abstractNumId w:val="4"/>
  </w:num>
  <w:num w:numId="18" w16cid:durableId="2010717542">
    <w:abstractNumId w:val="48"/>
  </w:num>
  <w:num w:numId="19" w16cid:durableId="130900200">
    <w:abstractNumId w:val="54"/>
  </w:num>
  <w:num w:numId="20" w16cid:durableId="950283828">
    <w:abstractNumId w:val="8"/>
  </w:num>
  <w:num w:numId="21" w16cid:durableId="1008291536">
    <w:abstractNumId w:val="1"/>
  </w:num>
  <w:num w:numId="22" w16cid:durableId="328993029">
    <w:abstractNumId w:val="5"/>
  </w:num>
  <w:num w:numId="23" w16cid:durableId="970860262">
    <w:abstractNumId w:val="3"/>
  </w:num>
  <w:num w:numId="24" w16cid:durableId="1985038142">
    <w:abstractNumId w:val="15"/>
  </w:num>
  <w:num w:numId="25" w16cid:durableId="323825839">
    <w:abstractNumId w:val="43"/>
  </w:num>
  <w:num w:numId="26" w16cid:durableId="58791202">
    <w:abstractNumId w:val="42"/>
  </w:num>
  <w:num w:numId="27" w16cid:durableId="1681812893">
    <w:abstractNumId w:val="2"/>
  </w:num>
  <w:num w:numId="28" w16cid:durableId="2046519797">
    <w:abstractNumId w:val="18"/>
  </w:num>
  <w:num w:numId="29" w16cid:durableId="1881210978">
    <w:abstractNumId w:val="21"/>
  </w:num>
  <w:num w:numId="30" w16cid:durableId="85663378">
    <w:abstractNumId w:val="32"/>
  </w:num>
  <w:num w:numId="31" w16cid:durableId="2000571788">
    <w:abstractNumId w:val="22"/>
  </w:num>
  <w:num w:numId="32" w16cid:durableId="1263537225">
    <w:abstractNumId w:val="23"/>
  </w:num>
  <w:num w:numId="33" w16cid:durableId="1837307827">
    <w:abstractNumId w:val="50"/>
  </w:num>
  <w:num w:numId="34" w16cid:durableId="1967276282">
    <w:abstractNumId w:val="20"/>
  </w:num>
  <w:num w:numId="35" w16cid:durableId="2135249255">
    <w:abstractNumId w:val="14"/>
  </w:num>
  <w:num w:numId="36" w16cid:durableId="746878135">
    <w:abstractNumId w:val="26"/>
  </w:num>
  <w:num w:numId="37" w16cid:durableId="1450851617">
    <w:abstractNumId w:val="52"/>
  </w:num>
  <w:num w:numId="38" w16cid:durableId="1216547979">
    <w:abstractNumId w:val="19"/>
  </w:num>
  <w:num w:numId="39" w16cid:durableId="930434656">
    <w:abstractNumId w:val="51"/>
  </w:num>
  <w:num w:numId="40" w16cid:durableId="967197380">
    <w:abstractNumId w:val="17"/>
  </w:num>
  <w:num w:numId="41" w16cid:durableId="83576852">
    <w:abstractNumId w:val="25"/>
  </w:num>
  <w:num w:numId="42" w16cid:durableId="810903483">
    <w:abstractNumId w:val="38"/>
  </w:num>
  <w:num w:numId="43" w16cid:durableId="1755777766">
    <w:abstractNumId w:val="31"/>
  </w:num>
  <w:num w:numId="44" w16cid:durableId="353700630">
    <w:abstractNumId w:val="53"/>
  </w:num>
  <w:num w:numId="45" w16cid:durableId="1272014950">
    <w:abstractNumId w:val="37"/>
  </w:num>
  <w:num w:numId="46" w16cid:durableId="1158886806">
    <w:abstractNumId w:val="45"/>
  </w:num>
  <w:num w:numId="47" w16cid:durableId="1317764017">
    <w:abstractNumId w:val="6"/>
  </w:num>
  <w:num w:numId="48" w16cid:durableId="1460225979">
    <w:abstractNumId w:val="16"/>
  </w:num>
  <w:num w:numId="49" w16cid:durableId="1060980969">
    <w:abstractNumId w:val="36"/>
  </w:num>
  <w:num w:numId="50" w16cid:durableId="571038714">
    <w:abstractNumId w:val="40"/>
  </w:num>
  <w:num w:numId="51" w16cid:durableId="1467704037">
    <w:abstractNumId w:val="11"/>
  </w:num>
  <w:num w:numId="52" w16cid:durableId="1054698649">
    <w:abstractNumId w:val="0"/>
  </w:num>
  <w:num w:numId="53" w16cid:durableId="2119715517">
    <w:abstractNumId w:val="49"/>
  </w:num>
  <w:num w:numId="54" w16cid:durableId="63576698">
    <w:abstractNumId w:val="46"/>
  </w:num>
  <w:num w:numId="55" w16cid:durableId="1129323305">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1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F1"/>
    <w:rsid w:val="0000035E"/>
    <w:rsid w:val="00000535"/>
    <w:rsid w:val="0000079C"/>
    <w:rsid w:val="00000AF1"/>
    <w:rsid w:val="00000B1C"/>
    <w:rsid w:val="0000208D"/>
    <w:rsid w:val="00002554"/>
    <w:rsid w:val="00003452"/>
    <w:rsid w:val="00004A8C"/>
    <w:rsid w:val="0000534B"/>
    <w:rsid w:val="0000598D"/>
    <w:rsid w:val="00005B12"/>
    <w:rsid w:val="000062BC"/>
    <w:rsid w:val="00006BF4"/>
    <w:rsid w:val="00007500"/>
    <w:rsid w:val="00010399"/>
    <w:rsid w:val="0001082C"/>
    <w:rsid w:val="00010A4D"/>
    <w:rsid w:val="00010B3A"/>
    <w:rsid w:val="00010DB3"/>
    <w:rsid w:val="00010F82"/>
    <w:rsid w:val="00011214"/>
    <w:rsid w:val="0001142E"/>
    <w:rsid w:val="000119E5"/>
    <w:rsid w:val="0001277B"/>
    <w:rsid w:val="00012E50"/>
    <w:rsid w:val="0001389F"/>
    <w:rsid w:val="00013D93"/>
    <w:rsid w:val="000141F4"/>
    <w:rsid w:val="00014533"/>
    <w:rsid w:val="00014729"/>
    <w:rsid w:val="000149E8"/>
    <w:rsid w:val="00014B0A"/>
    <w:rsid w:val="00014BF2"/>
    <w:rsid w:val="00014C83"/>
    <w:rsid w:val="00014DFF"/>
    <w:rsid w:val="000151F7"/>
    <w:rsid w:val="0001553E"/>
    <w:rsid w:val="00015DA5"/>
    <w:rsid w:val="00016EE4"/>
    <w:rsid w:val="00017836"/>
    <w:rsid w:val="000178BD"/>
    <w:rsid w:val="00017FA1"/>
    <w:rsid w:val="000200E1"/>
    <w:rsid w:val="00020610"/>
    <w:rsid w:val="0002073D"/>
    <w:rsid w:val="0002075B"/>
    <w:rsid w:val="000208FD"/>
    <w:rsid w:val="00020944"/>
    <w:rsid w:val="00020D50"/>
    <w:rsid w:val="00020EA2"/>
    <w:rsid w:val="000210A6"/>
    <w:rsid w:val="00021D11"/>
    <w:rsid w:val="000220A8"/>
    <w:rsid w:val="00022585"/>
    <w:rsid w:val="000234A2"/>
    <w:rsid w:val="00023619"/>
    <w:rsid w:val="00023C49"/>
    <w:rsid w:val="000246D6"/>
    <w:rsid w:val="0002472D"/>
    <w:rsid w:val="0002536D"/>
    <w:rsid w:val="00025ACA"/>
    <w:rsid w:val="00025B19"/>
    <w:rsid w:val="000277B8"/>
    <w:rsid w:val="000277C0"/>
    <w:rsid w:val="000278BD"/>
    <w:rsid w:val="000303B9"/>
    <w:rsid w:val="000305D7"/>
    <w:rsid w:val="00030688"/>
    <w:rsid w:val="0003080F"/>
    <w:rsid w:val="000321CE"/>
    <w:rsid w:val="00032305"/>
    <w:rsid w:val="00032A6E"/>
    <w:rsid w:val="00032AFC"/>
    <w:rsid w:val="00033C43"/>
    <w:rsid w:val="000342BD"/>
    <w:rsid w:val="00034ADD"/>
    <w:rsid w:val="00035273"/>
    <w:rsid w:val="0003553D"/>
    <w:rsid w:val="00035C0D"/>
    <w:rsid w:val="00036BE6"/>
    <w:rsid w:val="000373A8"/>
    <w:rsid w:val="0004014F"/>
    <w:rsid w:val="0004017C"/>
    <w:rsid w:val="0004040A"/>
    <w:rsid w:val="00040582"/>
    <w:rsid w:val="00040C1A"/>
    <w:rsid w:val="00040D12"/>
    <w:rsid w:val="00041398"/>
    <w:rsid w:val="000415B3"/>
    <w:rsid w:val="00041E27"/>
    <w:rsid w:val="000420BA"/>
    <w:rsid w:val="0004250A"/>
    <w:rsid w:val="00042580"/>
    <w:rsid w:val="00042878"/>
    <w:rsid w:val="00042A36"/>
    <w:rsid w:val="0004312A"/>
    <w:rsid w:val="0004325B"/>
    <w:rsid w:val="0004328D"/>
    <w:rsid w:val="00043895"/>
    <w:rsid w:val="00043ADB"/>
    <w:rsid w:val="00043B32"/>
    <w:rsid w:val="00043E90"/>
    <w:rsid w:val="00043EDE"/>
    <w:rsid w:val="00044EA7"/>
    <w:rsid w:val="00045A40"/>
    <w:rsid w:val="00045C2F"/>
    <w:rsid w:val="00046668"/>
    <w:rsid w:val="00046952"/>
    <w:rsid w:val="0004695B"/>
    <w:rsid w:val="00047AE1"/>
    <w:rsid w:val="00047D50"/>
    <w:rsid w:val="00050542"/>
    <w:rsid w:val="000506CF"/>
    <w:rsid w:val="000507B2"/>
    <w:rsid w:val="00050ABD"/>
    <w:rsid w:val="00050BB5"/>
    <w:rsid w:val="00051660"/>
    <w:rsid w:val="00051A6B"/>
    <w:rsid w:val="000523F6"/>
    <w:rsid w:val="000530AB"/>
    <w:rsid w:val="000530DC"/>
    <w:rsid w:val="000530E3"/>
    <w:rsid w:val="000531A6"/>
    <w:rsid w:val="00053AD3"/>
    <w:rsid w:val="00053C59"/>
    <w:rsid w:val="000542B5"/>
    <w:rsid w:val="00054C37"/>
    <w:rsid w:val="0005501F"/>
    <w:rsid w:val="00055BE8"/>
    <w:rsid w:val="000560AF"/>
    <w:rsid w:val="00056AD5"/>
    <w:rsid w:val="00056B5C"/>
    <w:rsid w:val="00057A7A"/>
    <w:rsid w:val="00057C88"/>
    <w:rsid w:val="000601A1"/>
    <w:rsid w:val="00060AD7"/>
    <w:rsid w:val="00061E49"/>
    <w:rsid w:val="000644FA"/>
    <w:rsid w:val="000645C5"/>
    <w:rsid w:val="00064E09"/>
    <w:rsid w:val="00064E7C"/>
    <w:rsid w:val="0006512B"/>
    <w:rsid w:val="000658DA"/>
    <w:rsid w:val="00065F75"/>
    <w:rsid w:val="00066E64"/>
    <w:rsid w:val="00067C46"/>
    <w:rsid w:val="00070FA5"/>
    <w:rsid w:val="00071346"/>
    <w:rsid w:val="00071F55"/>
    <w:rsid w:val="00072529"/>
    <w:rsid w:val="000725E4"/>
    <w:rsid w:val="00072F46"/>
    <w:rsid w:val="0007357E"/>
    <w:rsid w:val="0007358E"/>
    <w:rsid w:val="0007399B"/>
    <w:rsid w:val="000740CD"/>
    <w:rsid w:val="00074619"/>
    <w:rsid w:val="00074DD3"/>
    <w:rsid w:val="000750F6"/>
    <w:rsid w:val="000751B3"/>
    <w:rsid w:val="000758E1"/>
    <w:rsid w:val="00076E0D"/>
    <w:rsid w:val="00076F8B"/>
    <w:rsid w:val="00077254"/>
    <w:rsid w:val="00077604"/>
    <w:rsid w:val="00077B29"/>
    <w:rsid w:val="00077B7C"/>
    <w:rsid w:val="00077F7E"/>
    <w:rsid w:val="00080A95"/>
    <w:rsid w:val="00080B95"/>
    <w:rsid w:val="00080DE9"/>
    <w:rsid w:val="00081534"/>
    <w:rsid w:val="0008183B"/>
    <w:rsid w:val="00081AF5"/>
    <w:rsid w:val="000820C9"/>
    <w:rsid w:val="000829DA"/>
    <w:rsid w:val="00082B3E"/>
    <w:rsid w:val="00082D49"/>
    <w:rsid w:val="00083166"/>
    <w:rsid w:val="00083411"/>
    <w:rsid w:val="00083E9E"/>
    <w:rsid w:val="000841F5"/>
    <w:rsid w:val="00084229"/>
    <w:rsid w:val="0008485D"/>
    <w:rsid w:val="00084963"/>
    <w:rsid w:val="00084AA3"/>
    <w:rsid w:val="00084E94"/>
    <w:rsid w:val="00085F6F"/>
    <w:rsid w:val="00086244"/>
    <w:rsid w:val="0008635A"/>
    <w:rsid w:val="00086600"/>
    <w:rsid w:val="00086922"/>
    <w:rsid w:val="00086E11"/>
    <w:rsid w:val="00086E9E"/>
    <w:rsid w:val="00086FEC"/>
    <w:rsid w:val="00087A4E"/>
    <w:rsid w:val="00087E9A"/>
    <w:rsid w:val="00090324"/>
    <w:rsid w:val="00091246"/>
    <w:rsid w:val="000914B1"/>
    <w:rsid w:val="0009290C"/>
    <w:rsid w:val="000938DF"/>
    <w:rsid w:val="0009391C"/>
    <w:rsid w:val="00093C56"/>
    <w:rsid w:val="00094033"/>
    <w:rsid w:val="00094083"/>
    <w:rsid w:val="00094C18"/>
    <w:rsid w:val="00095035"/>
    <w:rsid w:val="00095225"/>
    <w:rsid w:val="000952BA"/>
    <w:rsid w:val="0009546C"/>
    <w:rsid w:val="000958A9"/>
    <w:rsid w:val="000958F7"/>
    <w:rsid w:val="00095979"/>
    <w:rsid w:val="00096389"/>
    <w:rsid w:val="00096DD4"/>
    <w:rsid w:val="0009763B"/>
    <w:rsid w:val="00097729"/>
    <w:rsid w:val="0009784A"/>
    <w:rsid w:val="000A0033"/>
    <w:rsid w:val="000A0185"/>
    <w:rsid w:val="000A0197"/>
    <w:rsid w:val="000A044C"/>
    <w:rsid w:val="000A1D0B"/>
    <w:rsid w:val="000A1EAB"/>
    <w:rsid w:val="000A1EDA"/>
    <w:rsid w:val="000A2576"/>
    <w:rsid w:val="000A26DF"/>
    <w:rsid w:val="000A29E7"/>
    <w:rsid w:val="000A2EA7"/>
    <w:rsid w:val="000A3566"/>
    <w:rsid w:val="000A3A32"/>
    <w:rsid w:val="000A4D65"/>
    <w:rsid w:val="000A5E97"/>
    <w:rsid w:val="000A5F56"/>
    <w:rsid w:val="000A6088"/>
    <w:rsid w:val="000A66CF"/>
    <w:rsid w:val="000A66E6"/>
    <w:rsid w:val="000A6F73"/>
    <w:rsid w:val="000A7028"/>
    <w:rsid w:val="000A780B"/>
    <w:rsid w:val="000A7811"/>
    <w:rsid w:val="000A7D9B"/>
    <w:rsid w:val="000A7DF6"/>
    <w:rsid w:val="000B0551"/>
    <w:rsid w:val="000B094E"/>
    <w:rsid w:val="000B0BA5"/>
    <w:rsid w:val="000B107E"/>
    <w:rsid w:val="000B198C"/>
    <w:rsid w:val="000B19AF"/>
    <w:rsid w:val="000B1B90"/>
    <w:rsid w:val="000B1C5E"/>
    <w:rsid w:val="000B26CE"/>
    <w:rsid w:val="000B27B7"/>
    <w:rsid w:val="000B27FE"/>
    <w:rsid w:val="000B2975"/>
    <w:rsid w:val="000B2F77"/>
    <w:rsid w:val="000B3103"/>
    <w:rsid w:val="000B3AFD"/>
    <w:rsid w:val="000B3DFA"/>
    <w:rsid w:val="000B4030"/>
    <w:rsid w:val="000B43DC"/>
    <w:rsid w:val="000B458B"/>
    <w:rsid w:val="000B4B6B"/>
    <w:rsid w:val="000B4CC2"/>
    <w:rsid w:val="000B50D0"/>
    <w:rsid w:val="000B52F0"/>
    <w:rsid w:val="000B5483"/>
    <w:rsid w:val="000B55BB"/>
    <w:rsid w:val="000B5A0A"/>
    <w:rsid w:val="000B5AD4"/>
    <w:rsid w:val="000B5B29"/>
    <w:rsid w:val="000B6268"/>
    <w:rsid w:val="000B6615"/>
    <w:rsid w:val="000B6627"/>
    <w:rsid w:val="000B6B96"/>
    <w:rsid w:val="000B70DD"/>
    <w:rsid w:val="000B7B70"/>
    <w:rsid w:val="000C0140"/>
    <w:rsid w:val="000C0176"/>
    <w:rsid w:val="000C053B"/>
    <w:rsid w:val="000C0C2A"/>
    <w:rsid w:val="000C1EB9"/>
    <w:rsid w:val="000C30DA"/>
    <w:rsid w:val="000C3A3F"/>
    <w:rsid w:val="000C3BC8"/>
    <w:rsid w:val="000C3CCC"/>
    <w:rsid w:val="000C4207"/>
    <w:rsid w:val="000C4357"/>
    <w:rsid w:val="000C5460"/>
    <w:rsid w:val="000C5751"/>
    <w:rsid w:val="000C5A45"/>
    <w:rsid w:val="000C6725"/>
    <w:rsid w:val="000C6775"/>
    <w:rsid w:val="000C6EAA"/>
    <w:rsid w:val="000C74C8"/>
    <w:rsid w:val="000C75D1"/>
    <w:rsid w:val="000C77DD"/>
    <w:rsid w:val="000C7815"/>
    <w:rsid w:val="000C7D96"/>
    <w:rsid w:val="000D011F"/>
    <w:rsid w:val="000D05BE"/>
    <w:rsid w:val="000D06A1"/>
    <w:rsid w:val="000D1458"/>
    <w:rsid w:val="000D1653"/>
    <w:rsid w:val="000D1D8C"/>
    <w:rsid w:val="000D22FF"/>
    <w:rsid w:val="000D231E"/>
    <w:rsid w:val="000D23F3"/>
    <w:rsid w:val="000D2D63"/>
    <w:rsid w:val="000D30FA"/>
    <w:rsid w:val="000D3440"/>
    <w:rsid w:val="000D3EB1"/>
    <w:rsid w:val="000D3F26"/>
    <w:rsid w:val="000D4322"/>
    <w:rsid w:val="000D43FA"/>
    <w:rsid w:val="000D4D71"/>
    <w:rsid w:val="000D53CC"/>
    <w:rsid w:val="000D561B"/>
    <w:rsid w:val="000D591A"/>
    <w:rsid w:val="000D5F8D"/>
    <w:rsid w:val="000D601D"/>
    <w:rsid w:val="000D63D1"/>
    <w:rsid w:val="000D674F"/>
    <w:rsid w:val="000D6F02"/>
    <w:rsid w:val="000D6F4D"/>
    <w:rsid w:val="000D70C0"/>
    <w:rsid w:val="000D70E0"/>
    <w:rsid w:val="000D7B25"/>
    <w:rsid w:val="000D7C2D"/>
    <w:rsid w:val="000D7F43"/>
    <w:rsid w:val="000D7FBA"/>
    <w:rsid w:val="000E0368"/>
    <w:rsid w:val="000E0A9C"/>
    <w:rsid w:val="000E0FB3"/>
    <w:rsid w:val="000E1426"/>
    <w:rsid w:val="000E1D1E"/>
    <w:rsid w:val="000E21AF"/>
    <w:rsid w:val="000E25C2"/>
    <w:rsid w:val="000E2798"/>
    <w:rsid w:val="000E2EA8"/>
    <w:rsid w:val="000E3976"/>
    <w:rsid w:val="000E3DE4"/>
    <w:rsid w:val="000E4379"/>
    <w:rsid w:val="000E43AD"/>
    <w:rsid w:val="000E4AE1"/>
    <w:rsid w:val="000E4C56"/>
    <w:rsid w:val="000E4FE9"/>
    <w:rsid w:val="000E546B"/>
    <w:rsid w:val="000E574A"/>
    <w:rsid w:val="000E5DD6"/>
    <w:rsid w:val="000E62A0"/>
    <w:rsid w:val="000E7168"/>
    <w:rsid w:val="000E7442"/>
    <w:rsid w:val="000E776F"/>
    <w:rsid w:val="000E79BE"/>
    <w:rsid w:val="000E79E0"/>
    <w:rsid w:val="000E7AF9"/>
    <w:rsid w:val="000F10C8"/>
    <w:rsid w:val="000F1109"/>
    <w:rsid w:val="000F11D9"/>
    <w:rsid w:val="000F1391"/>
    <w:rsid w:val="000F20AD"/>
    <w:rsid w:val="000F2863"/>
    <w:rsid w:val="000F28E8"/>
    <w:rsid w:val="000F34FB"/>
    <w:rsid w:val="000F4262"/>
    <w:rsid w:val="000F52CC"/>
    <w:rsid w:val="000F5BFC"/>
    <w:rsid w:val="000F60A4"/>
    <w:rsid w:val="000F6432"/>
    <w:rsid w:val="000F64D6"/>
    <w:rsid w:val="000F65F3"/>
    <w:rsid w:val="000F7C14"/>
    <w:rsid w:val="0010055B"/>
    <w:rsid w:val="00100CF0"/>
    <w:rsid w:val="00100FEB"/>
    <w:rsid w:val="001010BF"/>
    <w:rsid w:val="001011F3"/>
    <w:rsid w:val="001012C6"/>
    <w:rsid w:val="001019FE"/>
    <w:rsid w:val="00101D28"/>
    <w:rsid w:val="00102AC6"/>
    <w:rsid w:val="00103249"/>
    <w:rsid w:val="00103388"/>
    <w:rsid w:val="00103543"/>
    <w:rsid w:val="00104906"/>
    <w:rsid w:val="00104E46"/>
    <w:rsid w:val="001055E6"/>
    <w:rsid w:val="001059A3"/>
    <w:rsid w:val="00106092"/>
    <w:rsid w:val="00106B1D"/>
    <w:rsid w:val="00110003"/>
    <w:rsid w:val="001104D3"/>
    <w:rsid w:val="001108D8"/>
    <w:rsid w:val="001109BB"/>
    <w:rsid w:val="00110C59"/>
    <w:rsid w:val="00111BA9"/>
    <w:rsid w:val="00111BC3"/>
    <w:rsid w:val="001123C0"/>
    <w:rsid w:val="001126A6"/>
    <w:rsid w:val="001126A7"/>
    <w:rsid w:val="001130A3"/>
    <w:rsid w:val="00113652"/>
    <w:rsid w:val="00113660"/>
    <w:rsid w:val="001143F7"/>
    <w:rsid w:val="00114899"/>
    <w:rsid w:val="00114A42"/>
    <w:rsid w:val="00114B10"/>
    <w:rsid w:val="00114B21"/>
    <w:rsid w:val="001158F2"/>
    <w:rsid w:val="00115A8A"/>
    <w:rsid w:val="00115D3B"/>
    <w:rsid w:val="00115D9E"/>
    <w:rsid w:val="00115E31"/>
    <w:rsid w:val="00116184"/>
    <w:rsid w:val="00116AF7"/>
    <w:rsid w:val="00117001"/>
    <w:rsid w:val="00117269"/>
    <w:rsid w:val="001172CA"/>
    <w:rsid w:val="00117674"/>
    <w:rsid w:val="001178F7"/>
    <w:rsid w:val="0011795B"/>
    <w:rsid w:val="00117BB2"/>
    <w:rsid w:val="00117C96"/>
    <w:rsid w:val="0012019C"/>
    <w:rsid w:val="001206C8"/>
    <w:rsid w:val="00120962"/>
    <w:rsid w:val="00120A80"/>
    <w:rsid w:val="00120CD8"/>
    <w:rsid w:val="0012131C"/>
    <w:rsid w:val="00121B76"/>
    <w:rsid w:val="00121C01"/>
    <w:rsid w:val="00121C65"/>
    <w:rsid w:val="00121EF0"/>
    <w:rsid w:val="00122170"/>
    <w:rsid w:val="0012259B"/>
    <w:rsid w:val="00122E43"/>
    <w:rsid w:val="00122ED2"/>
    <w:rsid w:val="001230B3"/>
    <w:rsid w:val="00123CD3"/>
    <w:rsid w:val="00123D89"/>
    <w:rsid w:val="00124675"/>
    <w:rsid w:val="00124809"/>
    <w:rsid w:val="0012486E"/>
    <w:rsid w:val="001253B9"/>
    <w:rsid w:val="001254D5"/>
    <w:rsid w:val="001262B8"/>
    <w:rsid w:val="00126441"/>
    <w:rsid w:val="001264AD"/>
    <w:rsid w:val="001265EA"/>
    <w:rsid w:val="00126FE0"/>
    <w:rsid w:val="00127173"/>
    <w:rsid w:val="001300BF"/>
    <w:rsid w:val="00131143"/>
    <w:rsid w:val="0013120D"/>
    <w:rsid w:val="00132887"/>
    <w:rsid w:val="00132D7D"/>
    <w:rsid w:val="00132F60"/>
    <w:rsid w:val="00133355"/>
    <w:rsid w:val="001334CE"/>
    <w:rsid w:val="0013394E"/>
    <w:rsid w:val="00134383"/>
    <w:rsid w:val="00135D80"/>
    <w:rsid w:val="00135E94"/>
    <w:rsid w:val="00135F0A"/>
    <w:rsid w:val="001362A2"/>
    <w:rsid w:val="001363E9"/>
    <w:rsid w:val="00136749"/>
    <w:rsid w:val="00136C94"/>
    <w:rsid w:val="00136D66"/>
    <w:rsid w:val="00137496"/>
    <w:rsid w:val="0013754C"/>
    <w:rsid w:val="001377F8"/>
    <w:rsid w:val="0014004D"/>
    <w:rsid w:val="00140352"/>
    <w:rsid w:val="00140A89"/>
    <w:rsid w:val="00140AC3"/>
    <w:rsid w:val="00140D2F"/>
    <w:rsid w:val="00140EBC"/>
    <w:rsid w:val="00140F94"/>
    <w:rsid w:val="00141232"/>
    <w:rsid w:val="00141427"/>
    <w:rsid w:val="00141522"/>
    <w:rsid w:val="00142EC0"/>
    <w:rsid w:val="00142FD7"/>
    <w:rsid w:val="001433B9"/>
    <w:rsid w:val="001433E3"/>
    <w:rsid w:val="0014397D"/>
    <w:rsid w:val="001440BA"/>
    <w:rsid w:val="00144E79"/>
    <w:rsid w:val="00145284"/>
    <w:rsid w:val="001454CC"/>
    <w:rsid w:val="0014569D"/>
    <w:rsid w:val="001456DE"/>
    <w:rsid w:val="00145855"/>
    <w:rsid w:val="0014585D"/>
    <w:rsid w:val="00145CF9"/>
    <w:rsid w:val="00145F56"/>
    <w:rsid w:val="00146A36"/>
    <w:rsid w:val="00146EB7"/>
    <w:rsid w:val="0014721E"/>
    <w:rsid w:val="0014758A"/>
    <w:rsid w:val="0014759D"/>
    <w:rsid w:val="0014765F"/>
    <w:rsid w:val="00150486"/>
    <w:rsid w:val="001508E0"/>
    <w:rsid w:val="00150B37"/>
    <w:rsid w:val="001514B6"/>
    <w:rsid w:val="00151E58"/>
    <w:rsid w:val="0015227E"/>
    <w:rsid w:val="001528E6"/>
    <w:rsid w:val="00152E04"/>
    <w:rsid w:val="00153056"/>
    <w:rsid w:val="00153613"/>
    <w:rsid w:val="00153B5B"/>
    <w:rsid w:val="00154305"/>
    <w:rsid w:val="00154401"/>
    <w:rsid w:val="00154A21"/>
    <w:rsid w:val="0015547D"/>
    <w:rsid w:val="0015588F"/>
    <w:rsid w:val="00155FAD"/>
    <w:rsid w:val="00156055"/>
    <w:rsid w:val="001566D1"/>
    <w:rsid w:val="00156FF6"/>
    <w:rsid w:val="00157874"/>
    <w:rsid w:val="0015795B"/>
    <w:rsid w:val="001602B5"/>
    <w:rsid w:val="00160D1F"/>
    <w:rsid w:val="00160F7E"/>
    <w:rsid w:val="00162C02"/>
    <w:rsid w:val="00162F47"/>
    <w:rsid w:val="001639DF"/>
    <w:rsid w:val="00163E83"/>
    <w:rsid w:val="0016435E"/>
    <w:rsid w:val="001644D0"/>
    <w:rsid w:val="00164621"/>
    <w:rsid w:val="00164861"/>
    <w:rsid w:val="001648A0"/>
    <w:rsid w:val="0016530B"/>
    <w:rsid w:val="0016569C"/>
    <w:rsid w:val="0016588B"/>
    <w:rsid w:val="00165A7F"/>
    <w:rsid w:val="00165C1B"/>
    <w:rsid w:val="001664F4"/>
    <w:rsid w:val="001665C6"/>
    <w:rsid w:val="00166AA9"/>
    <w:rsid w:val="00170864"/>
    <w:rsid w:val="001708E0"/>
    <w:rsid w:val="00170ACE"/>
    <w:rsid w:val="001713D0"/>
    <w:rsid w:val="001714F3"/>
    <w:rsid w:val="00171C44"/>
    <w:rsid w:val="001722AF"/>
    <w:rsid w:val="00172448"/>
    <w:rsid w:val="001727B6"/>
    <w:rsid w:val="00172CD9"/>
    <w:rsid w:val="001731BC"/>
    <w:rsid w:val="00174112"/>
    <w:rsid w:val="00174216"/>
    <w:rsid w:val="001748B0"/>
    <w:rsid w:val="00174AE1"/>
    <w:rsid w:val="001751CD"/>
    <w:rsid w:val="001758A7"/>
    <w:rsid w:val="00175D3B"/>
    <w:rsid w:val="00176602"/>
    <w:rsid w:val="0017663D"/>
    <w:rsid w:val="001766C3"/>
    <w:rsid w:val="001772B0"/>
    <w:rsid w:val="001773D7"/>
    <w:rsid w:val="00177501"/>
    <w:rsid w:val="0017771D"/>
    <w:rsid w:val="00177C0C"/>
    <w:rsid w:val="001801A7"/>
    <w:rsid w:val="001806B5"/>
    <w:rsid w:val="0018076C"/>
    <w:rsid w:val="00180865"/>
    <w:rsid w:val="00180D76"/>
    <w:rsid w:val="001815D8"/>
    <w:rsid w:val="001820DB"/>
    <w:rsid w:val="00182604"/>
    <w:rsid w:val="00182942"/>
    <w:rsid w:val="001831CA"/>
    <w:rsid w:val="00183772"/>
    <w:rsid w:val="00183CAE"/>
    <w:rsid w:val="00184236"/>
    <w:rsid w:val="00185C21"/>
    <w:rsid w:val="00185D5C"/>
    <w:rsid w:val="00186598"/>
    <w:rsid w:val="001865F9"/>
    <w:rsid w:val="00186733"/>
    <w:rsid w:val="00186B35"/>
    <w:rsid w:val="00186B6B"/>
    <w:rsid w:val="00186C39"/>
    <w:rsid w:val="00187050"/>
    <w:rsid w:val="00187646"/>
    <w:rsid w:val="0018764B"/>
    <w:rsid w:val="00187684"/>
    <w:rsid w:val="001878F3"/>
    <w:rsid w:val="001902C1"/>
    <w:rsid w:val="001904DD"/>
    <w:rsid w:val="001905BA"/>
    <w:rsid w:val="0019072F"/>
    <w:rsid w:val="0019079A"/>
    <w:rsid w:val="00190EF0"/>
    <w:rsid w:val="00191625"/>
    <w:rsid w:val="001916AB"/>
    <w:rsid w:val="0019180B"/>
    <w:rsid w:val="00191E13"/>
    <w:rsid w:val="00192AAD"/>
    <w:rsid w:val="001930EB"/>
    <w:rsid w:val="00193D5F"/>
    <w:rsid w:val="0019499B"/>
    <w:rsid w:val="00194D1D"/>
    <w:rsid w:val="0019587C"/>
    <w:rsid w:val="0019589E"/>
    <w:rsid w:val="00196F4E"/>
    <w:rsid w:val="001A0B31"/>
    <w:rsid w:val="001A0BAE"/>
    <w:rsid w:val="001A0CC1"/>
    <w:rsid w:val="001A0D60"/>
    <w:rsid w:val="001A12A3"/>
    <w:rsid w:val="001A1886"/>
    <w:rsid w:val="001A1B60"/>
    <w:rsid w:val="001A1BAB"/>
    <w:rsid w:val="001A221F"/>
    <w:rsid w:val="001A23AB"/>
    <w:rsid w:val="001A2C9D"/>
    <w:rsid w:val="001A43D8"/>
    <w:rsid w:val="001A4907"/>
    <w:rsid w:val="001A4C4A"/>
    <w:rsid w:val="001A5294"/>
    <w:rsid w:val="001A55BE"/>
    <w:rsid w:val="001A57C0"/>
    <w:rsid w:val="001A5EEA"/>
    <w:rsid w:val="001A6664"/>
    <w:rsid w:val="001A70E8"/>
    <w:rsid w:val="001A7638"/>
    <w:rsid w:val="001A7F8B"/>
    <w:rsid w:val="001A7FC9"/>
    <w:rsid w:val="001B0069"/>
    <w:rsid w:val="001B037F"/>
    <w:rsid w:val="001B15C7"/>
    <w:rsid w:val="001B1E08"/>
    <w:rsid w:val="001B2446"/>
    <w:rsid w:val="001B2B8A"/>
    <w:rsid w:val="001B2E6D"/>
    <w:rsid w:val="001B3057"/>
    <w:rsid w:val="001B30C6"/>
    <w:rsid w:val="001B32D9"/>
    <w:rsid w:val="001B34CE"/>
    <w:rsid w:val="001B35F5"/>
    <w:rsid w:val="001B3CD9"/>
    <w:rsid w:val="001B4412"/>
    <w:rsid w:val="001B44CD"/>
    <w:rsid w:val="001B4902"/>
    <w:rsid w:val="001B4C7D"/>
    <w:rsid w:val="001B5237"/>
    <w:rsid w:val="001B5839"/>
    <w:rsid w:val="001B5BE6"/>
    <w:rsid w:val="001B5F4C"/>
    <w:rsid w:val="001B5FDF"/>
    <w:rsid w:val="001B6124"/>
    <w:rsid w:val="001B61E5"/>
    <w:rsid w:val="001B66D8"/>
    <w:rsid w:val="001B6F5E"/>
    <w:rsid w:val="001B73E5"/>
    <w:rsid w:val="001B7D7D"/>
    <w:rsid w:val="001B7EF5"/>
    <w:rsid w:val="001B7F11"/>
    <w:rsid w:val="001C03A0"/>
    <w:rsid w:val="001C0E71"/>
    <w:rsid w:val="001C0F34"/>
    <w:rsid w:val="001C1457"/>
    <w:rsid w:val="001C2124"/>
    <w:rsid w:val="001C27F4"/>
    <w:rsid w:val="001C2819"/>
    <w:rsid w:val="001C2C4D"/>
    <w:rsid w:val="001C4F23"/>
    <w:rsid w:val="001C581B"/>
    <w:rsid w:val="001C5FFE"/>
    <w:rsid w:val="001C6176"/>
    <w:rsid w:val="001C64DB"/>
    <w:rsid w:val="001C6690"/>
    <w:rsid w:val="001C6AF3"/>
    <w:rsid w:val="001C6F6B"/>
    <w:rsid w:val="001C7202"/>
    <w:rsid w:val="001C7230"/>
    <w:rsid w:val="001C72C8"/>
    <w:rsid w:val="001C7E6A"/>
    <w:rsid w:val="001C7F25"/>
    <w:rsid w:val="001D0009"/>
    <w:rsid w:val="001D0366"/>
    <w:rsid w:val="001D1FD0"/>
    <w:rsid w:val="001D248F"/>
    <w:rsid w:val="001D2A5B"/>
    <w:rsid w:val="001D2CD8"/>
    <w:rsid w:val="001D2E7D"/>
    <w:rsid w:val="001D36F9"/>
    <w:rsid w:val="001D3F97"/>
    <w:rsid w:val="001D411E"/>
    <w:rsid w:val="001D4E3D"/>
    <w:rsid w:val="001D5069"/>
    <w:rsid w:val="001D55E2"/>
    <w:rsid w:val="001D661D"/>
    <w:rsid w:val="001D69FF"/>
    <w:rsid w:val="001D757D"/>
    <w:rsid w:val="001E07E7"/>
    <w:rsid w:val="001E1571"/>
    <w:rsid w:val="001E15E1"/>
    <w:rsid w:val="001E170C"/>
    <w:rsid w:val="001E1FB9"/>
    <w:rsid w:val="001E24F0"/>
    <w:rsid w:val="001E258E"/>
    <w:rsid w:val="001E2EE7"/>
    <w:rsid w:val="001E4455"/>
    <w:rsid w:val="001E47ED"/>
    <w:rsid w:val="001E5099"/>
    <w:rsid w:val="001E5835"/>
    <w:rsid w:val="001E638F"/>
    <w:rsid w:val="001E66AF"/>
    <w:rsid w:val="001E6AFC"/>
    <w:rsid w:val="001E7C2C"/>
    <w:rsid w:val="001F0233"/>
    <w:rsid w:val="001F11C4"/>
    <w:rsid w:val="001F1439"/>
    <w:rsid w:val="001F153B"/>
    <w:rsid w:val="001F2210"/>
    <w:rsid w:val="001F2774"/>
    <w:rsid w:val="001F3251"/>
    <w:rsid w:val="001F401E"/>
    <w:rsid w:val="001F407D"/>
    <w:rsid w:val="001F439E"/>
    <w:rsid w:val="001F5623"/>
    <w:rsid w:val="001F573B"/>
    <w:rsid w:val="001F581B"/>
    <w:rsid w:val="001F58FA"/>
    <w:rsid w:val="001F593D"/>
    <w:rsid w:val="001F5BA4"/>
    <w:rsid w:val="001F65BB"/>
    <w:rsid w:val="001F74A9"/>
    <w:rsid w:val="001F76DA"/>
    <w:rsid w:val="001F794D"/>
    <w:rsid w:val="002004B5"/>
    <w:rsid w:val="0020074A"/>
    <w:rsid w:val="00200969"/>
    <w:rsid w:val="0020146E"/>
    <w:rsid w:val="00201538"/>
    <w:rsid w:val="00201561"/>
    <w:rsid w:val="00202135"/>
    <w:rsid w:val="002023CB"/>
    <w:rsid w:val="002024FC"/>
    <w:rsid w:val="00203DC8"/>
    <w:rsid w:val="002045ED"/>
    <w:rsid w:val="0020471A"/>
    <w:rsid w:val="00204B63"/>
    <w:rsid w:val="00204F50"/>
    <w:rsid w:val="00205108"/>
    <w:rsid w:val="00205345"/>
    <w:rsid w:val="00205393"/>
    <w:rsid w:val="00206330"/>
    <w:rsid w:val="0020670A"/>
    <w:rsid w:val="0020682B"/>
    <w:rsid w:val="00206B9C"/>
    <w:rsid w:val="00206C0F"/>
    <w:rsid w:val="0020703A"/>
    <w:rsid w:val="00207AC0"/>
    <w:rsid w:val="00210600"/>
    <w:rsid w:val="0021070B"/>
    <w:rsid w:val="002109D3"/>
    <w:rsid w:val="00210C62"/>
    <w:rsid w:val="00210E39"/>
    <w:rsid w:val="0021141E"/>
    <w:rsid w:val="0021154B"/>
    <w:rsid w:val="002116F2"/>
    <w:rsid w:val="0021182C"/>
    <w:rsid w:val="00211E09"/>
    <w:rsid w:val="00212A8E"/>
    <w:rsid w:val="002142A4"/>
    <w:rsid w:val="00214329"/>
    <w:rsid w:val="00214B6C"/>
    <w:rsid w:val="00214C54"/>
    <w:rsid w:val="002151B9"/>
    <w:rsid w:val="00215D48"/>
    <w:rsid w:val="00216086"/>
    <w:rsid w:val="00216788"/>
    <w:rsid w:val="0021685B"/>
    <w:rsid w:val="00216DC1"/>
    <w:rsid w:val="00216E01"/>
    <w:rsid w:val="002170C1"/>
    <w:rsid w:val="002177F1"/>
    <w:rsid w:val="00217D9C"/>
    <w:rsid w:val="00220731"/>
    <w:rsid w:val="00220868"/>
    <w:rsid w:val="0022100A"/>
    <w:rsid w:val="00221024"/>
    <w:rsid w:val="0022104A"/>
    <w:rsid w:val="0022117B"/>
    <w:rsid w:val="0022142B"/>
    <w:rsid w:val="00221857"/>
    <w:rsid w:val="00221D3F"/>
    <w:rsid w:val="002223CA"/>
    <w:rsid w:val="0022258B"/>
    <w:rsid w:val="002226E3"/>
    <w:rsid w:val="00222819"/>
    <w:rsid w:val="00223202"/>
    <w:rsid w:val="002233F7"/>
    <w:rsid w:val="0022341F"/>
    <w:rsid w:val="00223564"/>
    <w:rsid w:val="00223738"/>
    <w:rsid w:val="0022459E"/>
    <w:rsid w:val="0022476C"/>
    <w:rsid w:val="00224E11"/>
    <w:rsid w:val="002259AA"/>
    <w:rsid w:val="00225F22"/>
    <w:rsid w:val="00226B6E"/>
    <w:rsid w:val="002270A4"/>
    <w:rsid w:val="00227718"/>
    <w:rsid w:val="00227B91"/>
    <w:rsid w:val="00227E87"/>
    <w:rsid w:val="002302B3"/>
    <w:rsid w:val="00230B1C"/>
    <w:rsid w:val="00230B4E"/>
    <w:rsid w:val="00230D1A"/>
    <w:rsid w:val="00231593"/>
    <w:rsid w:val="00231A54"/>
    <w:rsid w:val="00232487"/>
    <w:rsid w:val="002329B2"/>
    <w:rsid w:val="00232C35"/>
    <w:rsid w:val="002334E5"/>
    <w:rsid w:val="0023364B"/>
    <w:rsid w:val="00233893"/>
    <w:rsid w:val="00233A10"/>
    <w:rsid w:val="00233B23"/>
    <w:rsid w:val="00233C28"/>
    <w:rsid w:val="00233C4E"/>
    <w:rsid w:val="002340EB"/>
    <w:rsid w:val="002343D6"/>
    <w:rsid w:val="00234A17"/>
    <w:rsid w:val="00234D9B"/>
    <w:rsid w:val="002350E0"/>
    <w:rsid w:val="002359C7"/>
    <w:rsid w:val="002367EE"/>
    <w:rsid w:val="00237509"/>
    <w:rsid w:val="0023777C"/>
    <w:rsid w:val="00237AF7"/>
    <w:rsid w:val="00237CBC"/>
    <w:rsid w:val="00237EAE"/>
    <w:rsid w:val="0024064F"/>
    <w:rsid w:val="00241B1E"/>
    <w:rsid w:val="0024229B"/>
    <w:rsid w:val="00242581"/>
    <w:rsid w:val="00242676"/>
    <w:rsid w:val="00242FFB"/>
    <w:rsid w:val="00243083"/>
    <w:rsid w:val="00243528"/>
    <w:rsid w:val="00243E32"/>
    <w:rsid w:val="0024555E"/>
    <w:rsid w:val="00245753"/>
    <w:rsid w:val="002463F9"/>
    <w:rsid w:val="002467B9"/>
    <w:rsid w:val="00246835"/>
    <w:rsid w:val="00246914"/>
    <w:rsid w:val="00246957"/>
    <w:rsid w:val="00246B7A"/>
    <w:rsid w:val="00246CC4"/>
    <w:rsid w:val="00246F59"/>
    <w:rsid w:val="00246F9F"/>
    <w:rsid w:val="002472C3"/>
    <w:rsid w:val="00247B0F"/>
    <w:rsid w:val="00247F36"/>
    <w:rsid w:val="00251344"/>
    <w:rsid w:val="00251DAA"/>
    <w:rsid w:val="0025298B"/>
    <w:rsid w:val="00252A9E"/>
    <w:rsid w:val="002530E4"/>
    <w:rsid w:val="002534EE"/>
    <w:rsid w:val="00253922"/>
    <w:rsid w:val="00253966"/>
    <w:rsid w:val="00253BDA"/>
    <w:rsid w:val="0025479B"/>
    <w:rsid w:val="00254E5E"/>
    <w:rsid w:val="0025506E"/>
    <w:rsid w:val="0025666B"/>
    <w:rsid w:val="00256918"/>
    <w:rsid w:val="00256E43"/>
    <w:rsid w:val="00257698"/>
    <w:rsid w:val="00257B5A"/>
    <w:rsid w:val="00257F2F"/>
    <w:rsid w:val="00260678"/>
    <w:rsid w:val="002607DE"/>
    <w:rsid w:val="00260BAC"/>
    <w:rsid w:val="00260EB1"/>
    <w:rsid w:val="0026101B"/>
    <w:rsid w:val="002611D7"/>
    <w:rsid w:val="00261314"/>
    <w:rsid w:val="00261652"/>
    <w:rsid w:val="002617BF"/>
    <w:rsid w:val="00261CF6"/>
    <w:rsid w:val="00261EB2"/>
    <w:rsid w:val="002622F7"/>
    <w:rsid w:val="00262CA8"/>
    <w:rsid w:val="00262CE6"/>
    <w:rsid w:val="0026316C"/>
    <w:rsid w:val="002631DB"/>
    <w:rsid w:val="002638B4"/>
    <w:rsid w:val="00263987"/>
    <w:rsid w:val="00263D2A"/>
    <w:rsid w:val="00263E5F"/>
    <w:rsid w:val="002648C3"/>
    <w:rsid w:val="00265051"/>
    <w:rsid w:val="0026588B"/>
    <w:rsid w:val="00265C8A"/>
    <w:rsid w:val="00267034"/>
    <w:rsid w:val="00267083"/>
    <w:rsid w:val="00270353"/>
    <w:rsid w:val="00271E9C"/>
    <w:rsid w:val="00272865"/>
    <w:rsid w:val="00272FE0"/>
    <w:rsid w:val="00273740"/>
    <w:rsid w:val="00273B26"/>
    <w:rsid w:val="00273B88"/>
    <w:rsid w:val="00273F74"/>
    <w:rsid w:val="00274FDC"/>
    <w:rsid w:val="00275C8F"/>
    <w:rsid w:val="00275C99"/>
    <w:rsid w:val="002763DC"/>
    <w:rsid w:val="00276630"/>
    <w:rsid w:val="00276F53"/>
    <w:rsid w:val="00276F7C"/>
    <w:rsid w:val="00277278"/>
    <w:rsid w:val="0027738C"/>
    <w:rsid w:val="00280805"/>
    <w:rsid w:val="00280967"/>
    <w:rsid w:val="00280AB2"/>
    <w:rsid w:val="00280F09"/>
    <w:rsid w:val="00281375"/>
    <w:rsid w:val="00282689"/>
    <w:rsid w:val="00282755"/>
    <w:rsid w:val="002829AC"/>
    <w:rsid w:val="00282B6E"/>
    <w:rsid w:val="00282C98"/>
    <w:rsid w:val="00282D31"/>
    <w:rsid w:val="00283002"/>
    <w:rsid w:val="00283B43"/>
    <w:rsid w:val="00283B68"/>
    <w:rsid w:val="00283FA6"/>
    <w:rsid w:val="002845A1"/>
    <w:rsid w:val="00284979"/>
    <w:rsid w:val="00285253"/>
    <w:rsid w:val="00285772"/>
    <w:rsid w:val="00285789"/>
    <w:rsid w:val="002861A9"/>
    <w:rsid w:val="0028630C"/>
    <w:rsid w:val="002865A4"/>
    <w:rsid w:val="0028667F"/>
    <w:rsid w:val="00286DE9"/>
    <w:rsid w:val="002872C5"/>
    <w:rsid w:val="00287777"/>
    <w:rsid w:val="00287B0C"/>
    <w:rsid w:val="00287D7E"/>
    <w:rsid w:val="00287ECA"/>
    <w:rsid w:val="00287EEE"/>
    <w:rsid w:val="00290560"/>
    <w:rsid w:val="00290A11"/>
    <w:rsid w:val="00291113"/>
    <w:rsid w:val="002917FE"/>
    <w:rsid w:val="00291D79"/>
    <w:rsid w:val="00292226"/>
    <w:rsid w:val="002922E7"/>
    <w:rsid w:val="00292E59"/>
    <w:rsid w:val="00293806"/>
    <w:rsid w:val="00293B89"/>
    <w:rsid w:val="002943A2"/>
    <w:rsid w:val="0029587D"/>
    <w:rsid w:val="00295ADA"/>
    <w:rsid w:val="0029644F"/>
    <w:rsid w:val="00297223"/>
    <w:rsid w:val="002A0021"/>
    <w:rsid w:val="002A09BE"/>
    <w:rsid w:val="002A09D6"/>
    <w:rsid w:val="002A0A85"/>
    <w:rsid w:val="002A11F4"/>
    <w:rsid w:val="002A137D"/>
    <w:rsid w:val="002A1553"/>
    <w:rsid w:val="002A22B5"/>
    <w:rsid w:val="002A23EB"/>
    <w:rsid w:val="002A2686"/>
    <w:rsid w:val="002A2E9D"/>
    <w:rsid w:val="002A301D"/>
    <w:rsid w:val="002A327C"/>
    <w:rsid w:val="002A4633"/>
    <w:rsid w:val="002A4B1E"/>
    <w:rsid w:val="002A5171"/>
    <w:rsid w:val="002A52BB"/>
    <w:rsid w:val="002A56D4"/>
    <w:rsid w:val="002A5DC6"/>
    <w:rsid w:val="002A5F62"/>
    <w:rsid w:val="002A5FFF"/>
    <w:rsid w:val="002A6617"/>
    <w:rsid w:val="002A6980"/>
    <w:rsid w:val="002A6B72"/>
    <w:rsid w:val="002A6BB3"/>
    <w:rsid w:val="002A7604"/>
    <w:rsid w:val="002A7696"/>
    <w:rsid w:val="002A7AA3"/>
    <w:rsid w:val="002A7BA3"/>
    <w:rsid w:val="002B0312"/>
    <w:rsid w:val="002B0569"/>
    <w:rsid w:val="002B07B9"/>
    <w:rsid w:val="002B0A32"/>
    <w:rsid w:val="002B0CCD"/>
    <w:rsid w:val="002B0F7B"/>
    <w:rsid w:val="002B11AB"/>
    <w:rsid w:val="002B1644"/>
    <w:rsid w:val="002B16A4"/>
    <w:rsid w:val="002B17EF"/>
    <w:rsid w:val="002B21D8"/>
    <w:rsid w:val="002B28BF"/>
    <w:rsid w:val="002B30D7"/>
    <w:rsid w:val="002B3B9D"/>
    <w:rsid w:val="002B4A71"/>
    <w:rsid w:val="002B4BE2"/>
    <w:rsid w:val="002B5035"/>
    <w:rsid w:val="002B505D"/>
    <w:rsid w:val="002B51E0"/>
    <w:rsid w:val="002B5A15"/>
    <w:rsid w:val="002B5ACB"/>
    <w:rsid w:val="002B6C06"/>
    <w:rsid w:val="002B7101"/>
    <w:rsid w:val="002B736B"/>
    <w:rsid w:val="002B7519"/>
    <w:rsid w:val="002B765E"/>
    <w:rsid w:val="002C1B6B"/>
    <w:rsid w:val="002C1F2F"/>
    <w:rsid w:val="002C22A5"/>
    <w:rsid w:val="002C26C2"/>
    <w:rsid w:val="002C2A14"/>
    <w:rsid w:val="002C2CEA"/>
    <w:rsid w:val="002C3A4A"/>
    <w:rsid w:val="002C3FA1"/>
    <w:rsid w:val="002C4277"/>
    <w:rsid w:val="002C4C50"/>
    <w:rsid w:val="002C52E9"/>
    <w:rsid w:val="002C5499"/>
    <w:rsid w:val="002C5529"/>
    <w:rsid w:val="002C58FE"/>
    <w:rsid w:val="002C69E6"/>
    <w:rsid w:val="002C6CDB"/>
    <w:rsid w:val="002C6D08"/>
    <w:rsid w:val="002C6FC3"/>
    <w:rsid w:val="002C7B2E"/>
    <w:rsid w:val="002D004E"/>
    <w:rsid w:val="002D0126"/>
    <w:rsid w:val="002D0C7B"/>
    <w:rsid w:val="002D1038"/>
    <w:rsid w:val="002D1082"/>
    <w:rsid w:val="002D11DA"/>
    <w:rsid w:val="002D1266"/>
    <w:rsid w:val="002D1CBA"/>
    <w:rsid w:val="002D2042"/>
    <w:rsid w:val="002D2CC8"/>
    <w:rsid w:val="002D2D99"/>
    <w:rsid w:val="002D3020"/>
    <w:rsid w:val="002D332B"/>
    <w:rsid w:val="002D4421"/>
    <w:rsid w:val="002D4B0E"/>
    <w:rsid w:val="002D4E63"/>
    <w:rsid w:val="002D5657"/>
    <w:rsid w:val="002D6068"/>
    <w:rsid w:val="002D64AA"/>
    <w:rsid w:val="002D68E9"/>
    <w:rsid w:val="002D6B9F"/>
    <w:rsid w:val="002D6E2D"/>
    <w:rsid w:val="002D7495"/>
    <w:rsid w:val="002D7618"/>
    <w:rsid w:val="002D77FD"/>
    <w:rsid w:val="002E01BB"/>
    <w:rsid w:val="002E03FC"/>
    <w:rsid w:val="002E08AE"/>
    <w:rsid w:val="002E0EE4"/>
    <w:rsid w:val="002E1117"/>
    <w:rsid w:val="002E11AE"/>
    <w:rsid w:val="002E17CB"/>
    <w:rsid w:val="002E18BA"/>
    <w:rsid w:val="002E1DDB"/>
    <w:rsid w:val="002E20A6"/>
    <w:rsid w:val="002E2E0F"/>
    <w:rsid w:val="002E309D"/>
    <w:rsid w:val="002E312D"/>
    <w:rsid w:val="002E3224"/>
    <w:rsid w:val="002E34B4"/>
    <w:rsid w:val="002E3686"/>
    <w:rsid w:val="002E4391"/>
    <w:rsid w:val="002E4AD8"/>
    <w:rsid w:val="002E4F89"/>
    <w:rsid w:val="002E5393"/>
    <w:rsid w:val="002E5987"/>
    <w:rsid w:val="002E634F"/>
    <w:rsid w:val="002E6D11"/>
    <w:rsid w:val="002E7416"/>
    <w:rsid w:val="002E76DF"/>
    <w:rsid w:val="002E780D"/>
    <w:rsid w:val="002E7B21"/>
    <w:rsid w:val="002E7B82"/>
    <w:rsid w:val="002F04BE"/>
    <w:rsid w:val="002F04E4"/>
    <w:rsid w:val="002F0748"/>
    <w:rsid w:val="002F074A"/>
    <w:rsid w:val="002F0A49"/>
    <w:rsid w:val="002F0B21"/>
    <w:rsid w:val="002F0DD8"/>
    <w:rsid w:val="002F0F02"/>
    <w:rsid w:val="002F103E"/>
    <w:rsid w:val="002F184C"/>
    <w:rsid w:val="002F1D61"/>
    <w:rsid w:val="002F20A3"/>
    <w:rsid w:val="002F22F6"/>
    <w:rsid w:val="002F29FA"/>
    <w:rsid w:val="002F2E94"/>
    <w:rsid w:val="002F3282"/>
    <w:rsid w:val="002F3895"/>
    <w:rsid w:val="002F4ECC"/>
    <w:rsid w:val="002F50D4"/>
    <w:rsid w:val="002F5479"/>
    <w:rsid w:val="002F54B1"/>
    <w:rsid w:val="002F63CA"/>
    <w:rsid w:val="002F661E"/>
    <w:rsid w:val="002F6C8E"/>
    <w:rsid w:val="002F71CA"/>
    <w:rsid w:val="002F77FC"/>
    <w:rsid w:val="0030007A"/>
    <w:rsid w:val="003005C8"/>
    <w:rsid w:val="0030062A"/>
    <w:rsid w:val="003009C7"/>
    <w:rsid w:val="0030193F"/>
    <w:rsid w:val="00301DB0"/>
    <w:rsid w:val="00301F4A"/>
    <w:rsid w:val="003024B6"/>
    <w:rsid w:val="00302976"/>
    <w:rsid w:val="0030300E"/>
    <w:rsid w:val="00303E97"/>
    <w:rsid w:val="00303ED4"/>
    <w:rsid w:val="0030436E"/>
    <w:rsid w:val="00304C71"/>
    <w:rsid w:val="00304D1C"/>
    <w:rsid w:val="00304F41"/>
    <w:rsid w:val="00306D2A"/>
    <w:rsid w:val="00307638"/>
    <w:rsid w:val="003076B6"/>
    <w:rsid w:val="00307A1B"/>
    <w:rsid w:val="00307A92"/>
    <w:rsid w:val="00307D1C"/>
    <w:rsid w:val="00310140"/>
    <w:rsid w:val="00310923"/>
    <w:rsid w:val="00310B65"/>
    <w:rsid w:val="00310CBB"/>
    <w:rsid w:val="00310D38"/>
    <w:rsid w:val="00310D3E"/>
    <w:rsid w:val="003113BA"/>
    <w:rsid w:val="003123F6"/>
    <w:rsid w:val="003134E6"/>
    <w:rsid w:val="0031385F"/>
    <w:rsid w:val="00314710"/>
    <w:rsid w:val="0031475E"/>
    <w:rsid w:val="00314A1E"/>
    <w:rsid w:val="00314B83"/>
    <w:rsid w:val="00315AFA"/>
    <w:rsid w:val="00316666"/>
    <w:rsid w:val="0031741E"/>
    <w:rsid w:val="00317745"/>
    <w:rsid w:val="00317F98"/>
    <w:rsid w:val="00320085"/>
    <w:rsid w:val="003209C2"/>
    <w:rsid w:val="00320CE3"/>
    <w:rsid w:val="00320ECD"/>
    <w:rsid w:val="0032129D"/>
    <w:rsid w:val="003217C4"/>
    <w:rsid w:val="00321978"/>
    <w:rsid w:val="00321F28"/>
    <w:rsid w:val="00322412"/>
    <w:rsid w:val="00323051"/>
    <w:rsid w:val="003235E7"/>
    <w:rsid w:val="00323B2D"/>
    <w:rsid w:val="00324407"/>
    <w:rsid w:val="003244CD"/>
    <w:rsid w:val="003247D0"/>
    <w:rsid w:val="00324821"/>
    <w:rsid w:val="00324D1B"/>
    <w:rsid w:val="00326261"/>
    <w:rsid w:val="00326683"/>
    <w:rsid w:val="00326B95"/>
    <w:rsid w:val="00326D41"/>
    <w:rsid w:val="00327C6E"/>
    <w:rsid w:val="00327C7F"/>
    <w:rsid w:val="0033038E"/>
    <w:rsid w:val="00330628"/>
    <w:rsid w:val="00330F76"/>
    <w:rsid w:val="0033162D"/>
    <w:rsid w:val="003316DB"/>
    <w:rsid w:val="00331DEC"/>
    <w:rsid w:val="00332C63"/>
    <w:rsid w:val="00333297"/>
    <w:rsid w:val="003334A3"/>
    <w:rsid w:val="003344DE"/>
    <w:rsid w:val="00334744"/>
    <w:rsid w:val="003353EA"/>
    <w:rsid w:val="00335563"/>
    <w:rsid w:val="00335823"/>
    <w:rsid w:val="003360BE"/>
    <w:rsid w:val="00336C48"/>
    <w:rsid w:val="0033732E"/>
    <w:rsid w:val="00337449"/>
    <w:rsid w:val="003377A8"/>
    <w:rsid w:val="00337E3E"/>
    <w:rsid w:val="003407DF"/>
    <w:rsid w:val="00340F00"/>
    <w:rsid w:val="00341565"/>
    <w:rsid w:val="00341FC6"/>
    <w:rsid w:val="0034243A"/>
    <w:rsid w:val="003435C8"/>
    <w:rsid w:val="003437E4"/>
    <w:rsid w:val="00343ED3"/>
    <w:rsid w:val="003445E9"/>
    <w:rsid w:val="00345155"/>
    <w:rsid w:val="0034543B"/>
    <w:rsid w:val="00345BE5"/>
    <w:rsid w:val="00345F64"/>
    <w:rsid w:val="00346761"/>
    <w:rsid w:val="00346A95"/>
    <w:rsid w:val="003472CE"/>
    <w:rsid w:val="003477C3"/>
    <w:rsid w:val="00347BFA"/>
    <w:rsid w:val="0035038E"/>
    <w:rsid w:val="0035052D"/>
    <w:rsid w:val="00350574"/>
    <w:rsid w:val="003508AD"/>
    <w:rsid w:val="00350A5D"/>
    <w:rsid w:val="00350DEB"/>
    <w:rsid w:val="00351574"/>
    <w:rsid w:val="00351777"/>
    <w:rsid w:val="003523FF"/>
    <w:rsid w:val="0035245C"/>
    <w:rsid w:val="00352A8D"/>
    <w:rsid w:val="00352B82"/>
    <w:rsid w:val="0035333C"/>
    <w:rsid w:val="00353488"/>
    <w:rsid w:val="0035416E"/>
    <w:rsid w:val="0035442C"/>
    <w:rsid w:val="003546E9"/>
    <w:rsid w:val="00354778"/>
    <w:rsid w:val="00354C3E"/>
    <w:rsid w:val="003550ED"/>
    <w:rsid w:val="00355132"/>
    <w:rsid w:val="003558ED"/>
    <w:rsid w:val="00355C38"/>
    <w:rsid w:val="00355E7F"/>
    <w:rsid w:val="0035657E"/>
    <w:rsid w:val="003565FF"/>
    <w:rsid w:val="00356736"/>
    <w:rsid w:val="00356F1F"/>
    <w:rsid w:val="00357AA7"/>
    <w:rsid w:val="00357E42"/>
    <w:rsid w:val="00360BA4"/>
    <w:rsid w:val="00361107"/>
    <w:rsid w:val="003618C1"/>
    <w:rsid w:val="00361A65"/>
    <w:rsid w:val="00361BA2"/>
    <w:rsid w:val="00361F02"/>
    <w:rsid w:val="003625C4"/>
    <w:rsid w:val="00362743"/>
    <w:rsid w:val="003631D2"/>
    <w:rsid w:val="00363BD7"/>
    <w:rsid w:val="00364F9B"/>
    <w:rsid w:val="00365435"/>
    <w:rsid w:val="003662C5"/>
    <w:rsid w:val="003673FA"/>
    <w:rsid w:val="00367961"/>
    <w:rsid w:val="00367CE9"/>
    <w:rsid w:val="003701CD"/>
    <w:rsid w:val="0037140D"/>
    <w:rsid w:val="003717A4"/>
    <w:rsid w:val="003717AC"/>
    <w:rsid w:val="00371900"/>
    <w:rsid w:val="00371F22"/>
    <w:rsid w:val="0037229D"/>
    <w:rsid w:val="00372732"/>
    <w:rsid w:val="00373212"/>
    <w:rsid w:val="0037339E"/>
    <w:rsid w:val="00373611"/>
    <w:rsid w:val="00374237"/>
    <w:rsid w:val="00374823"/>
    <w:rsid w:val="00374843"/>
    <w:rsid w:val="00374B04"/>
    <w:rsid w:val="00374DD0"/>
    <w:rsid w:val="003754ED"/>
    <w:rsid w:val="00375FC3"/>
    <w:rsid w:val="00376348"/>
    <w:rsid w:val="00376BE1"/>
    <w:rsid w:val="003771EA"/>
    <w:rsid w:val="00377442"/>
    <w:rsid w:val="003800D5"/>
    <w:rsid w:val="003801F0"/>
    <w:rsid w:val="00380922"/>
    <w:rsid w:val="00380BD8"/>
    <w:rsid w:val="00380D41"/>
    <w:rsid w:val="00380DAC"/>
    <w:rsid w:val="00381FF4"/>
    <w:rsid w:val="003823A7"/>
    <w:rsid w:val="00382E71"/>
    <w:rsid w:val="00382F78"/>
    <w:rsid w:val="0038304E"/>
    <w:rsid w:val="003839D0"/>
    <w:rsid w:val="00383A45"/>
    <w:rsid w:val="00383E7B"/>
    <w:rsid w:val="0038410B"/>
    <w:rsid w:val="003845B1"/>
    <w:rsid w:val="0038468B"/>
    <w:rsid w:val="00384855"/>
    <w:rsid w:val="00384EBB"/>
    <w:rsid w:val="0038551E"/>
    <w:rsid w:val="003857FC"/>
    <w:rsid w:val="003859E6"/>
    <w:rsid w:val="00385A33"/>
    <w:rsid w:val="00385F2A"/>
    <w:rsid w:val="00385FB9"/>
    <w:rsid w:val="00386521"/>
    <w:rsid w:val="0038687D"/>
    <w:rsid w:val="003869BF"/>
    <w:rsid w:val="00387211"/>
    <w:rsid w:val="0038736A"/>
    <w:rsid w:val="00387E1F"/>
    <w:rsid w:val="00390951"/>
    <w:rsid w:val="00390A2F"/>
    <w:rsid w:val="00390D11"/>
    <w:rsid w:val="00391604"/>
    <w:rsid w:val="003919EF"/>
    <w:rsid w:val="00391C6E"/>
    <w:rsid w:val="0039233C"/>
    <w:rsid w:val="00392730"/>
    <w:rsid w:val="00392DA9"/>
    <w:rsid w:val="00393F75"/>
    <w:rsid w:val="0039489A"/>
    <w:rsid w:val="003948C1"/>
    <w:rsid w:val="00394900"/>
    <w:rsid w:val="00394F05"/>
    <w:rsid w:val="00395215"/>
    <w:rsid w:val="00396356"/>
    <w:rsid w:val="0039741F"/>
    <w:rsid w:val="003975CB"/>
    <w:rsid w:val="003976FF"/>
    <w:rsid w:val="00397775"/>
    <w:rsid w:val="00397813"/>
    <w:rsid w:val="00397A5D"/>
    <w:rsid w:val="00397EBC"/>
    <w:rsid w:val="00397F29"/>
    <w:rsid w:val="003A0749"/>
    <w:rsid w:val="003A0FC0"/>
    <w:rsid w:val="003A11F8"/>
    <w:rsid w:val="003A1DFE"/>
    <w:rsid w:val="003A1EBE"/>
    <w:rsid w:val="003A289A"/>
    <w:rsid w:val="003A2C62"/>
    <w:rsid w:val="003A2DB9"/>
    <w:rsid w:val="003A32D6"/>
    <w:rsid w:val="003A3E48"/>
    <w:rsid w:val="003A3F96"/>
    <w:rsid w:val="003A4447"/>
    <w:rsid w:val="003A464A"/>
    <w:rsid w:val="003A517B"/>
    <w:rsid w:val="003A5446"/>
    <w:rsid w:val="003A54A1"/>
    <w:rsid w:val="003A56D7"/>
    <w:rsid w:val="003A5B1D"/>
    <w:rsid w:val="003A728C"/>
    <w:rsid w:val="003A7BEC"/>
    <w:rsid w:val="003B03B9"/>
    <w:rsid w:val="003B05C3"/>
    <w:rsid w:val="003B086C"/>
    <w:rsid w:val="003B0C5E"/>
    <w:rsid w:val="003B25C3"/>
    <w:rsid w:val="003B2779"/>
    <w:rsid w:val="003B3192"/>
    <w:rsid w:val="003B3224"/>
    <w:rsid w:val="003B3856"/>
    <w:rsid w:val="003B39D1"/>
    <w:rsid w:val="003B559A"/>
    <w:rsid w:val="003B55AC"/>
    <w:rsid w:val="003B58C3"/>
    <w:rsid w:val="003B58E0"/>
    <w:rsid w:val="003B5B4C"/>
    <w:rsid w:val="003B5E35"/>
    <w:rsid w:val="003B6136"/>
    <w:rsid w:val="003B63E1"/>
    <w:rsid w:val="003B69D9"/>
    <w:rsid w:val="003B6A7B"/>
    <w:rsid w:val="003B6AB1"/>
    <w:rsid w:val="003B7CC7"/>
    <w:rsid w:val="003B7DB7"/>
    <w:rsid w:val="003C008B"/>
    <w:rsid w:val="003C0319"/>
    <w:rsid w:val="003C092B"/>
    <w:rsid w:val="003C0C63"/>
    <w:rsid w:val="003C110F"/>
    <w:rsid w:val="003C1A2C"/>
    <w:rsid w:val="003C1DC8"/>
    <w:rsid w:val="003C1ED1"/>
    <w:rsid w:val="003C281C"/>
    <w:rsid w:val="003C4C83"/>
    <w:rsid w:val="003C4DA7"/>
    <w:rsid w:val="003C5158"/>
    <w:rsid w:val="003C5C29"/>
    <w:rsid w:val="003C65ED"/>
    <w:rsid w:val="003C66DE"/>
    <w:rsid w:val="003C6DD1"/>
    <w:rsid w:val="003C702D"/>
    <w:rsid w:val="003C744F"/>
    <w:rsid w:val="003C7D76"/>
    <w:rsid w:val="003D0814"/>
    <w:rsid w:val="003D16C5"/>
    <w:rsid w:val="003D1A89"/>
    <w:rsid w:val="003D1F59"/>
    <w:rsid w:val="003D262F"/>
    <w:rsid w:val="003D2E14"/>
    <w:rsid w:val="003D30CE"/>
    <w:rsid w:val="003D35F7"/>
    <w:rsid w:val="003D4BFC"/>
    <w:rsid w:val="003D511F"/>
    <w:rsid w:val="003D51B7"/>
    <w:rsid w:val="003D5813"/>
    <w:rsid w:val="003D5A69"/>
    <w:rsid w:val="003D5E89"/>
    <w:rsid w:val="003D65F5"/>
    <w:rsid w:val="003D6751"/>
    <w:rsid w:val="003D6F8D"/>
    <w:rsid w:val="003E027A"/>
    <w:rsid w:val="003E1190"/>
    <w:rsid w:val="003E1329"/>
    <w:rsid w:val="003E1467"/>
    <w:rsid w:val="003E1B67"/>
    <w:rsid w:val="003E2317"/>
    <w:rsid w:val="003E27DA"/>
    <w:rsid w:val="003E2B44"/>
    <w:rsid w:val="003E2E7E"/>
    <w:rsid w:val="003E2FAB"/>
    <w:rsid w:val="003E3202"/>
    <w:rsid w:val="003E3737"/>
    <w:rsid w:val="003E38CA"/>
    <w:rsid w:val="003E3EE4"/>
    <w:rsid w:val="003E3F15"/>
    <w:rsid w:val="003E4BB5"/>
    <w:rsid w:val="003E4D28"/>
    <w:rsid w:val="003E50A9"/>
    <w:rsid w:val="003E5896"/>
    <w:rsid w:val="003E58C5"/>
    <w:rsid w:val="003E59EF"/>
    <w:rsid w:val="003E5F3B"/>
    <w:rsid w:val="003E6175"/>
    <w:rsid w:val="003E63F5"/>
    <w:rsid w:val="003E6CE1"/>
    <w:rsid w:val="003F014B"/>
    <w:rsid w:val="003F0965"/>
    <w:rsid w:val="003F0DB7"/>
    <w:rsid w:val="003F0E1A"/>
    <w:rsid w:val="003F108A"/>
    <w:rsid w:val="003F10B2"/>
    <w:rsid w:val="003F1601"/>
    <w:rsid w:val="003F193C"/>
    <w:rsid w:val="003F1C5E"/>
    <w:rsid w:val="003F20D8"/>
    <w:rsid w:val="003F22F1"/>
    <w:rsid w:val="003F2747"/>
    <w:rsid w:val="003F28A7"/>
    <w:rsid w:val="003F3372"/>
    <w:rsid w:val="003F4ABB"/>
    <w:rsid w:val="003F4E0D"/>
    <w:rsid w:val="003F5153"/>
    <w:rsid w:val="003F5787"/>
    <w:rsid w:val="003F59AD"/>
    <w:rsid w:val="003F63A8"/>
    <w:rsid w:val="003F7C71"/>
    <w:rsid w:val="003F7E50"/>
    <w:rsid w:val="00400395"/>
    <w:rsid w:val="00400441"/>
    <w:rsid w:val="00400644"/>
    <w:rsid w:val="004006C5"/>
    <w:rsid w:val="0040086E"/>
    <w:rsid w:val="00400B81"/>
    <w:rsid w:val="0040136E"/>
    <w:rsid w:val="00402311"/>
    <w:rsid w:val="00402BA1"/>
    <w:rsid w:val="00403546"/>
    <w:rsid w:val="004041A9"/>
    <w:rsid w:val="00404B1C"/>
    <w:rsid w:val="00404D36"/>
    <w:rsid w:val="004050EA"/>
    <w:rsid w:val="00405F98"/>
    <w:rsid w:val="0040615D"/>
    <w:rsid w:val="00406E5B"/>
    <w:rsid w:val="004072B9"/>
    <w:rsid w:val="00407546"/>
    <w:rsid w:val="00407978"/>
    <w:rsid w:val="00407EF9"/>
    <w:rsid w:val="00410704"/>
    <w:rsid w:val="00410DE8"/>
    <w:rsid w:val="004113D5"/>
    <w:rsid w:val="0041163C"/>
    <w:rsid w:val="00411AF6"/>
    <w:rsid w:val="00411B0B"/>
    <w:rsid w:val="00411B58"/>
    <w:rsid w:val="00411D8F"/>
    <w:rsid w:val="00412171"/>
    <w:rsid w:val="00412397"/>
    <w:rsid w:val="00413219"/>
    <w:rsid w:val="004132B3"/>
    <w:rsid w:val="00414076"/>
    <w:rsid w:val="00414217"/>
    <w:rsid w:val="00414297"/>
    <w:rsid w:val="00414686"/>
    <w:rsid w:val="00414751"/>
    <w:rsid w:val="00414A15"/>
    <w:rsid w:val="00414E05"/>
    <w:rsid w:val="0041552A"/>
    <w:rsid w:val="0041570B"/>
    <w:rsid w:val="004161C3"/>
    <w:rsid w:val="004161E1"/>
    <w:rsid w:val="00416DD7"/>
    <w:rsid w:val="0041793D"/>
    <w:rsid w:val="0042033A"/>
    <w:rsid w:val="00420513"/>
    <w:rsid w:val="00420AE5"/>
    <w:rsid w:val="00420AFB"/>
    <w:rsid w:val="00421821"/>
    <w:rsid w:val="00421C98"/>
    <w:rsid w:val="00421D90"/>
    <w:rsid w:val="00422345"/>
    <w:rsid w:val="00422B14"/>
    <w:rsid w:val="00422E0C"/>
    <w:rsid w:val="004231AC"/>
    <w:rsid w:val="00423CAC"/>
    <w:rsid w:val="00423F41"/>
    <w:rsid w:val="0042417C"/>
    <w:rsid w:val="00424273"/>
    <w:rsid w:val="004248CA"/>
    <w:rsid w:val="00424959"/>
    <w:rsid w:val="004249ED"/>
    <w:rsid w:val="00425E38"/>
    <w:rsid w:val="004260C2"/>
    <w:rsid w:val="00426427"/>
    <w:rsid w:val="00426F5B"/>
    <w:rsid w:val="00427AAA"/>
    <w:rsid w:val="00427CBA"/>
    <w:rsid w:val="004305DB"/>
    <w:rsid w:val="00430FB2"/>
    <w:rsid w:val="004314AE"/>
    <w:rsid w:val="00431990"/>
    <w:rsid w:val="00431B97"/>
    <w:rsid w:val="00431F19"/>
    <w:rsid w:val="00432078"/>
    <w:rsid w:val="0043215C"/>
    <w:rsid w:val="00432D53"/>
    <w:rsid w:val="00432DB7"/>
    <w:rsid w:val="004334F8"/>
    <w:rsid w:val="004335FD"/>
    <w:rsid w:val="00433C24"/>
    <w:rsid w:val="004343BA"/>
    <w:rsid w:val="00434862"/>
    <w:rsid w:val="00434ADC"/>
    <w:rsid w:val="00434AE0"/>
    <w:rsid w:val="00434DB8"/>
    <w:rsid w:val="00435626"/>
    <w:rsid w:val="0043573F"/>
    <w:rsid w:val="00435A8A"/>
    <w:rsid w:val="00435B78"/>
    <w:rsid w:val="00435B9C"/>
    <w:rsid w:val="00435C4D"/>
    <w:rsid w:val="0043627D"/>
    <w:rsid w:val="00436732"/>
    <w:rsid w:val="00436963"/>
    <w:rsid w:val="00436C40"/>
    <w:rsid w:val="004370B8"/>
    <w:rsid w:val="0043724E"/>
    <w:rsid w:val="00437574"/>
    <w:rsid w:val="00437832"/>
    <w:rsid w:val="00437893"/>
    <w:rsid w:val="004400C9"/>
    <w:rsid w:val="00440609"/>
    <w:rsid w:val="0044101B"/>
    <w:rsid w:val="00442F1A"/>
    <w:rsid w:val="00443384"/>
    <w:rsid w:val="00444DF0"/>
    <w:rsid w:val="004454B9"/>
    <w:rsid w:val="004468D4"/>
    <w:rsid w:val="00446933"/>
    <w:rsid w:val="004469BC"/>
    <w:rsid w:val="00446FFD"/>
    <w:rsid w:val="004471B4"/>
    <w:rsid w:val="004472DD"/>
    <w:rsid w:val="00447458"/>
    <w:rsid w:val="00447725"/>
    <w:rsid w:val="00447C1F"/>
    <w:rsid w:val="004500ED"/>
    <w:rsid w:val="004502D9"/>
    <w:rsid w:val="004507C3"/>
    <w:rsid w:val="0045124B"/>
    <w:rsid w:val="00451ACA"/>
    <w:rsid w:val="00452283"/>
    <w:rsid w:val="004522EC"/>
    <w:rsid w:val="004526C5"/>
    <w:rsid w:val="00452B2D"/>
    <w:rsid w:val="00453270"/>
    <w:rsid w:val="004539FA"/>
    <w:rsid w:val="004544F1"/>
    <w:rsid w:val="00455E29"/>
    <w:rsid w:val="00456191"/>
    <w:rsid w:val="004562A9"/>
    <w:rsid w:val="004562D3"/>
    <w:rsid w:val="004564C0"/>
    <w:rsid w:val="00456530"/>
    <w:rsid w:val="00456F03"/>
    <w:rsid w:val="00456F6B"/>
    <w:rsid w:val="00457006"/>
    <w:rsid w:val="0045786B"/>
    <w:rsid w:val="00457F58"/>
    <w:rsid w:val="00460FAE"/>
    <w:rsid w:val="004615F6"/>
    <w:rsid w:val="00461A0A"/>
    <w:rsid w:val="004627B4"/>
    <w:rsid w:val="00463F58"/>
    <w:rsid w:val="004640FB"/>
    <w:rsid w:val="004644A9"/>
    <w:rsid w:val="00464706"/>
    <w:rsid w:val="00464A74"/>
    <w:rsid w:val="00465302"/>
    <w:rsid w:val="0046535E"/>
    <w:rsid w:val="00465552"/>
    <w:rsid w:val="00465FFA"/>
    <w:rsid w:val="004666DC"/>
    <w:rsid w:val="0046715D"/>
    <w:rsid w:val="00467A13"/>
    <w:rsid w:val="0047020C"/>
    <w:rsid w:val="00470622"/>
    <w:rsid w:val="00470B28"/>
    <w:rsid w:val="00470F37"/>
    <w:rsid w:val="0047179C"/>
    <w:rsid w:val="00471A51"/>
    <w:rsid w:val="004720BB"/>
    <w:rsid w:val="004721E0"/>
    <w:rsid w:val="00472262"/>
    <w:rsid w:val="00472875"/>
    <w:rsid w:val="00472A47"/>
    <w:rsid w:val="00472ACC"/>
    <w:rsid w:val="004731FA"/>
    <w:rsid w:val="004733E9"/>
    <w:rsid w:val="004735BE"/>
    <w:rsid w:val="00473AAF"/>
    <w:rsid w:val="00473BC0"/>
    <w:rsid w:val="00473E32"/>
    <w:rsid w:val="00474E5B"/>
    <w:rsid w:val="00475B89"/>
    <w:rsid w:val="0047603A"/>
    <w:rsid w:val="004770FE"/>
    <w:rsid w:val="004771D5"/>
    <w:rsid w:val="00477A07"/>
    <w:rsid w:val="00477C0A"/>
    <w:rsid w:val="0048021C"/>
    <w:rsid w:val="004802E4"/>
    <w:rsid w:val="004813AC"/>
    <w:rsid w:val="004817B7"/>
    <w:rsid w:val="00481D0E"/>
    <w:rsid w:val="00482313"/>
    <w:rsid w:val="00482A0F"/>
    <w:rsid w:val="00482D52"/>
    <w:rsid w:val="00482F42"/>
    <w:rsid w:val="00483725"/>
    <w:rsid w:val="00484558"/>
    <w:rsid w:val="004848B8"/>
    <w:rsid w:val="00485190"/>
    <w:rsid w:val="0048564F"/>
    <w:rsid w:val="00485760"/>
    <w:rsid w:val="00485C06"/>
    <w:rsid w:val="00485D59"/>
    <w:rsid w:val="004868E0"/>
    <w:rsid w:val="00486E62"/>
    <w:rsid w:val="00491440"/>
    <w:rsid w:val="00491C25"/>
    <w:rsid w:val="00491C92"/>
    <w:rsid w:val="0049235F"/>
    <w:rsid w:val="00493025"/>
    <w:rsid w:val="0049313B"/>
    <w:rsid w:val="00493254"/>
    <w:rsid w:val="00493429"/>
    <w:rsid w:val="004935BD"/>
    <w:rsid w:val="00493707"/>
    <w:rsid w:val="004937CD"/>
    <w:rsid w:val="00494627"/>
    <w:rsid w:val="00494BC4"/>
    <w:rsid w:val="00494C90"/>
    <w:rsid w:val="00495133"/>
    <w:rsid w:val="004961F1"/>
    <w:rsid w:val="00496A9C"/>
    <w:rsid w:val="00496C27"/>
    <w:rsid w:val="00497F50"/>
    <w:rsid w:val="004A0338"/>
    <w:rsid w:val="004A04BC"/>
    <w:rsid w:val="004A1315"/>
    <w:rsid w:val="004A1A5B"/>
    <w:rsid w:val="004A2014"/>
    <w:rsid w:val="004A25BE"/>
    <w:rsid w:val="004A3C3D"/>
    <w:rsid w:val="004A3ECD"/>
    <w:rsid w:val="004A4029"/>
    <w:rsid w:val="004A4855"/>
    <w:rsid w:val="004A4DF6"/>
    <w:rsid w:val="004A5221"/>
    <w:rsid w:val="004A5455"/>
    <w:rsid w:val="004A5DE6"/>
    <w:rsid w:val="004A61EE"/>
    <w:rsid w:val="004A6810"/>
    <w:rsid w:val="004A683E"/>
    <w:rsid w:val="004A7913"/>
    <w:rsid w:val="004B03F1"/>
    <w:rsid w:val="004B075E"/>
    <w:rsid w:val="004B1BA7"/>
    <w:rsid w:val="004B22B4"/>
    <w:rsid w:val="004B22C3"/>
    <w:rsid w:val="004B2481"/>
    <w:rsid w:val="004B2B04"/>
    <w:rsid w:val="004B2F41"/>
    <w:rsid w:val="004B38E6"/>
    <w:rsid w:val="004B42E2"/>
    <w:rsid w:val="004B42FC"/>
    <w:rsid w:val="004B4344"/>
    <w:rsid w:val="004B43EB"/>
    <w:rsid w:val="004B46CC"/>
    <w:rsid w:val="004B591D"/>
    <w:rsid w:val="004B6D6A"/>
    <w:rsid w:val="004B7211"/>
    <w:rsid w:val="004B7355"/>
    <w:rsid w:val="004B782B"/>
    <w:rsid w:val="004B78BB"/>
    <w:rsid w:val="004C03AE"/>
    <w:rsid w:val="004C0BC2"/>
    <w:rsid w:val="004C0DFD"/>
    <w:rsid w:val="004C2447"/>
    <w:rsid w:val="004C2654"/>
    <w:rsid w:val="004C2EC8"/>
    <w:rsid w:val="004C3564"/>
    <w:rsid w:val="004C3891"/>
    <w:rsid w:val="004C3960"/>
    <w:rsid w:val="004C4138"/>
    <w:rsid w:val="004C43C4"/>
    <w:rsid w:val="004C4848"/>
    <w:rsid w:val="004C4D21"/>
    <w:rsid w:val="004C5211"/>
    <w:rsid w:val="004C52F6"/>
    <w:rsid w:val="004C5437"/>
    <w:rsid w:val="004C57BB"/>
    <w:rsid w:val="004C5C05"/>
    <w:rsid w:val="004C6E37"/>
    <w:rsid w:val="004C6EC5"/>
    <w:rsid w:val="004C7B31"/>
    <w:rsid w:val="004C7FEB"/>
    <w:rsid w:val="004D057F"/>
    <w:rsid w:val="004D095D"/>
    <w:rsid w:val="004D11DA"/>
    <w:rsid w:val="004D1326"/>
    <w:rsid w:val="004D1757"/>
    <w:rsid w:val="004D1843"/>
    <w:rsid w:val="004D185A"/>
    <w:rsid w:val="004D1863"/>
    <w:rsid w:val="004D1E4B"/>
    <w:rsid w:val="004D2050"/>
    <w:rsid w:val="004D2454"/>
    <w:rsid w:val="004D25F6"/>
    <w:rsid w:val="004D2979"/>
    <w:rsid w:val="004D2DE0"/>
    <w:rsid w:val="004D31D0"/>
    <w:rsid w:val="004D3339"/>
    <w:rsid w:val="004D370E"/>
    <w:rsid w:val="004D4A79"/>
    <w:rsid w:val="004D4FD1"/>
    <w:rsid w:val="004D5AFF"/>
    <w:rsid w:val="004D5CA8"/>
    <w:rsid w:val="004D60E8"/>
    <w:rsid w:val="004D6435"/>
    <w:rsid w:val="004D66D8"/>
    <w:rsid w:val="004D6985"/>
    <w:rsid w:val="004D6A42"/>
    <w:rsid w:val="004D6C4C"/>
    <w:rsid w:val="004D6E4E"/>
    <w:rsid w:val="004D6E7A"/>
    <w:rsid w:val="004D70FF"/>
    <w:rsid w:val="004D71B8"/>
    <w:rsid w:val="004D7221"/>
    <w:rsid w:val="004D7970"/>
    <w:rsid w:val="004D7B54"/>
    <w:rsid w:val="004E012F"/>
    <w:rsid w:val="004E0333"/>
    <w:rsid w:val="004E044F"/>
    <w:rsid w:val="004E0A1B"/>
    <w:rsid w:val="004E0D49"/>
    <w:rsid w:val="004E110A"/>
    <w:rsid w:val="004E201A"/>
    <w:rsid w:val="004E20A0"/>
    <w:rsid w:val="004E2689"/>
    <w:rsid w:val="004E2F5F"/>
    <w:rsid w:val="004E3545"/>
    <w:rsid w:val="004E508D"/>
    <w:rsid w:val="004E5ABE"/>
    <w:rsid w:val="004E7571"/>
    <w:rsid w:val="004E7AAF"/>
    <w:rsid w:val="004F03F7"/>
    <w:rsid w:val="004F0447"/>
    <w:rsid w:val="004F0619"/>
    <w:rsid w:val="004F152C"/>
    <w:rsid w:val="004F1BF0"/>
    <w:rsid w:val="004F2266"/>
    <w:rsid w:val="004F2367"/>
    <w:rsid w:val="004F2552"/>
    <w:rsid w:val="004F3100"/>
    <w:rsid w:val="004F32DE"/>
    <w:rsid w:val="004F379B"/>
    <w:rsid w:val="004F5112"/>
    <w:rsid w:val="004F5A40"/>
    <w:rsid w:val="004F6621"/>
    <w:rsid w:val="004F67EB"/>
    <w:rsid w:val="004F7BB4"/>
    <w:rsid w:val="004F7EF4"/>
    <w:rsid w:val="004F7FBA"/>
    <w:rsid w:val="0050005E"/>
    <w:rsid w:val="005005E4"/>
    <w:rsid w:val="00501BFA"/>
    <w:rsid w:val="00501D3F"/>
    <w:rsid w:val="00501DE6"/>
    <w:rsid w:val="00501E76"/>
    <w:rsid w:val="00502979"/>
    <w:rsid w:val="00503192"/>
    <w:rsid w:val="0050319A"/>
    <w:rsid w:val="005035D7"/>
    <w:rsid w:val="00503729"/>
    <w:rsid w:val="00503D02"/>
    <w:rsid w:val="00503F97"/>
    <w:rsid w:val="00504301"/>
    <w:rsid w:val="005044E5"/>
    <w:rsid w:val="00504E1B"/>
    <w:rsid w:val="00504EA4"/>
    <w:rsid w:val="00504EBE"/>
    <w:rsid w:val="005052A5"/>
    <w:rsid w:val="005055B9"/>
    <w:rsid w:val="005059B2"/>
    <w:rsid w:val="00505A29"/>
    <w:rsid w:val="0050641F"/>
    <w:rsid w:val="00506507"/>
    <w:rsid w:val="005065EA"/>
    <w:rsid w:val="005070E4"/>
    <w:rsid w:val="00507A54"/>
    <w:rsid w:val="00507BF2"/>
    <w:rsid w:val="00507CEA"/>
    <w:rsid w:val="00510857"/>
    <w:rsid w:val="005109D5"/>
    <w:rsid w:val="00510BA0"/>
    <w:rsid w:val="00510BFF"/>
    <w:rsid w:val="00511080"/>
    <w:rsid w:val="00511381"/>
    <w:rsid w:val="0051147F"/>
    <w:rsid w:val="00511DA3"/>
    <w:rsid w:val="00511EB2"/>
    <w:rsid w:val="00511F71"/>
    <w:rsid w:val="005122DF"/>
    <w:rsid w:val="0051242F"/>
    <w:rsid w:val="00512519"/>
    <w:rsid w:val="00512585"/>
    <w:rsid w:val="00512654"/>
    <w:rsid w:val="005126D8"/>
    <w:rsid w:val="005129EA"/>
    <w:rsid w:val="00512BAB"/>
    <w:rsid w:val="005135ED"/>
    <w:rsid w:val="00513983"/>
    <w:rsid w:val="005144B2"/>
    <w:rsid w:val="0051508A"/>
    <w:rsid w:val="005150F4"/>
    <w:rsid w:val="0051575F"/>
    <w:rsid w:val="005157EB"/>
    <w:rsid w:val="00515802"/>
    <w:rsid w:val="00515D53"/>
    <w:rsid w:val="00515DEA"/>
    <w:rsid w:val="0051615A"/>
    <w:rsid w:val="0051629A"/>
    <w:rsid w:val="00516770"/>
    <w:rsid w:val="00516F4C"/>
    <w:rsid w:val="0051733D"/>
    <w:rsid w:val="00517C65"/>
    <w:rsid w:val="00517ED4"/>
    <w:rsid w:val="0052081A"/>
    <w:rsid w:val="00520945"/>
    <w:rsid w:val="005220C3"/>
    <w:rsid w:val="005221AC"/>
    <w:rsid w:val="0052232D"/>
    <w:rsid w:val="00522592"/>
    <w:rsid w:val="00522992"/>
    <w:rsid w:val="00522AC7"/>
    <w:rsid w:val="00522CFB"/>
    <w:rsid w:val="00522F0B"/>
    <w:rsid w:val="00523188"/>
    <w:rsid w:val="005231D4"/>
    <w:rsid w:val="005239E0"/>
    <w:rsid w:val="00523B9A"/>
    <w:rsid w:val="005244CC"/>
    <w:rsid w:val="00524AC7"/>
    <w:rsid w:val="00524C41"/>
    <w:rsid w:val="00524D8C"/>
    <w:rsid w:val="00525232"/>
    <w:rsid w:val="005253C3"/>
    <w:rsid w:val="00525412"/>
    <w:rsid w:val="00525CF5"/>
    <w:rsid w:val="005261C9"/>
    <w:rsid w:val="00526516"/>
    <w:rsid w:val="0052725D"/>
    <w:rsid w:val="00527321"/>
    <w:rsid w:val="005276B1"/>
    <w:rsid w:val="0053063B"/>
    <w:rsid w:val="00530789"/>
    <w:rsid w:val="00530A32"/>
    <w:rsid w:val="00530D93"/>
    <w:rsid w:val="00531DA7"/>
    <w:rsid w:val="00531EBA"/>
    <w:rsid w:val="00532059"/>
    <w:rsid w:val="005320B8"/>
    <w:rsid w:val="0053249D"/>
    <w:rsid w:val="005324B6"/>
    <w:rsid w:val="00533C01"/>
    <w:rsid w:val="00533D5D"/>
    <w:rsid w:val="005348C8"/>
    <w:rsid w:val="00534A47"/>
    <w:rsid w:val="00534B26"/>
    <w:rsid w:val="00534B31"/>
    <w:rsid w:val="00534C20"/>
    <w:rsid w:val="00535465"/>
    <w:rsid w:val="005354C0"/>
    <w:rsid w:val="00535CDA"/>
    <w:rsid w:val="00535CFE"/>
    <w:rsid w:val="00536500"/>
    <w:rsid w:val="00536A4A"/>
    <w:rsid w:val="00537206"/>
    <w:rsid w:val="005376EF"/>
    <w:rsid w:val="00537AD3"/>
    <w:rsid w:val="00537E9D"/>
    <w:rsid w:val="0054036B"/>
    <w:rsid w:val="00540452"/>
    <w:rsid w:val="00540887"/>
    <w:rsid w:val="00540909"/>
    <w:rsid w:val="0054194E"/>
    <w:rsid w:val="00541B54"/>
    <w:rsid w:val="00543076"/>
    <w:rsid w:val="005431B6"/>
    <w:rsid w:val="0054352E"/>
    <w:rsid w:val="00543E4A"/>
    <w:rsid w:val="00544015"/>
    <w:rsid w:val="00544673"/>
    <w:rsid w:val="0054471F"/>
    <w:rsid w:val="00544BB6"/>
    <w:rsid w:val="00544E0C"/>
    <w:rsid w:val="00545670"/>
    <w:rsid w:val="00545C2E"/>
    <w:rsid w:val="00546441"/>
    <w:rsid w:val="00546629"/>
    <w:rsid w:val="00547677"/>
    <w:rsid w:val="005479EF"/>
    <w:rsid w:val="00547C5D"/>
    <w:rsid w:val="005501A3"/>
    <w:rsid w:val="005501CD"/>
    <w:rsid w:val="0055150E"/>
    <w:rsid w:val="00551592"/>
    <w:rsid w:val="005517EF"/>
    <w:rsid w:val="00551D6F"/>
    <w:rsid w:val="00552414"/>
    <w:rsid w:val="0055265E"/>
    <w:rsid w:val="00552703"/>
    <w:rsid w:val="0055276A"/>
    <w:rsid w:val="00552E86"/>
    <w:rsid w:val="00553405"/>
    <w:rsid w:val="00553686"/>
    <w:rsid w:val="00555D82"/>
    <w:rsid w:val="00556541"/>
    <w:rsid w:val="00556B7A"/>
    <w:rsid w:val="00557484"/>
    <w:rsid w:val="005575B4"/>
    <w:rsid w:val="0055798B"/>
    <w:rsid w:val="00557AD6"/>
    <w:rsid w:val="00557BE7"/>
    <w:rsid w:val="00560045"/>
    <w:rsid w:val="0056075B"/>
    <w:rsid w:val="00560769"/>
    <w:rsid w:val="00560D3B"/>
    <w:rsid w:val="00560E2A"/>
    <w:rsid w:val="00561160"/>
    <w:rsid w:val="005612ED"/>
    <w:rsid w:val="00561532"/>
    <w:rsid w:val="005616C6"/>
    <w:rsid w:val="00561D0E"/>
    <w:rsid w:val="0056210F"/>
    <w:rsid w:val="0056264A"/>
    <w:rsid w:val="00562F07"/>
    <w:rsid w:val="0056352E"/>
    <w:rsid w:val="0056380C"/>
    <w:rsid w:val="00563A1B"/>
    <w:rsid w:val="00563EC8"/>
    <w:rsid w:val="005642DF"/>
    <w:rsid w:val="0056442A"/>
    <w:rsid w:val="00565A20"/>
    <w:rsid w:val="00565FBE"/>
    <w:rsid w:val="00566621"/>
    <w:rsid w:val="00567467"/>
    <w:rsid w:val="00567AE9"/>
    <w:rsid w:val="00567E39"/>
    <w:rsid w:val="0057002A"/>
    <w:rsid w:val="005709CC"/>
    <w:rsid w:val="00570C82"/>
    <w:rsid w:val="00570D7C"/>
    <w:rsid w:val="0057121D"/>
    <w:rsid w:val="0057142C"/>
    <w:rsid w:val="00571642"/>
    <w:rsid w:val="005716DF"/>
    <w:rsid w:val="005723E0"/>
    <w:rsid w:val="0057257F"/>
    <w:rsid w:val="00572975"/>
    <w:rsid w:val="005731AF"/>
    <w:rsid w:val="00573489"/>
    <w:rsid w:val="005736F1"/>
    <w:rsid w:val="005740F4"/>
    <w:rsid w:val="005746C1"/>
    <w:rsid w:val="00574754"/>
    <w:rsid w:val="00574F7C"/>
    <w:rsid w:val="005751CF"/>
    <w:rsid w:val="00575408"/>
    <w:rsid w:val="0057611B"/>
    <w:rsid w:val="0057676C"/>
    <w:rsid w:val="0057681B"/>
    <w:rsid w:val="00576BE2"/>
    <w:rsid w:val="00577340"/>
    <w:rsid w:val="0058098B"/>
    <w:rsid w:val="00580ABB"/>
    <w:rsid w:val="0058120D"/>
    <w:rsid w:val="00581285"/>
    <w:rsid w:val="00581384"/>
    <w:rsid w:val="0058145E"/>
    <w:rsid w:val="00583364"/>
    <w:rsid w:val="005833B5"/>
    <w:rsid w:val="005836B3"/>
    <w:rsid w:val="0058415F"/>
    <w:rsid w:val="005845B9"/>
    <w:rsid w:val="00584CDC"/>
    <w:rsid w:val="00585B21"/>
    <w:rsid w:val="00585E4C"/>
    <w:rsid w:val="00585ECC"/>
    <w:rsid w:val="005873B4"/>
    <w:rsid w:val="00587429"/>
    <w:rsid w:val="00587DDA"/>
    <w:rsid w:val="00590167"/>
    <w:rsid w:val="005919AD"/>
    <w:rsid w:val="00591AB0"/>
    <w:rsid w:val="00594195"/>
    <w:rsid w:val="005942E8"/>
    <w:rsid w:val="0059438B"/>
    <w:rsid w:val="00594D03"/>
    <w:rsid w:val="00594E9F"/>
    <w:rsid w:val="0059524A"/>
    <w:rsid w:val="00595344"/>
    <w:rsid w:val="005957BA"/>
    <w:rsid w:val="005964EF"/>
    <w:rsid w:val="005968C8"/>
    <w:rsid w:val="005974D1"/>
    <w:rsid w:val="00597647"/>
    <w:rsid w:val="00597BB9"/>
    <w:rsid w:val="005A0A31"/>
    <w:rsid w:val="005A0F15"/>
    <w:rsid w:val="005A176F"/>
    <w:rsid w:val="005A1882"/>
    <w:rsid w:val="005A1985"/>
    <w:rsid w:val="005A1DEB"/>
    <w:rsid w:val="005A1FAD"/>
    <w:rsid w:val="005A2CC4"/>
    <w:rsid w:val="005A2E4C"/>
    <w:rsid w:val="005A3148"/>
    <w:rsid w:val="005A3868"/>
    <w:rsid w:val="005A3A77"/>
    <w:rsid w:val="005A4342"/>
    <w:rsid w:val="005A43CF"/>
    <w:rsid w:val="005A46D2"/>
    <w:rsid w:val="005A4CBC"/>
    <w:rsid w:val="005A5484"/>
    <w:rsid w:val="005A554F"/>
    <w:rsid w:val="005A56C8"/>
    <w:rsid w:val="005A5C2C"/>
    <w:rsid w:val="005A5E84"/>
    <w:rsid w:val="005A61FE"/>
    <w:rsid w:val="005A638E"/>
    <w:rsid w:val="005A6B21"/>
    <w:rsid w:val="005A6F07"/>
    <w:rsid w:val="005A703E"/>
    <w:rsid w:val="005A718C"/>
    <w:rsid w:val="005A71AC"/>
    <w:rsid w:val="005A757B"/>
    <w:rsid w:val="005A7823"/>
    <w:rsid w:val="005A7DA9"/>
    <w:rsid w:val="005A7FC9"/>
    <w:rsid w:val="005B06BE"/>
    <w:rsid w:val="005B0724"/>
    <w:rsid w:val="005B0ABC"/>
    <w:rsid w:val="005B0D39"/>
    <w:rsid w:val="005B106C"/>
    <w:rsid w:val="005B158E"/>
    <w:rsid w:val="005B16A9"/>
    <w:rsid w:val="005B1C9E"/>
    <w:rsid w:val="005B1EE4"/>
    <w:rsid w:val="005B225D"/>
    <w:rsid w:val="005B3350"/>
    <w:rsid w:val="005B3D97"/>
    <w:rsid w:val="005B3FC4"/>
    <w:rsid w:val="005B4D53"/>
    <w:rsid w:val="005B50B1"/>
    <w:rsid w:val="005B55F5"/>
    <w:rsid w:val="005B5694"/>
    <w:rsid w:val="005B6333"/>
    <w:rsid w:val="005B66CF"/>
    <w:rsid w:val="005B704D"/>
    <w:rsid w:val="005B708B"/>
    <w:rsid w:val="005B718B"/>
    <w:rsid w:val="005B78B8"/>
    <w:rsid w:val="005C0905"/>
    <w:rsid w:val="005C153D"/>
    <w:rsid w:val="005C171C"/>
    <w:rsid w:val="005C1D0A"/>
    <w:rsid w:val="005C1D63"/>
    <w:rsid w:val="005C232C"/>
    <w:rsid w:val="005C249E"/>
    <w:rsid w:val="005C3C27"/>
    <w:rsid w:val="005C3FF5"/>
    <w:rsid w:val="005C45BE"/>
    <w:rsid w:val="005C463B"/>
    <w:rsid w:val="005C4953"/>
    <w:rsid w:val="005C4E2E"/>
    <w:rsid w:val="005C506D"/>
    <w:rsid w:val="005C5A1C"/>
    <w:rsid w:val="005C67AA"/>
    <w:rsid w:val="005C69D7"/>
    <w:rsid w:val="005C7606"/>
    <w:rsid w:val="005C7B53"/>
    <w:rsid w:val="005C7C55"/>
    <w:rsid w:val="005D023C"/>
    <w:rsid w:val="005D09CC"/>
    <w:rsid w:val="005D0DDE"/>
    <w:rsid w:val="005D1194"/>
    <w:rsid w:val="005D12D8"/>
    <w:rsid w:val="005D131C"/>
    <w:rsid w:val="005D17AC"/>
    <w:rsid w:val="005D27D3"/>
    <w:rsid w:val="005D2A40"/>
    <w:rsid w:val="005D2B05"/>
    <w:rsid w:val="005D4580"/>
    <w:rsid w:val="005D466A"/>
    <w:rsid w:val="005D491E"/>
    <w:rsid w:val="005D5202"/>
    <w:rsid w:val="005D569B"/>
    <w:rsid w:val="005D5F2F"/>
    <w:rsid w:val="005D63DA"/>
    <w:rsid w:val="005D6651"/>
    <w:rsid w:val="005D66F8"/>
    <w:rsid w:val="005D6706"/>
    <w:rsid w:val="005D6A99"/>
    <w:rsid w:val="005D6DB1"/>
    <w:rsid w:val="005D6F32"/>
    <w:rsid w:val="005D71F6"/>
    <w:rsid w:val="005D74C5"/>
    <w:rsid w:val="005D74EA"/>
    <w:rsid w:val="005D773E"/>
    <w:rsid w:val="005D7C66"/>
    <w:rsid w:val="005E024E"/>
    <w:rsid w:val="005E0977"/>
    <w:rsid w:val="005E121A"/>
    <w:rsid w:val="005E13AC"/>
    <w:rsid w:val="005E1E0A"/>
    <w:rsid w:val="005E200C"/>
    <w:rsid w:val="005E2427"/>
    <w:rsid w:val="005E2710"/>
    <w:rsid w:val="005E2B78"/>
    <w:rsid w:val="005E4D03"/>
    <w:rsid w:val="005E4EBF"/>
    <w:rsid w:val="005E555A"/>
    <w:rsid w:val="005E5C71"/>
    <w:rsid w:val="005E5CE6"/>
    <w:rsid w:val="005E5F41"/>
    <w:rsid w:val="005E61BA"/>
    <w:rsid w:val="005E62CD"/>
    <w:rsid w:val="005E669D"/>
    <w:rsid w:val="005E6C51"/>
    <w:rsid w:val="005E73C9"/>
    <w:rsid w:val="005E76C9"/>
    <w:rsid w:val="005E7A4B"/>
    <w:rsid w:val="005E7D0B"/>
    <w:rsid w:val="005F02ED"/>
    <w:rsid w:val="005F0610"/>
    <w:rsid w:val="005F10CC"/>
    <w:rsid w:val="005F1820"/>
    <w:rsid w:val="005F26B4"/>
    <w:rsid w:val="005F27D4"/>
    <w:rsid w:val="005F3084"/>
    <w:rsid w:val="005F3372"/>
    <w:rsid w:val="005F4375"/>
    <w:rsid w:val="005F47F9"/>
    <w:rsid w:val="005F5D8E"/>
    <w:rsid w:val="005F6390"/>
    <w:rsid w:val="005F6EE1"/>
    <w:rsid w:val="005F7367"/>
    <w:rsid w:val="005F7D99"/>
    <w:rsid w:val="005F7EAB"/>
    <w:rsid w:val="0060115F"/>
    <w:rsid w:val="0060126A"/>
    <w:rsid w:val="0060143D"/>
    <w:rsid w:val="00601531"/>
    <w:rsid w:val="0060172E"/>
    <w:rsid w:val="00601BA6"/>
    <w:rsid w:val="00601D2B"/>
    <w:rsid w:val="00601EB5"/>
    <w:rsid w:val="0060228B"/>
    <w:rsid w:val="00602391"/>
    <w:rsid w:val="0060299F"/>
    <w:rsid w:val="00602A74"/>
    <w:rsid w:val="00603228"/>
    <w:rsid w:val="006035FD"/>
    <w:rsid w:val="00603B6D"/>
    <w:rsid w:val="00603E6D"/>
    <w:rsid w:val="00604389"/>
    <w:rsid w:val="00604D82"/>
    <w:rsid w:val="00605534"/>
    <w:rsid w:val="006065B4"/>
    <w:rsid w:val="00607805"/>
    <w:rsid w:val="006102B7"/>
    <w:rsid w:val="00610626"/>
    <w:rsid w:val="00610BB6"/>
    <w:rsid w:val="00612437"/>
    <w:rsid w:val="00612836"/>
    <w:rsid w:val="00612B83"/>
    <w:rsid w:val="00612CB7"/>
    <w:rsid w:val="006137DF"/>
    <w:rsid w:val="00613CCD"/>
    <w:rsid w:val="00614918"/>
    <w:rsid w:val="00614EE6"/>
    <w:rsid w:val="006152AD"/>
    <w:rsid w:val="0061558E"/>
    <w:rsid w:val="00615BB2"/>
    <w:rsid w:val="00615DA3"/>
    <w:rsid w:val="00615DE8"/>
    <w:rsid w:val="006160BB"/>
    <w:rsid w:val="00616308"/>
    <w:rsid w:val="0061666F"/>
    <w:rsid w:val="006167A6"/>
    <w:rsid w:val="00616A7E"/>
    <w:rsid w:val="00617ACC"/>
    <w:rsid w:val="006202FA"/>
    <w:rsid w:val="006206A8"/>
    <w:rsid w:val="00620712"/>
    <w:rsid w:val="00621973"/>
    <w:rsid w:val="00621A29"/>
    <w:rsid w:val="00621A5E"/>
    <w:rsid w:val="0062228A"/>
    <w:rsid w:val="00622968"/>
    <w:rsid w:val="00623153"/>
    <w:rsid w:val="00623AD5"/>
    <w:rsid w:val="00623D3F"/>
    <w:rsid w:val="006245D4"/>
    <w:rsid w:val="00624C14"/>
    <w:rsid w:val="00624E41"/>
    <w:rsid w:val="00625014"/>
    <w:rsid w:val="006257C1"/>
    <w:rsid w:val="00625C3B"/>
    <w:rsid w:val="00625D2E"/>
    <w:rsid w:val="006262A2"/>
    <w:rsid w:val="006263C4"/>
    <w:rsid w:val="00627253"/>
    <w:rsid w:val="00627AFE"/>
    <w:rsid w:val="0063006B"/>
    <w:rsid w:val="006301F8"/>
    <w:rsid w:val="00630433"/>
    <w:rsid w:val="006306C3"/>
    <w:rsid w:val="006312F6"/>
    <w:rsid w:val="0063139F"/>
    <w:rsid w:val="00631755"/>
    <w:rsid w:val="00631C7B"/>
    <w:rsid w:val="00632036"/>
    <w:rsid w:val="006325CD"/>
    <w:rsid w:val="00632772"/>
    <w:rsid w:val="00632E23"/>
    <w:rsid w:val="006338A3"/>
    <w:rsid w:val="00633E70"/>
    <w:rsid w:val="00633ECF"/>
    <w:rsid w:val="006349C1"/>
    <w:rsid w:val="00634D94"/>
    <w:rsid w:val="00634F1B"/>
    <w:rsid w:val="00635179"/>
    <w:rsid w:val="00635290"/>
    <w:rsid w:val="006359C6"/>
    <w:rsid w:val="0063666B"/>
    <w:rsid w:val="00637ED3"/>
    <w:rsid w:val="00640031"/>
    <w:rsid w:val="006400F8"/>
    <w:rsid w:val="006404C3"/>
    <w:rsid w:val="00640573"/>
    <w:rsid w:val="00640805"/>
    <w:rsid w:val="00640B37"/>
    <w:rsid w:val="00640FBE"/>
    <w:rsid w:val="006415E7"/>
    <w:rsid w:val="00641A19"/>
    <w:rsid w:val="00641F1E"/>
    <w:rsid w:val="0064208C"/>
    <w:rsid w:val="00642588"/>
    <w:rsid w:val="00642772"/>
    <w:rsid w:val="00642B6E"/>
    <w:rsid w:val="0064329C"/>
    <w:rsid w:val="0064359E"/>
    <w:rsid w:val="00644B4D"/>
    <w:rsid w:val="00644C36"/>
    <w:rsid w:val="00644F61"/>
    <w:rsid w:val="006453C7"/>
    <w:rsid w:val="00645645"/>
    <w:rsid w:val="00645819"/>
    <w:rsid w:val="00645DBF"/>
    <w:rsid w:val="00645E33"/>
    <w:rsid w:val="006460B7"/>
    <w:rsid w:val="006466BA"/>
    <w:rsid w:val="00646C2D"/>
    <w:rsid w:val="00646FEB"/>
    <w:rsid w:val="0064711B"/>
    <w:rsid w:val="00647313"/>
    <w:rsid w:val="006475A9"/>
    <w:rsid w:val="00647763"/>
    <w:rsid w:val="00647CA0"/>
    <w:rsid w:val="006500CD"/>
    <w:rsid w:val="00650558"/>
    <w:rsid w:val="006514FD"/>
    <w:rsid w:val="00651761"/>
    <w:rsid w:val="00651F83"/>
    <w:rsid w:val="0065206C"/>
    <w:rsid w:val="00652375"/>
    <w:rsid w:val="006526E2"/>
    <w:rsid w:val="00652BF7"/>
    <w:rsid w:val="00652F00"/>
    <w:rsid w:val="00653185"/>
    <w:rsid w:val="00653559"/>
    <w:rsid w:val="0065367A"/>
    <w:rsid w:val="006541D2"/>
    <w:rsid w:val="00654D46"/>
    <w:rsid w:val="00654E1B"/>
    <w:rsid w:val="0065558C"/>
    <w:rsid w:val="00655627"/>
    <w:rsid w:val="006557FA"/>
    <w:rsid w:val="00655C67"/>
    <w:rsid w:val="00656899"/>
    <w:rsid w:val="00656F23"/>
    <w:rsid w:val="006574CB"/>
    <w:rsid w:val="006575FA"/>
    <w:rsid w:val="006577E7"/>
    <w:rsid w:val="00657972"/>
    <w:rsid w:val="00657C85"/>
    <w:rsid w:val="00657CDA"/>
    <w:rsid w:val="00660B8B"/>
    <w:rsid w:val="0066193C"/>
    <w:rsid w:val="00661CE4"/>
    <w:rsid w:val="00661EDD"/>
    <w:rsid w:val="00662A60"/>
    <w:rsid w:val="006631F8"/>
    <w:rsid w:val="00663832"/>
    <w:rsid w:val="00663938"/>
    <w:rsid w:val="00663AC7"/>
    <w:rsid w:val="00664289"/>
    <w:rsid w:val="00664DA6"/>
    <w:rsid w:val="006654DC"/>
    <w:rsid w:val="006659EF"/>
    <w:rsid w:val="00665C7B"/>
    <w:rsid w:val="00665D2C"/>
    <w:rsid w:val="00665F5E"/>
    <w:rsid w:val="00665FDC"/>
    <w:rsid w:val="006663BD"/>
    <w:rsid w:val="006665A6"/>
    <w:rsid w:val="00667AC0"/>
    <w:rsid w:val="00670566"/>
    <w:rsid w:val="00670E88"/>
    <w:rsid w:val="00671CB0"/>
    <w:rsid w:val="00672D08"/>
    <w:rsid w:val="006731C8"/>
    <w:rsid w:val="00673313"/>
    <w:rsid w:val="0067481F"/>
    <w:rsid w:val="0067539D"/>
    <w:rsid w:val="00675622"/>
    <w:rsid w:val="00676829"/>
    <w:rsid w:val="00676904"/>
    <w:rsid w:val="006774D6"/>
    <w:rsid w:val="006776BF"/>
    <w:rsid w:val="0067794B"/>
    <w:rsid w:val="00680553"/>
    <w:rsid w:val="00680C4A"/>
    <w:rsid w:val="006818E9"/>
    <w:rsid w:val="0068193A"/>
    <w:rsid w:val="00681A42"/>
    <w:rsid w:val="00681D38"/>
    <w:rsid w:val="00681D5F"/>
    <w:rsid w:val="00682702"/>
    <w:rsid w:val="00682B18"/>
    <w:rsid w:val="00682B70"/>
    <w:rsid w:val="0068303E"/>
    <w:rsid w:val="00683B32"/>
    <w:rsid w:val="0068448E"/>
    <w:rsid w:val="006857BE"/>
    <w:rsid w:val="00685BFB"/>
    <w:rsid w:val="00685F79"/>
    <w:rsid w:val="00686338"/>
    <w:rsid w:val="006866D2"/>
    <w:rsid w:val="00686C06"/>
    <w:rsid w:val="00686F54"/>
    <w:rsid w:val="006870F1"/>
    <w:rsid w:val="00687DDF"/>
    <w:rsid w:val="00690607"/>
    <w:rsid w:val="006906B0"/>
    <w:rsid w:val="006919FF"/>
    <w:rsid w:val="00692326"/>
    <w:rsid w:val="0069284B"/>
    <w:rsid w:val="00692875"/>
    <w:rsid w:val="00693228"/>
    <w:rsid w:val="0069328A"/>
    <w:rsid w:val="006932B1"/>
    <w:rsid w:val="0069337F"/>
    <w:rsid w:val="00693701"/>
    <w:rsid w:val="00693DE8"/>
    <w:rsid w:val="0069465F"/>
    <w:rsid w:val="00694BEE"/>
    <w:rsid w:val="00694C81"/>
    <w:rsid w:val="00694CF3"/>
    <w:rsid w:val="00695D5C"/>
    <w:rsid w:val="006963B1"/>
    <w:rsid w:val="006965D3"/>
    <w:rsid w:val="00696D10"/>
    <w:rsid w:val="006A000C"/>
    <w:rsid w:val="006A0234"/>
    <w:rsid w:val="006A0DB0"/>
    <w:rsid w:val="006A1314"/>
    <w:rsid w:val="006A19A3"/>
    <w:rsid w:val="006A1E63"/>
    <w:rsid w:val="006A245D"/>
    <w:rsid w:val="006A2725"/>
    <w:rsid w:val="006A29C8"/>
    <w:rsid w:val="006A29CA"/>
    <w:rsid w:val="006A2C55"/>
    <w:rsid w:val="006A383D"/>
    <w:rsid w:val="006A44EE"/>
    <w:rsid w:val="006A4B16"/>
    <w:rsid w:val="006A4C2A"/>
    <w:rsid w:val="006A4D0B"/>
    <w:rsid w:val="006A5A54"/>
    <w:rsid w:val="006A6686"/>
    <w:rsid w:val="006A66A1"/>
    <w:rsid w:val="006A6FF5"/>
    <w:rsid w:val="006A7AA2"/>
    <w:rsid w:val="006A7B7A"/>
    <w:rsid w:val="006B0145"/>
    <w:rsid w:val="006B0263"/>
    <w:rsid w:val="006B07B3"/>
    <w:rsid w:val="006B0A98"/>
    <w:rsid w:val="006B11E5"/>
    <w:rsid w:val="006B11F1"/>
    <w:rsid w:val="006B12BB"/>
    <w:rsid w:val="006B15BA"/>
    <w:rsid w:val="006B1CE1"/>
    <w:rsid w:val="006B1E47"/>
    <w:rsid w:val="006B2880"/>
    <w:rsid w:val="006B2E63"/>
    <w:rsid w:val="006B30A3"/>
    <w:rsid w:val="006B35CD"/>
    <w:rsid w:val="006B377E"/>
    <w:rsid w:val="006B3D62"/>
    <w:rsid w:val="006B476A"/>
    <w:rsid w:val="006B4786"/>
    <w:rsid w:val="006B5004"/>
    <w:rsid w:val="006B56BA"/>
    <w:rsid w:val="006B57E8"/>
    <w:rsid w:val="006B5ED3"/>
    <w:rsid w:val="006B64A2"/>
    <w:rsid w:val="006B6728"/>
    <w:rsid w:val="006B6AF4"/>
    <w:rsid w:val="006B6C2E"/>
    <w:rsid w:val="006B6FFA"/>
    <w:rsid w:val="006B70B6"/>
    <w:rsid w:val="006B7666"/>
    <w:rsid w:val="006B7A1A"/>
    <w:rsid w:val="006C07D0"/>
    <w:rsid w:val="006C0A28"/>
    <w:rsid w:val="006C0D44"/>
    <w:rsid w:val="006C0E01"/>
    <w:rsid w:val="006C15B4"/>
    <w:rsid w:val="006C16E1"/>
    <w:rsid w:val="006C17EC"/>
    <w:rsid w:val="006C1A7C"/>
    <w:rsid w:val="006C1AA4"/>
    <w:rsid w:val="006C1C14"/>
    <w:rsid w:val="006C1E2C"/>
    <w:rsid w:val="006C1F11"/>
    <w:rsid w:val="006C24FB"/>
    <w:rsid w:val="006C2745"/>
    <w:rsid w:val="006C2983"/>
    <w:rsid w:val="006C2D07"/>
    <w:rsid w:val="006C2E30"/>
    <w:rsid w:val="006C30E2"/>
    <w:rsid w:val="006C3BDE"/>
    <w:rsid w:val="006C4480"/>
    <w:rsid w:val="006C481B"/>
    <w:rsid w:val="006C491A"/>
    <w:rsid w:val="006C543A"/>
    <w:rsid w:val="006C5632"/>
    <w:rsid w:val="006C58C5"/>
    <w:rsid w:val="006C5D89"/>
    <w:rsid w:val="006C5E31"/>
    <w:rsid w:val="006C6190"/>
    <w:rsid w:val="006C642F"/>
    <w:rsid w:val="006C6436"/>
    <w:rsid w:val="006C66BE"/>
    <w:rsid w:val="006C6A09"/>
    <w:rsid w:val="006C6DE4"/>
    <w:rsid w:val="006C73C6"/>
    <w:rsid w:val="006C7576"/>
    <w:rsid w:val="006C76CE"/>
    <w:rsid w:val="006C7D2B"/>
    <w:rsid w:val="006C7E96"/>
    <w:rsid w:val="006D0965"/>
    <w:rsid w:val="006D104A"/>
    <w:rsid w:val="006D2216"/>
    <w:rsid w:val="006D2624"/>
    <w:rsid w:val="006D2EED"/>
    <w:rsid w:val="006D3028"/>
    <w:rsid w:val="006D316A"/>
    <w:rsid w:val="006D351E"/>
    <w:rsid w:val="006D4308"/>
    <w:rsid w:val="006D432B"/>
    <w:rsid w:val="006D4F14"/>
    <w:rsid w:val="006D508D"/>
    <w:rsid w:val="006D5BB0"/>
    <w:rsid w:val="006D614B"/>
    <w:rsid w:val="006D65B4"/>
    <w:rsid w:val="006D6C0E"/>
    <w:rsid w:val="006D7176"/>
    <w:rsid w:val="006D71A7"/>
    <w:rsid w:val="006D71D1"/>
    <w:rsid w:val="006D75FB"/>
    <w:rsid w:val="006D7932"/>
    <w:rsid w:val="006D7A81"/>
    <w:rsid w:val="006E0D07"/>
    <w:rsid w:val="006E1066"/>
    <w:rsid w:val="006E1996"/>
    <w:rsid w:val="006E1C4D"/>
    <w:rsid w:val="006E1DA3"/>
    <w:rsid w:val="006E25DE"/>
    <w:rsid w:val="006E29E8"/>
    <w:rsid w:val="006E3E3E"/>
    <w:rsid w:val="006E4498"/>
    <w:rsid w:val="006E4971"/>
    <w:rsid w:val="006E4C28"/>
    <w:rsid w:val="006E516B"/>
    <w:rsid w:val="006E5205"/>
    <w:rsid w:val="006E6384"/>
    <w:rsid w:val="006E641E"/>
    <w:rsid w:val="006E6BD8"/>
    <w:rsid w:val="006E6F5C"/>
    <w:rsid w:val="006E73E9"/>
    <w:rsid w:val="006E7482"/>
    <w:rsid w:val="006E7757"/>
    <w:rsid w:val="006E7C84"/>
    <w:rsid w:val="006E7DE3"/>
    <w:rsid w:val="006E7E69"/>
    <w:rsid w:val="006F07A4"/>
    <w:rsid w:val="006F0BE3"/>
    <w:rsid w:val="006F106C"/>
    <w:rsid w:val="006F118C"/>
    <w:rsid w:val="006F1299"/>
    <w:rsid w:val="006F154E"/>
    <w:rsid w:val="006F1D73"/>
    <w:rsid w:val="006F21D5"/>
    <w:rsid w:val="006F2256"/>
    <w:rsid w:val="006F225B"/>
    <w:rsid w:val="006F2A4F"/>
    <w:rsid w:val="006F3553"/>
    <w:rsid w:val="006F3CF6"/>
    <w:rsid w:val="006F3ED0"/>
    <w:rsid w:val="006F40FC"/>
    <w:rsid w:val="006F4A7B"/>
    <w:rsid w:val="006F4CEF"/>
    <w:rsid w:val="006F50C5"/>
    <w:rsid w:val="006F51E1"/>
    <w:rsid w:val="006F5C00"/>
    <w:rsid w:val="006F628E"/>
    <w:rsid w:val="006F65AD"/>
    <w:rsid w:val="006F690C"/>
    <w:rsid w:val="006F69E5"/>
    <w:rsid w:val="006F6B1E"/>
    <w:rsid w:val="006F6E6A"/>
    <w:rsid w:val="006F7307"/>
    <w:rsid w:val="006F75A2"/>
    <w:rsid w:val="006F7979"/>
    <w:rsid w:val="006F7DC1"/>
    <w:rsid w:val="007000DF"/>
    <w:rsid w:val="007001B6"/>
    <w:rsid w:val="00700847"/>
    <w:rsid w:val="00701712"/>
    <w:rsid w:val="00701B4F"/>
    <w:rsid w:val="00701B77"/>
    <w:rsid w:val="007027B3"/>
    <w:rsid w:val="00702D86"/>
    <w:rsid w:val="007031E4"/>
    <w:rsid w:val="007035FA"/>
    <w:rsid w:val="0070459C"/>
    <w:rsid w:val="0070528C"/>
    <w:rsid w:val="007055C3"/>
    <w:rsid w:val="00705A4E"/>
    <w:rsid w:val="00705AC1"/>
    <w:rsid w:val="00705C38"/>
    <w:rsid w:val="0070639D"/>
    <w:rsid w:val="00706B0F"/>
    <w:rsid w:val="00706CC8"/>
    <w:rsid w:val="00707732"/>
    <w:rsid w:val="0070782E"/>
    <w:rsid w:val="0070797B"/>
    <w:rsid w:val="0071003F"/>
    <w:rsid w:val="00710552"/>
    <w:rsid w:val="00710890"/>
    <w:rsid w:val="00710C43"/>
    <w:rsid w:val="00711196"/>
    <w:rsid w:val="007111A1"/>
    <w:rsid w:val="00711C62"/>
    <w:rsid w:val="007123CD"/>
    <w:rsid w:val="0071284E"/>
    <w:rsid w:val="007128D9"/>
    <w:rsid w:val="00712CB2"/>
    <w:rsid w:val="00713178"/>
    <w:rsid w:val="007132EB"/>
    <w:rsid w:val="007141A1"/>
    <w:rsid w:val="00714812"/>
    <w:rsid w:val="007148A1"/>
    <w:rsid w:val="00714BB3"/>
    <w:rsid w:val="00714FE1"/>
    <w:rsid w:val="007153DD"/>
    <w:rsid w:val="00715808"/>
    <w:rsid w:val="007166D4"/>
    <w:rsid w:val="00716963"/>
    <w:rsid w:val="00716ACB"/>
    <w:rsid w:val="00716F8E"/>
    <w:rsid w:val="00717043"/>
    <w:rsid w:val="007177F6"/>
    <w:rsid w:val="00717B31"/>
    <w:rsid w:val="007202DE"/>
    <w:rsid w:val="00721791"/>
    <w:rsid w:val="00721F4D"/>
    <w:rsid w:val="007225A1"/>
    <w:rsid w:val="00722967"/>
    <w:rsid w:val="007230BC"/>
    <w:rsid w:val="00723212"/>
    <w:rsid w:val="00723219"/>
    <w:rsid w:val="00723314"/>
    <w:rsid w:val="00723417"/>
    <w:rsid w:val="00723501"/>
    <w:rsid w:val="00723738"/>
    <w:rsid w:val="007238BB"/>
    <w:rsid w:val="00723968"/>
    <w:rsid w:val="00723F51"/>
    <w:rsid w:val="007245DE"/>
    <w:rsid w:val="00724DAC"/>
    <w:rsid w:val="00724EF9"/>
    <w:rsid w:val="007250A4"/>
    <w:rsid w:val="007253C5"/>
    <w:rsid w:val="00725931"/>
    <w:rsid w:val="00725A68"/>
    <w:rsid w:val="0072659E"/>
    <w:rsid w:val="0072675D"/>
    <w:rsid w:val="00726C0B"/>
    <w:rsid w:val="00726E83"/>
    <w:rsid w:val="00727276"/>
    <w:rsid w:val="007274D4"/>
    <w:rsid w:val="00730238"/>
    <w:rsid w:val="007303EB"/>
    <w:rsid w:val="0073042F"/>
    <w:rsid w:val="0073082D"/>
    <w:rsid w:val="007308D6"/>
    <w:rsid w:val="00730F1B"/>
    <w:rsid w:val="00730FD8"/>
    <w:rsid w:val="007310A3"/>
    <w:rsid w:val="00731540"/>
    <w:rsid w:val="00731615"/>
    <w:rsid w:val="00731F22"/>
    <w:rsid w:val="007321B7"/>
    <w:rsid w:val="0073228C"/>
    <w:rsid w:val="00732291"/>
    <w:rsid w:val="0073244D"/>
    <w:rsid w:val="0073245D"/>
    <w:rsid w:val="007326FB"/>
    <w:rsid w:val="00732A19"/>
    <w:rsid w:val="00732A86"/>
    <w:rsid w:val="00732BE2"/>
    <w:rsid w:val="007336E3"/>
    <w:rsid w:val="00733AA5"/>
    <w:rsid w:val="00733D57"/>
    <w:rsid w:val="007347D4"/>
    <w:rsid w:val="007348DF"/>
    <w:rsid w:val="00734981"/>
    <w:rsid w:val="007349C5"/>
    <w:rsid w:val="00734EE4"/>
    <w:rsid w:val="007351A3"/>
    <w:rsid w:val="00735836"/>
    <w:rsid w:val="00735C47"/>
    <w:rsid w:val="00736A9F"/>
    <w:rsid w:val="00736CB0"/>
    <w:rsid w:val="007371ED"/>
    <w:rsid w:val="00737683"/>
    <w:rsid w:val="00737AFB"/>
    <w:rsid w:val="00737BD2"/>
    <w:rsid w:val="00737C61"/>
    <w:rsid w:val="00740278"/>
    <w:rsid w:val="0074028F"/>
    <w:rsid w:val="007403D2"/>
    <w:rsid w:val="0074107F"/>
    <w:rsid w:val="007419CD"/>
    <w:rsid w:val="00742043"/>
    <w:rsid w:val="00742B26"/>
    <w:rsid w:val="00742BDB"/>
    <w:rsid w:val="00742C97"/>
    <w:rsid w:val="00743069"/>
    <w:rsid w:val="0074319F"/>
    <w:rsid w:val="00743B79"/>
    <w:rsid w:val="00743C9A"/>
    <w:rsid w:val="00744651"/>
    <w:rsid w:val="00745039"/>
    <w:rsid w:val="00745235"/>
    <w:rsid w:val="0074590F"/>
    <w:rsid w:val="00745DA9"/>
    <w:rsid w:val="007461AB"/>
    <w:rsid w:val="0074638E"/>
    <w:rsid w:val="007472CE"/>
    <w:rsid w:val="0074735E"/>
    <w:rsid w:val="00747859"/>
    <w:rsid w:val="00750247"/>
    <w:rsid w:val="00751264"/>
    <w:rsid w:val="00751276"/>
    <w:rsid w:val="007520F2"/>
    <w:rsid w:val="00752C20"/>
    <w:rsid w:val="00753106"/>
    <w:rsid w:val="007539F3"/>
    <w:rsid w:val="00753BE9"/>
    <w:rsid w:val="00754024"/>
    <w:rsid w:val="0075414C"/>
    <w:rsid w:val="007543F8"/>
    <w:rsid w:val="00754773"/>
    <w:rsid w:val="00754A17"/>
    <w:rsid w:val="00754C22"/>
    <w:rsid w:val="007553E0"/>
    <w:rsid w:val="007559DC"/>
    <w:rsid w:val="00755A17"/>
    <w:rsid w:val="00755B01"/>
    <w:rsid w:val="0075675D"/>
    <w:rsid w:val="00756B1E"/>
    <w:rsid w:val="007572DD"/>
    <w:rsid w:val="00757709"/>
    <w:rsid w:val="007578CC"/>
    <w:rsid w:val="00757A1E"/>
    <w:rsid w:val="00757CF3"/>
    <w:rsid w:val="0076039D"/>
    <w:rsid w:val="00760481"/>
    <w:rsid w:val="007611EE"/>
    <w:rsid w:val="0076172E"/>
    <w:rsid w:val="00762CF8"/>
    <w:rsid w:val="00762FE5"/>
    <w:rsid w:val="0076385B"/>
    <w:rsid w:val="00763B82"/>
    <w:rsid w:val="00763F96"/>
    <w:rsid w:val="00764A1F"/>
    <w:rsid w:val="007657B2"/>
    <w:rsid w:val="00765899"/>
    <w:rsid w:val="007658C1"/>
    <w:rsid w:val="00765F83"/>
    <w:rsid w:val="00766243"/>
    <w:rsid w:val="0076651A"/>
    <w:rsid w:val="00766C28"/>
    <w:rsid w:val="00766C7F"/>
    <w:rsid w:val="00767853"/>
    <w:rsid w:val="007679A1"/>
    <w:rsid w:val="00767C7F"/>
    <w:rsid w:val="00767E27"/>
    <w:rsid w:val="00767F65"/>
    <w:rsid w:val="00767FD1"/>
    <w:rsid w:val="00770F35"/>
    <w:rsid w:val="0077114B"/>
    <w:rsid w:val="00771852"/>
    <w:rsid w:val="00771A95"/>
    <w:rsid w:val="00773705"/>
    <w:rsid w:val="00773785"/>
    <w:rsid w:val="00773808"/>
    <w:rsid w:val="00773A2A"/>
    <w:rsid w:val="007746B3"/>
    <w:rsid w:val="0077496B"/>
    <w:rsid w:val="00775641"/>
    <w:rsid w:val="007764DE"/>
    <w:rsid w:val="00777EDC"/>
    <w:rsid w:val="00777FE2"/>
    <w:rsid w:val="00780064"/>
    <w:rsid w:val="00780848"/>
    <w:rsid w:val="0078093B"/>
    <w:rsid w:val="00780E6E"/>
    <w:rsid w:val="00780E88"/>
    <w:rsid w:val="007814F7"/>
    <w:rsid w:val="00781E78"/>
    <w:rsid w:val="00782474"/>
    <w:rsid w:val="00782736"/>
    <w:rsid w:val="00782866"/>
    <w:rsid w:val="00782ED1"/>
    <w:rsid w:val="0078363A"/>
    <w:rsid w:val="007837A2"/>
    <w:rsid w:val="00783C9A"/>
    <w:rsid w:val="0078405F"/>
    <w:rsid w:val="007849AC"/>
    <w:rsid w:val="0078504E"/>
    <w:rsid w:val="00785141"/>
    <w:rsid w:val="0078515F"/>
    <w:rsid w:val="007851AC"/>
    <w:rsid w:val="00785675"/>
    <w:rsid w:val="0078644A"/>
    <w:rsid w:val="00786BBC"/>
    <w:rsid w:val="0078717B"/>
    <w:rsid w:val="007873A1"/>
    <w:rsid w:val="007877EC"/>
    <w:rsid w:val="00787E7A"/>
    <w:rsid w:val="0079197A"/>
    <w:rsid w:val="0079227F"/>
    <w:rsid w:val="00792BE6"/>
    <w:rsid w:val="007933D0"/>
    <w:rsid w:val="00793B23"/>
    <w:rsid w:val="00794873"/>
    <w:rsid w:val="0079599C"/>
    <w:rsid w:val="007959FB"/>
    <w:rsid w:val="00795F24"/>
    <w:rsid w:val="007975ED"/>
    <w:rsid w:val="00797FA7"/>
    <w:rsid w:val="00797FEA"/>
    <w:rsid w:val="007A05D4"/>
    <w:rsid w:val="007A0EFC"/>
    <w:rsid w:val="007A1A5F"/>
    <w:rsid w:val="007A215B"/>
    <w:rsid w:val="007A239D"/>
    <w:rsid w:val="007A2B2A"/>
    <w:rsid w:val="007A2C49"/>
    <w:rsid w:val="007A2DB9"/>
    <w:rsid w:val="007A3118"/>
    <w:rsid w:val="007A377A"/>
    <w:rsid w:val="007A39CE"/>
    <w:rsid w:val="007A3AE9"/>
    <w:rsid w:val="007A4CDD"/>
    <w:rsid w:val="007A5019"/>
    <w:rsid w:val="007A5106"/>
    <w:rsid w:val="007A5DFC"/>
    <w:rsid w:val="007A5F6F"/>
    <w:rsid w:val="007A63D2"/>
    <w:rsid w:val="007A6594"/>
    <w:rsid w:val="007A72C1"/>
    <w:rsid w:val="007A732E"/>
    <w:rsid w:val="007A74DF"/>
    <w:rsid w:val="007A78DB"/>
    <w:rsid w:val="007A790E"/>
    <w:rsid w:val="007A7A23"/>
    <w:rsid w:val="007B05C6"/>
    <w:rsid w:val="007B1229"/>
    <w:rsid w:val="007B1335"/>
    <w:rsid w:val="007B26CA"/>
    <w:rsid w:val="007B2937"/>
    <w:rsid w:val="007B2D4D"/>
    <w:rsid w:val="007B34EC"/>
    <w:rsid w:val="007B3AA4"/>
    <w:rsid w:val="007B3B5C"/>
    <w:rsid w:val="007B413F"/>
    <w:rsid w:val="007B4452"/>
    <w:rsid w:val="007B478F"/>
    <w:rsid w:val="007B5226"/>
    <w:rsid w:val="007B55C4"/>
    <w:rsid w:val="007B5734"/>
    <w:rsid w:val="007B5ED1"/>
    <w:rsid w:val="007B6CED"/>
    <w:rsid w:val="007B7262"/>
    <w:rsid w:val="007B7498"/>
    <w:rsid w:val="007B7521"/>
    <w:rsid w:val="007B76B9"/>
    <w:rsid w:val="007B78D1"/>
    <w:rsid w:val="007B7B41"/>
    <w:rsid w:val="007B7FA8"/>
    <w:rsid w:val="007C00B7"/>
    <w:rsid w:val="007C077C"/>
    <w:rsid w:val="007C12E2"/>
    <w:rsid w:val="007C15EC"/>
    <w:rsid w:val="007C1C74"/>
    <w:rsid w:val="007C243A"/>
    <w:rsid w:val="007C26E8"/>
    <w:rsid w:val="007C2ADC"/>
    <w:rsid w:val="007C31A8"/>
    <w:rsid w:val="007C40C6"/>
    <w:rsid w:val="007C4374"/>
    <w:rsid w:val="007C437D"/>
    <w:rsid w:val="007C46C9"/>
    <w:rsid w:val="007C5322"/>
    <w:rsid w:val="007C5661"/>
    <w:rsid w:val="007C5F47"/>
    <w:rsid w:val="007C6727"/>
    <w:rsid w:val="007C6A0B"/>
    <w:rsid w:val="007C7EB5"/>
    <w:rsid w:val="007C7F9F"/>
    <w:rsid w:val="007D0045"/>
    <w:rsid w:val="007D0055"/>
    <w:rsid w:val="007D08B0"/>
    <w:rsid w:val="007D1009"/>
    <w:rsid w:val="007D11D2"/>
    <w:rsid w:val="007D1AA1"/>
    <w:rsid w:val="007D1EA5"/>
    <w:rsid w:val="007D2E50"/>
    <w:rsid w:val="007D3181"/>
    <w:rsid w:val="007D46BB"/>
    <w:rsid w:val="007D47BB"/>
    <w:rsid w:val="007D4EE2"/>
    <w:rsid w:val="007D56CC"/>
    <w:rsid w:val="007D5C25"/>
    <w:rsid w:val="007D5C9A"/>
    <w:rsid w:val="007D5D92"/>
    <w:rsid w:val="007D68CF"/>
    <w:rsid w:val="007D7878"/>
    <w:rsid w:val="007E05CD"/>
    <w:rsid w:val="007E0623"/>
    <w:rsid w:val="007E178B"/>
    <w:rsid w:val="007E1832"/>
    <w:rsid w:val="007E23DB"/>
    <w:rsid w:val="007E25E5"/>
    <w:rsid w:val="007E2890"/>
    <w:rsid w:val="007E298C"/>
    <w:rsid w:val="007E29F6"/>
    <w:rsid w:val="007E2C94"/>
    <w:rsid w:val="007E3627"/>
    <w:rsid w:val="007E3DC1"/>
    <w:rsid w:val="007E3EB1"/>
    <w:rsid w:val="007E408F"/>
    <w:rsid w:val="007E4111"/>
    <w:rsid w:val="007E4155"/>
    <w:rsid w:val="007E47A3"/>
    <w:rsid w:val="007E52EA"/>
    <w:rsid w:val="007E554A"/>
    <w:rsid w:val="007E6385"/>
    <w:rsid w:val="007E773B"/>
    <w:rsid w:val="007F01E5"/>
    <w:rsid w:val="007F0269"/>
    <w:rsid w:val="007F08F7"/>
    <w:rsid w:val="007F0AF1"/>
    <w:rsid w:val="007F1E71"/>
    <w:rsid w:val="007F21B0"/>
    <w:rsid w:val="007F23CA"/>
    <w:rsid w:val="007F2899"/>
    <w:rsid w:val="007F2C5B"/>
    <w:rsid w:val="007F3147"/>
    <w:rsid w:val="007F3447"/>
    <w:rsid w:val="007F41CE"/>
    <w:rsid w:val="007F421B"/>
    <w:rsid w:val="007F562E"/>
    <w:rsid w:val="007F5BDD"/>
    <w:rsid w:val="007F7025"/>
    <w:rsid w:val="007F7421"/>
    <w:rsid w:val="007F794D"/>
    <w:rsid w:val="007F7C81"/>
    <w:rsid w:val="00800183"/>
    <w:rsid w:val="008005F3"/>
    <w:rsid w:val="00800FD5"/>
    <w:rsid w:val="00802575"/>
    <w:rsid w:val="00802669"/>
    <w:rsid w:val="0080269C"/>
    <w:rsid w:val="0080282C"/>
    <w:rsid w:val="00802FF8"/>
    <w:rsid w:val="00803179"/>
    <w:rsid w:val="00803288"/>
    <w:rsid w:val="00803526"/>
    <w:rsid w:val="00803890"/>
    <w:rsid w:val="00803A38"/>
    <w:rsid w:val="00803E9C"/>
    <w:rsid w:val="0080403D"/>
    <w:rsid w:val="00804DC1"/>
    <w:rsid w:val="0080555F"/>
    <w:rsid w:val="00805B3D"/>
    <w:rsid w:val="00806BC8"/>
    <w:rsid w:val="00807014"/>
    <w:rsid w:val="00807825"/>
    <w:rsid w:val="0080792C"/>
    <w:rsid w:val="00810065"/>
    <w:rsid w:val="00810621"/>
    <w:rsid w:val="00810848"/>
    <w:rsid w:val="00810BBE"/>
    <w:rsid w:val="00810C13"/>
    <w:rsid w:val="00810FD3"/>
    <w:rsid w:val="0081218C"/>
    <w:rsid w:val="0081351A"/>
    <w:rsid w:val="00813630"/>
    <w:rsid w:val="00813996"/>
    <w:rsid w:val="00813A92"/>
    <w:rsid w:val="00813AB6"/>
    <w:rsid w:val="00813F8F"/>
    <w:rsid w:val="00814508"/>
    <w:rsid w:val="008150E7"/>
    <w:rsid w:val="00815974"/>
    <w:rsid w:val="00816496"/>
    <w:rsid w:val="00817358"/>
    <w:rsid w:val="00817443"/>
    <w:rsid w:val="008175AE"/>
    <w:rsid w:val="00817A56"/>
    <w:rsid w:val="00817BCF"/>
    <w:rsid w:val="00817E70"/>
    <w:rsid w:val="00821411"/>
    <w:rsid w:val="00821B53"/>
    <w:rsid w:val="008220E2"/>
    <w:rsid w:val="008223CA"/>
    <w:rsid w:val="00822632"/>
    <w:rsid w:val="00822BA1"/>
    <w:rsid w:val="008238B7"/>
    <w:rsid w:val="00823C4E"/>
    <w:rsid w:val="00823CF8"/>
    <w:rsid w:val="008240F9"/>
    <w:rsid w:val="008244CF"/>
    <w:rsid w:val="00824E3B"/>
    <w:rsid w:val="00824EA1"/>
    <w:rsid w:val="00824FDE"/>
    <w:rsid w:val="00825306"/>
    <w:rsid w:val="00825E24"/>
    <w:rsid w:val="0082644A"/>
    <w:rsid w:val="008265A3"/>
    <w:rsid w:val="00826680"/>
    <w:rsid w:val="00826802"/>
    <w:rsid w:val="00826BA6"/>
    <w:rsid w:val="00826D78"/>
    <w:rsid w:val="00826EDE"/>
    <w:rsid w:val="00830446"/>
    <w:rsid w:val="00830614"/>
    <w:rsid w:val="00830E14"/>
    <w:rsid w:val="00830F14"/>
    <w:rsid w:val="00831189"/>
    <w:rsid w:val="0083134A"/>
    <w:rsid w:val="0083186E"/>
    <w:rsid w:val="00831B44"/>
    <w:rsid w:val="00831D94"/>
    <w:rsid w:val="008326BB"/>
    <w:rsid w:val="008326F2"/>
    <w:rsid w:val="00832D0D"/>
    <w:rsid w:val="00833138"/>
    <w:rsid w:val="00833191"/>
    <w:rsid w:val="008332F7"/>
    <w:rsid w:val="008334B3"/>
    <w:rsid w:val="008336FD"/>
    <w:rsid w:val="0083396B"/>
    <w:rsid w:val="008339C5"/>
    <w:rsid w:val="00833A06"/>
    <w:rsid w:val="00833DE3"/>
    <w:rsid w:val="00834570"/>
    <w:rsid w:val="00834ADC"/>
    <w:rsid w:val="00834D28"/>
    <w:rsid w:val="00834D5C"/>
    <w:rsid w:val="008355EF"/>
    <w:rsid w:val="00835B39"/>
    <w:rsid w:val="00835CCD"/>
    <w:rsid w:val="00835D72"/>
    <w:rsid w:val="008360AF"/>
    <w:rsid w:val="008365EF"/>
    <w:rsid w:val="00836AF9"/>
    <w:rsid w:val="00836BE4"/>
    <w:rsid w:val="00836CAA"/>
    <w:rsid w:val="00837604"/>
    <w:rsid w:val="00837DCD"/>
    <w:rsid w:val="00840622"/>
    <w:rsid w:val="008411D3"/>
    <w:rsid w:val="008411F0"/>
    <w:rsid w:val="008417F0"/>
    <w:rsid w:val="00841847"/>
    <w:rsid w:val="00841D36"/>
    <w:rsid w:val="00841F69"/>
    <w:rsid w:val="008425B2"/>
    <w:rsid w:val="008426BD"/>
    <w:rsid w:val="008433E3"/>
    <w:rsid w:val="00843769"/>
    <w:rsid w:val="008439A3"/>
    <w:rsid w:val="00843C16"/>
    <w:rsid w:val="00843CBA"/>
    <w:rsid w:val="00843DC3"/>
    <w:rsid w:val="00844289"/>
    <w:rsid w:val="008448C2"/>
    <w:rsid w:val="00844D55"/>
    <w:rsid w:val="00845B32"/>
    <w:rsid w:val="00846EA8"/>
    <w:rsid w:val="00846F23"/>
    <w:rsid w:val="008470D6"/>
    <w:rsid w:val="00847818"/>
    <w:rsid w:val="00847FE1"/>
    <w:rsid w:val="00850A75"/>
    <w:rsid w:val="0085155D"/>
    <w:rsid w:val="008524F9"/>
    <w:rsid w:val="0085307C"/>
    <w:rsid w:val="008532B9"/>
    <w:rsid w:val="00853889"/>
    <w:rsid w:val="0085393B"/>
    <w:rsid w:val="00853DBB"/>
    <w:rsid w:val="00854041"/>
    <w:rsid w:val="00854BDC"/>
    <w:rsid w:val="0085536E"/>
    <w:rsid w:val="0085585A"/>
    <w:rsid w:val="00855A01"/>
    <w:rsid w:val="008563A8"/>
    <w:rsid w:val="008574DD"/>
    <w:rsid w:val="00857890"/>
    <w:rsid w:val="00857C1C"/>
    <w:rsid w:val="008606F0"/>
    <w:rsid w:val="00860AF5"/>
    <w:rsid w:val="00861356"/>
    <w:rsid w:val="008620E3"/>
    <w:rsid w:val="008622E8"/>
    <w:rsid w:val="008628B1"/>
    <w:rsid w:val="00862E2C"/>
    <w:rsid w:val="008632E1"/>
    <w:rsid w:val="00863813"/>
    <w:rsid w:val="00863839"/>
    <w:rsid w:val="00864254"/>
    <w:rsid w:val="00864287"/>
    <w:rsid w:val="008645E9"/>
    <w:rsid w:val="008647D2"/>
    <w:rsid w:val="00864A73"/>
    <w:rsid w:val="00864F59"/>
    <w:rsid w:val="00865AEC"/>
    <w:rsid w:val="00865E67"/>
    <w:rsid w:val="00865F5C"/>
    <w:rsid w:val="0086614F"/>
    <w:rsid w:val="00866225"/>
    <w:rsid w:val="0086720D"/>
    <w:rsid w:val="0086775F"/>
    <w:rsid w:val="00867848"/>
    <w:rsid w:val="00867CB9"/>
    <w:rsid w:val="00870112"/>
    <w:rsid w:val="00870184"/>
    <w:rsid w:val="0087064D"/>
    <w:rsid w:val="00870702"/>
    <w:rsid w:val="008707C1"/>
    <w:rsid w:val="008709FD"/>
    <w:rsid w:val="00870B9C"/>
    <w:rsid w:val="008711A4"/>
    <w:rsid w:val="008714EC"/>
    <w:rsid w:val="00871666"/>
    <w:rsid w:val="0087191D"/>
    <w:rsid w:val="00871ACE"/>
    <w:rsid w:val="00871B8E"/>
    <w:rsid w:val="008720CA"/>
    <w:rsid w:val="008728A1"/>
    <w:rsid w:val="00872949"/>
    <w:rsid w:val="0087294C"/>
    <w:rsid w:val="00873C4C"/>
    <w:rsid w:val="00874335"/>
    <w:rsid w:val="00874B31"/>
    <w:rsid w:val="00874C87"/>
    <w:rsid w:val="00875A8C"/>
    <w:rsid w:val="00875CCD"/>
    <w:rsid w:val="008764CC"/>
    <w:rsid w:val="00876811"/>
    <w:rsid w:val="00876D50"/>
    <w:rsid w:val="0087709C"/>
    <w:rsid w:val="0087722F"/>
    <w:rsid w:val="008775D1"/>
    <w:rsid w:val="008778A4"/>
    <w:rsid w:val="008778C0"/>
    <w:rsid w:val="008778DA"/>
    <w:rsid w:val="00880982"/>
    <w:rsid w:val="0088128B"/>
    <w:rsid w:val="0088147D"/>
    <w:rsid w:val="00881689"/>
    <w:rsid w:val="008818E8"/>
    <w:rsid w:val="008826AD"/>
    <w:rsid w:val="00883600"/>
    <w:rsid w:val="00883958"/>
    <w:rsid w:val="00884524"/>
    <w:rsid w:val="008849B5"/>
    <w:rsid w:val="00884AC9"/>
    <w:rsid w:val="00885B0B"/>
    <w:rsid w:val="00886188"/>
    <w:rsid w:val="008865E5"/>
    <w:rsid w:val="00886B3A"/>
    <w:rsid w:val="00886F0F"/>
    <w:rsid w:val="00887E03"/>
    <w:rsid w:val="00887FF2"/>
    <w:rsid w:val="0089055B"/>
    <w:rsid w:val="00890D4C"/>
    <w:rsid w:val="00891250"/>
    <w:rsid w:val="00891371"/>
    <w:rsid w:val="00891480"/>
    <w:rsid w:val="008918BE"/>
    <w:rsid w:val="008920E0"/>
    <w:rsid w:val="00892308"/>
    <w:rsid w:val="008928F2"/>
    <w:rsid w:val="00892FEF"/>
    <w:rsid w:val="00893007"/>
    <w:rsid w:val="00893984"/>
    <w:rsid w:val="008947B6"/>
    <w:rsid w:val="00895054"/>
    <w:rsid w:val="00895CBD"/>
    <w:rsid w:val="00895CDA"/>
    <w:rsid w:val="00896440"/>
    <w:rsid w:val="00896839"/>
    <w:rsid w:val="00896A56"/>
    <w:rsid w:val="00896DD6"/>
    <w:rsid w:val="00897BAD"/>
    <w:rsid w:val="008A041D"/>
    <w:rsid w:val="008A0AE3"/>
    <w:rsid w:val="008A0C02"/>
    <w:rsid w:val="008A0F59"/>
    <w:rsid w:val="008A14A3"/>
    <w:rsid w:val="008A1692"/>
    <w:rsid w:val="008A18DE"/>
    <w:rsid w:val="008A190F"/>
    <w:rsid w:val="008A1CC7"/>
    <w:rsid w:val="008A20E7"/>
    <w:rsid w:val="008A2CE9"/>
    <w:rsid w:val="008A31BD"/>
    <w:rsid w:val="008A4181"/>
    <w:rsid w:val="008A4AF7"/>
    <w:rsid w:val="008A5FC6"/>
    <w:rsid w:val="008A6455"/>
    <w:rsid w:val="008A70A1"/>
    <w:rsid w:val="008A79D0"/>
    <w:rsid w:val="008A7D3F"/>
    <w:rsid w:val="008B026C"/>
    <w:rsid w:val="008B0327"/>
    <w:rsid w:val="008B0D38"/>
    <w:rsid w:val="008B2DBC"/>
    <w:rsid w:val="008B3250"/>
    <w:rsid w:val="008B3628"/>
    <w:rsid w:val="008B4B77"/>
    <w:rsid w:val="008B539C"/>
    <w:rsid w:val="008B5AA4"/>
    <w:rsid w:val="008B6285"/>
    <w:rsid w:val="008B63D1"/>
    <w:rsid w:val="008B6729"/>
    <w:rsid w:val="008B6E87"/>
    <w:rsid w:val="008B71B4"/>
    <w:rsid w:val="008B7B4E"/>
    <w:rsid w:val="008B7BEE"/>
    <w:rsid w:val="008B7C4E"/>
    <w:rsid w:val="008B7CCC"/>
    <w:rsid w:val="008C0A1F"/>
    <w:rsid w:val="008C1861"/>
    <w:rsid w:val="008C1BA2"/>
    <w:rsid w:val="008C2237"/>
    <w:rsid w:val="008C2DA6"/>
    <w:rsid w:val="008C3299"/>
    <w:rsid w:val="008C3470"/>
    <w:rsid w:val="008C3495"/>
    <w:rsid w:val="008C3A59"/>
    <w:rsid w:val="008C3E3F"/>
    <w:rsid w:val="008C4091"/>
    <w:rsid w:val="008C465E"/>
    <w:rsid w:val="008C4755"/>
    <w:rsid w:val="008C4929"/>
    <w:rsid w:val="008C4F0D"/>
    <w:rsid w:val="008C5FB8"/>
    <w:rsid w:val="008C60A4"/>
    <w:rsid w:val="008C620D"/>
    <w:rsid w:val="008C643C"/>
    <w:rsid w:val="008C69BC"/>
    <w:rsid w:val="008C6E75"/>
    <w:rsid w:val="008C7BCE"/>
    <w:rsid w:val="008C7C77"/>
    <w:rsid w:val="008C7DE1"/>
    <w:rsid w:val="008D0397"/>
    <w:rsid w:val="008D0460"/>
    <w:rsid w:val="008D05F3"/>
    <w:rsid w:val="008D0ED3"/>
    <w:rsid w:val="008D14E6"/>
    <w:rsid w:val="008D1762"/>
    <w:rsid w:val="008D199E"/>
    <w:rsid w:val="008D205F"/>
    <w:rsid w:val="008D2535"/>
    <w:rsid w:val="008D2718"/>
    <w:rsid w:val="008D281D"/>
    <w:rsid w:val="008D2EB6"/>
    <w:rsid w:val="008D2ED0"/>
    <w:rsid w:val="008D324A"/>
    <w:rsid w:val="008D3743"/>
    <w:rsid w:val="008D3D07"/>
    <w:rsid w:val="008D4BC8"/>
    <w:rsid w:val="008D512B"/>
    <w:rsid w:val="008D5622"/>
    <w:rsid w:val="008D5C49"/>
    <w:rsid w:val="008D5DC0"/>
    <w:rsid w:val="008D605C"/>
    <w:rsid w:val="008D6567"/>
    <w:rsid w:val="008D69D8"/>
    <w:rsid w:val="008D6AFA"/>
    <w:rsid w:val="008D6BF9"/>
    <w:rsid w:val="008D70E3"/>
    <w:rsid w:val="008D710E"/>
    <w:rsid w:val="008D7732"/>
    <w:rsid w:val="008D7EE4"/>
    <w:rsid w:val="008E1381"/>
    <w:rsid w:val="008E1690"/>
    <w:rsid w:val="008E170B"/>
    <w:rsid w:val="008E2995"/>
    <w:rsid w:val="008E2FD1"/>
    <w:rsid w:val="008E3C63"/>
    <w:rsid w:val="008E3FFD"/>
    <w:rsid w:val="008E46BF"/>
    <w:rsid w:val="008E4779"/>
    <w:rsid w:val="008E4DE8"/>
    <w:rsid w:val="008E5135"/>
    <w:rsid w:val="008E5DD2"/>
    <w:rsid w:val="008E5F55"/>
    <w:rsid w:val="008E63A0"/>
    <w:rsid w:val="008E6401"/>
    <w:rsid w:val="008E655B"/>
    <w:rsid w:val="008E66C4"/>
    <w:rsid w:val="008E7E6D"/>
    <w:rsid w:val="008F025D"/>
    <w:rsid w:val="008F0B11"/>
    <w:rsid w:val="008F0B85"/>
    <w:rsid w:val="008F0F04"/>
    <w:rsid w:val="008F1203"/>
    <w:rsid w:val="008F1D52"/>
    <w:rsid w:val="008F1E43"/>
    <w:rsid w:val="008F2002"/>
    <w:rsid w:val="008F2124"/>
    <w:rsid w:val="008F30C3"/>
    <w:rsid w:val="008F3EE4"/>
    <w:rsid w:val="008F4389"/>
    <w:rsid w:val="008F464C"/>
    <w:rsid w:val="008F4D26"/>
    <w:rsid w:val="008F4EEE"/>
    <w:rsid w:val="008F59AF"/>
    <w:rsid w:val="008F5F09"/>
    <w:rsid w:val="008F60DF"/>
    <w:rsid w:val="008F6397"/>
    <w:rsid w:val="008F6A91"/>
    <w:rsid w:val="008F742C"/>
    <w:rsid w:val="008F7680"/>
    <w:rsid w:val="008F7845"/>
    <w:rsid w:val="008F7B7B"/>
    <w:rsid w:val="008F7CDD"/>
    <w:rsid w:val="008F7DE0"/>
    <w:rsid w:val="0090012D"/>
    <w:rsid w:val="009002D7"/>
    <w:rsid w:val="009007D5"/>
    <w:rsid w:val="00900C69"/>
    <w:rsid w:val="0090153E"/>
    <w:rsid w:val="00901FA9"/>
    <w:rsid w:val="009021D3"/>
    <w:rsid w:val="009025B2"/>
    <w:rsid w:val="009026B0"/>
    <w:rsid w:val="00902874"/>
    <w:rsid w:val="00902984"/>
    <w:rsid w:val="00902B4D"/>
    <w:rsid w:val="00903105"/>
    <w:rsid w:val="00903423"/>
    <w:rsid w:val="00903691"/>
    <w:rsid w:val="00903D5B"/>
    <w:rsid w:val="00904149"/>
    <w:rsid w:val="0090472B"/>
    <w:rsid w:val="00904932"/>
    <w:rsid w:val="00904BF8"/>
    <w:rsid w:val="00904F2A"/>
    <w:rsid w:val="00905AA7"/>
    <w:rsid w:val="00905AEA"/>
    <w:rsid w:val="00905D60"/>
    <w:rsid w:val="00906B61"/>
    <w:rsid w:val="00906E36"/>
    <w:rsid w:val="00906FEE"/>
    <w:rsid w:val="0090723F"/>
    <w:rsid w:val="00907F8D"/>
    <w:rsid w:val="00910B7B"/>
    <w:rsid w:val="00910C8A"/>
    <w:rsid w:val="00910CBD"/>
    <w:rsid w:val="00910D4F"/>
    <w:rsid w:val="00910FF1"/>
    <w:rsid w:val="0091132E"/>
    <w:rsid w:val="009116F9"/>
    <w:rsid w:val="00911ACE"/>
    <w:rsid w:val="0091246D"/>
    <w:rsid w:val="009129B4"/>
    <w:rsid w:val="00912B24"/>
    <w:rsid w:val="00912E7A"/>
    <w:rsid w:val="009136C6"/>
    <w:rsid w:val="00913A8E"/>
    <w:rsid w:val="00913AAE"/>
    <w:rsid w:val="00913D45"/>
    <w:rsid w:val="009140F5"/>
    <w:rsid w:val="00914333"/>
    <w:rsid w:val="0091458D"/>
    <w:rsid w:val="00914A71"/>
    <w:rsid w:val="00915251"/>
    <w:rsid w:val="0091538A"/>
    <w:rsid w:val="00915607"/>
    <w:rsid w:val="00915C39"/>
    <w:rsid w:val="00915E85"/>
    <w:rsid w:val="0091628E"/>
    <w:rsid w:val="009167FA"/>
    <w:rsid w:val="00916A55"/>
    <w:rsid w:val="00916E46"/>
    <w:rsid w:val="00917962"/>
    <w:rsid w:val="00920BF8"/>
    <w:rsid w:val="009210C1"/>
    <w:rsid w:val="00921550"/>
    <w:rsid w:val="00921A7E"/>
    <w:rsid w:val="00922891"/>
    <w:rsid w:val="00922B29"/>
    <w:rsid w:val="00922D5C"/>
    <w:rsid w:val="0092318B"/>
    <w:rsid w:val="00923A92"/>
    <w:rsid w:val="00923C34"/>
    <w:rsid w:val="00924D55"/>
    <w:rsid w:val="0092518E"/>
    <w:rsid w:val="009255D4"/>
    <w:rsid w:val="00925AD5"/>
    <w:rsid w:val="00925BC7"/>
    <w:rsid w:val="009261F0"/>
    <w:rsid w:val="00926B37"/>
    <w:rsid w:val="00926C6C"/>
    <w:rsid w:val="0092767F"/>
    <w:rsid w:val="00931B7A"/>
    <w:rsid w:val="009321F6"/>
    <w:rsid w:val="009327A5"/>
    <w:rsid w:val="00932960"/>
    <w:rsid w:val="009336CC"/>
    <w:rsid w:val="00933871"/>
    <w:rsid w:val="00933D22"/>
    <w:rsid w:val="0093400D"/>
    <w:rsid w:val="00934F9C"/>
    <w:rsid w:val="00935810"/>
    <w:rsid w:val="00935A67"/>
    <w:rsid w:val="00935DC4"/>
    <w:rsid w:val="00935F6A"/>
    <w:rsid w:val="0093666F"/>
    <w:rsid w:val="009367C8"/>
    <w:rsid w:val="009367F6"/>
    <w:rsid w:val="00936842"/>
    <w:rsid w:val="00936A7F"/>
    <w:rsid w:val="00936DB6"/>
    <w:rsid w:val="00936DF9"/>
    <w:rsid w:val="00937944"/>
    <w:rsid w:val="009379A9"/>
    <w:rsid w:val="0094088C"/>
    <w:rsid w:val="00940970"/>
    <w:rsid w:val="00940B73"/>
    <w:rsid w:val="00941459"/>
    <w:rsid w:val="00942C00"/>
    <w:rsid w:val="00942C5E"/>
    <w:rsid w:val="00942F76"/>
    <w:rsid w:val="00943125"/>
    <w:rsid w:val="009435C8"/>
    <w:rsid w:val="009438C4"/>
    <w:rsid w:val="00943AE5"/>
    <w:rsid w:val="00943C76"/>
    <w:rsid w:val="009440D5"/>
    <w:rsid w:val="00944114"/>
    <w:rsid w:val="00944214"/>
    <w:rsid w:val="00944896"/>
    <w:rsid w:val="00945395"/>
    <w:rsid w:val="00945DC8"/>
    <w:rsid w:val="0094605E"/>
    <w:rsid w:val="009468EC"/>
    <w:rsid w:val="009473E3"/>
    <w:rsid w:val="00947770"/>
    <w:rsid w:val="009501D3"/>
    <w:rsid w:val="00950319"/>
    <w:rsid w:val="00950743"/>
    <w:rsid w:val="00950C71"/>
    <w:rsid w:val="00951BF5"/>
    <w:rsid w:val="00951CA2"/>
    <w:rsid w:val="009521B4"/>
    <w:rsid w:val="0095291D"/>
    <w:rsid w:val="0095336E"/>
    <w:rsid w:val="009552FE"/>
    <w:rsid w:val="00955BA6"/>
    <w:rsid w:val="00960945"/>
    <w:rsid w:val="00960A22"/>
    <w:rsid w:val="00960AF7"/>
    <w:rsid w:val="00961594"/>
    <w:rsid w:val="00961688"/>
    <w:rsid w:val="00962016"/>
    <w:rsid w:val="009628AB"/>
    <w:rsid w:val="009628C5"/>
    <w:rsid w:val="00962AB0"/>
    <w:rsid w:val="00963826"/>
    <w:rsid w:val="009639CA"/>
    <w:rsid w:val="00963CED"/>
    <w:rsid w:val="009647FE"/>
    <w:rsid w:val="009654BE"/>
    <w:rsid w:val="009657C9"/>
    <w:rsid w:val="00967190"/>
    <w:rsid w:val="009671A3"/>
    <w:rsid w:val="009673F8"/>
    <w:rsid w:val="00970430"/>
    <w:rsid w:val="0097107C"/>
    <w:rsid w:val="009710E6"/>
    <w:rsid w:val="00971645"/>
    <w:rsid w:val="00971D23"/>
    <w:rsid w:val="00972B69"/>
    <w:rsid w:val="00972C11"/>
    <w:rsid w:val="00972FC7"/>
    <w:rsid w:val="009732DF"/>
    <w:rsid w:val="009733B1"/>
    <w:rsid w:val="00973440"/>
    <w:rsid w:val="00973E28"/>
    <w:rsid w:val="009740E1"/>
    <w:rsid w:val="0097420B"/>
    <w:rsid w:val="0097426D"/>
    <w:rsid w:val="009759F6"/>
    <w:rsid w:val="00975C01"/>
    <w:rsid w:val="009765D9"/>
    <w:rsid w:val="009766EC"/>
    <w:rsid w:val="00976E64"/>
    <w:rsid w:val="00976EED"/>
    <w:rsid w:val="00977733"/>
    <w:rsid w:val="00977D80"/>
    <w:rsid w:val="00980809"/>
    <w:rsid w:val="00980A7D"/>
    <w:rsid w:val="00980CE6"/>
    <w:rsid w:val="00980FBB"/>
    <w:rsid w:val="009816FB"/>
    <w:rsid w:val="0098200D"/>
    <w:rsid w:val="00982A07"/>
    <w:rsid w:val="00983009"/>
    <w:rsid w:val="0098415F"/>
    <w:rsid w:val="00984CC6"/>
    <w:rsid w:val="00984F15"/>
    <w:rsid w:val="0098541B"/>
    <w:rsid w:val="009854CE"/>
    <w:rsid w:val="00985838"/>
    <w:rsid w:val="00986045"/>
    <w:rsid w:val="0098607A"/>
    <w:rsid w:val="00986AE5"/>
    <w:rsid w:val="00990126"/>
    <w:rsid w:val="009901D2"/>
    <w:rsid w:val="0099063B"/>
    <w:rsid w:val="00990FE7"/>
    <w:rsid w:val="00991109"/>
    <w:rsid w:val="00991326"/>
    <w:rsid w:val="00991474"/>
    <w:rsid w:val="00991E84"/>
    <w:rsid w:val="00991EDC"/>
    <w:rsid w:val="00992380"/>
    <w:rsid w:val="009923C2"/>
    <w:rsid w:val="00992C2B"/>
    <w:rsid w:val="009939F6"/>
    <w:rsid w:val="00994013"/>
    <w:rsid w:val="00994056"/>
    <w:rsid w:val="009948E8"/>
    <w:rsid w:val="00994AC1"/>
    <w:rsid w:val="00996122"/>
    <w:rsid w:val="009976CE"/>
    <w:rsid w:val="00997768"/>
    <w:rsid w:val="009A03E7"/>
    <w:rsid w:val="009A05D7"/>
    <w:rsid w:val="009A085C"/>
    <w:rsid w:val="009A0935"/>
    <w:rsid w:val="009A10F4"/>
    <w:rsid w:val="009A1127"/>
    <w:rsid w:val="009A1477"/>
    <w:rsid w:val="009A173F"/>
    <w:rsid w:val="009A1795"/>
    <w:rsid w:val="009A2658"/>
    <w:rsid w:val="009A2662"/>
    <w:rsid w:val="009A26DC"/>
    <w:rsid w:val="009A27B7"/>
    <w:rsid w:val="009A2ABC"/>
    <w:rsid w:val="009A3292"/>
    <w:rsid w:val="009A36E9"/>
    <w:rsid w:val="009A3C0A"/>
    <w:rsid w:val="009A3CF2"/>
    <w:rsid w:val="009A3E5D"/>
    <w:rsid w:val="009A4088"/>
    <w:rsid w:val="009A4918"/>
    <w:rsid w:val="009A5A63"/>
    <w:rsid w:val="009A5E19"/>
    <w:rsid w:val="009A628D"/>
    <w:rsid w:val="009A6DB1"/>
    <w:rsid w:val="009A6FA0"/>
    <w:rsid w:val="009A738E"/>
    <w:rsid w:val="009A7474"/>
    <w:rsid w:val="009A7912"/>
    <w:rsid w:val="009B037B"/>
    <w:rsid w:val="009B04D4"/>
    <w:rsid w:val="009B0673"/>
    <w:rsid w:val="009B1A72"/>
    <w:rsid w:val="009B33E6"/>
    <w:rsid w:val="009B3468"/>
    <w:rsid w:val="009B3CA7"/>
    <w:rsid w:val="009B40A2"/>
    <w:rsid w:val="009B474C"/>
    <w:rsid w:val="009B4D65"/>
    <w:rsid w:val="009B54E2"/>
    <w:rsid w:val="009B55A9"/>
    <w:rsid w:val="009B5637"/>
    <w:rsid w:val="009B575F"/>
    <w:rsid w:val="009B57AB"/>
    <w:rsid w:val="009B62CA"/>
    <w:rsid w:val="009B6782"/>
    <w:rsid w:val="009B6917"/>
    <w:rsid w:val="009B6A81"/>
    <w:rsid w:val="009B6C9D"/>
    <w:rsid w:val="009B6F3A"/>
    <w:rsid w:val="009B77E0"/>
    <w:rsid w:val="009B7850"/>
    <w:rsid w:val="009B791C"/>
    <w:rsid w:val="009C03DA"/>
    <w:rsid w:val="009C05F9"/>
    <w:rsid w:val="009C087C"/>
    <w:rsid w:val="009C1237"/>
    <w:rsid w:val="009C13C8"/>
    <w:rsid w:val="009C13C9"/>
    <w:rsid w:val="009C1C2E"/>
    <w:rsid w:val="009C1D79"/>
    <w:rsid w:val="009C1DE0"/>
    <w:rsid w:val="009C21D9"/>
    <w:rsid w:val="009C21E4"/>
    <w:rsid w:val="009C2886"/>
    <w:rsid w:val="009C38D6"/>
    <w:rsid w:val="009C3DC9"/>
    <w:rsid w:val="009C447E"/>
    <w:rsid w:val="009C5537"/>
    <w:rsid w:val="009C5A0E"/>
    <w:rsid w:val="009C5A40"/>
    <w:rsid w:val="009C5CE1"/>
    <w:rsid w:val="009C62AD"/>
    <w:rsid w:val="009C7B48"/>
    <w:rsid w:val="009D0278"/>
    <w:rsid w:val="009D10F7"/>
    <w:rsid w:val="009D1345"/>
    <w:rsid w:val="009D1C3A"/>
    <w:rsid w:val="009D267F"/>
    <w:rsid w:val="009D27C4"/>
    <w:rsid w:val="009D2C66"/>
    <w:rsid w:val="009D35AA"/>
    <w:rsid w:val="009D4214"/>
    <w:rsid w:val="009D48FF"/>
    <w:rsid w:val="009D4D7E"/>
    <w:rsid w:val="009D51F8"/>
    <w:rsid w:val="009D538A"/>
    <w:rsid w:val="009D5F50"/>
    <w:rsid w:val="009D63BF"/>
    <w:rsid w:val="009D6D72"/>
    <w:rsid w:val="009D78AD"/>
    <w:rsid w:val="009D7DF1"/>
    <w:rsid w:val="009D7DFF"/>
    <w:rsid w:val="009D7E40"/>
    <w:rsid w:val="009E022B"/>
    <w:rsid w:val="009E0470"/>
    <w:rsid w:val="009E079D"/>
    <w:rsid w:val="009E0B4E"/>
    <w:rsid w:val="009E1EFB"/>
    <w:rsid w:val="009E2CE7"/>
    <w:rsid w:val="009E2FB3"/>
    <w:rsid w:val="009E30D2"/>
    <w:rsid w:val="009E364A"/>
    <w:rsid w:val="009E405E"/>
    <w:rsid w:val="009E4876"/>
    <w:rsid w:val="009E4C88"/>
    <w:rsid w:val="009E53B7"/>
    <w:rsid w:val="009E54DF"/>
    <w:rsid w:val="009E569F"/>
    <w:rsid w:val="009E6057"/>
    <w:rsid w:val="009E61AE"/>
    <w:rsid w:val="009E6CDA"/>
    <w:rsid w:val="009E73CB"/>
    <w:rsid w:val="009F0089"/>
    <w:rsid w:val="009F03D3"/>
    <w:rsid w:val="009F03E4"/>
    <w:rsid w:val="009F073C"/>
    <w:rsid w:val="009F08D9"/>
    <w:rsid w:val="009F15F0"/>
    <w:rsid w:val="009F17A1"/>
    <w:rsid w:val="009F205B"/>
    <w:rsid w:val="009F21ED"/>
    <w:rsid w:val="009F2565"/>
    <w:rsid w:val="009F2E36"/>
    <w:rsid w:val="009F3228"/>
    <w:rsid w:val="009F34E8"/>
    <w:rsid w:val="009F3725"/>
    <w:rsid w:val="009F3842"/>
    <w:rsid w:val="009F4DD9"/>
    <w:rsid w:val="009F509A"/>
    <w:rsid w:val="009F54C9"/>
    <w:rsid w:val="009F589F"/>
    <w:rsid w:val="009F5C9A"/>
    <w:rsid w:val="009F5E3F"/>
    <w:rsid w:val="009F5FCF"/>
    <w:rsid w:val="009F6156"/>
    <w:rsid w:val="009F6515"/>
    <w:rsid w:val="009F6721"/>
    <w:rsid w:val="009F6CF1"/>
    <w:rsid w:val="009F6DC9"/>
    <w:rsid w:val="009F78E0"/>
    <w:rsid w:val="00A01007"/>
    <w:rsid w:val="00A01647"/>
    <w:rsid w:val="00A0189B"/>
    <w:rsid w:val="00A01DD6"/>
    <w:rsid w:val="00A01E56"/>
    <w:rsid w:val="00A03826"/>
    <w:rsid w:val="00A0386A"/>
    <w:rsid w:val="00A041D7"/>
    <w:rsid w:val="00A04A4E"/>
    <w:rsid w:val="00A06815"/>
    <w:rsid w:val="00A06BDB"/>
    <w:rsid w:val="00A076DA"/>
    <w:rsid w:val="00A0771C"/>
    <w:rsid w:val="00A07AAF"/>
    <w:rsid w:val="00A10034"/>
    <w:rsid w:val="00A10287"/>
    <w:rsid w:val="00A1043B"/>
    <w:rsid w:val="00A1071A"/>
    <w:rsid w:val="00A10773"/>
    <w:rsid w:val="00A1084B"/>
    <w:rsid w:val="00A109A0"/>
    <w:rsid w:val="00A10C82"/>
    <w:rsid w:val="00A1113D"/>
    <w:rsid w:val="00A112C8"/>
    <w:rsid w:val="00A113F5"/>
    <w:rsid w:val="00A1165D"/>
    <w:rsid w:val="00A117EB"/>
    <w:rsid w:val="00A11957"/>
    <w:rsid w:val="00A11C48"/>
    <w:rsid w:val="00A11C8C"/>
    <w:rsid w:val="00A11F76"/>
    <w:rsid w:val="00A1288B"/>
    <w:rsid w:val="00A1296E"/>
    <w:rsid w:val="00A12A1A"/>
    <w:rsid w:val="00A1345C"/>
    <w:rsid w:val="00A13715"/>
    <w:rsid w:val="00A137F4"/>
    <w:rsid w:val="00A139A5"/>
    <w:rsid w:val="00A13C3E"/>
    <w:rsid w:val="00A13CD1"/>
    <w:rsid w:val="00A13F25"/>
    <w:rsid w:val="00A1482A"/>
    <w:rsid w:val="00A149C7"/>
    <w:rsid w:val="00A150DC"/>
    <w:rsid w:val="00A1546A"/>
    <w:rsid w:val="00A1583D"/>
    <w:rsid w:val="00A15CD3"/>
    <w:rsid w:val="00A16944"/>
    <w:rsid w:val="00A16A18"/>
    <w:rsid w:val="00A16C11"/>
    <w:rsid w:val="00A1710F"/>
    <w:rsid w:val="00A176F3"/>
    <w:rsid w:val="00A17A38"/>
    <w:rsid w:val="00A17A5B"/>
    <w:rsid w:val="00A17D61"/>
    <w:rsid w:val="00A17F61"/>
    <w:rsid w:val="00A20BA3"/>
    <w:rsid w:val="00A20D2C"/>
    <w:rsid w:val="00A20EAB"/>
    <w:rsid w:val="00A21A04"/>
    <w:rsid w:val="00A21A1D"/>
    <w:rsid w:val="00A21C26"/>
    <w:rsid w:val="00A2229F"/>
    <w:rsid w:val="00A22526"/>
    <w:rsid w:val="00A2293D"/>
    <w:rsid w:val="00A22E60"/>
    <w:rsid w:val="00A2324B"/>
    <w:rsid w:val="00A23429"/>
    <w:rsid w:val="00A234AD"/>
    <w:rsid w:val="00A24BBF"/>
    <w:rsid w:val="00A260F6"/>
    <w:rsid w:val="00A26F41"/>
    <w:rsid w:val="00A27544"/>
    <w:rsid w:val="00A304BC"/>
    <w:rsid w:val="00A311C9"/>
    <w:rsid w:val="00A3197D"/>
    <w:rsid w:val="00A319A0"/>
    <w:rsid w:val="00A31B6F"/>
    <w:rsid w:val="00A31B9B"/>
    <w:rsid w:val="00A31D5A"/>
    <w:rsid w:val="00A32403"/>
    <w:rsid w:val="00A33410"/>
    <w:rsid w:val="00A33FD1"/>
    <w:rsid w:val="00A340A4"/>
    <w:rsid w:val="00A340D0"/>
    <w:rsid w:val="00A342E6"/>
    <w:rsid w:val="00A349E0"/>
    <w:rsid w:val="00A34AE8"/>
    <w:rsid w:val="00A35969"/>
    <w:rsid w:val="00A35BC7"/>
    <w:rsid w:val="00A35E4A"/>
    <w:rsid w:val="00A36348"/>
    <w:rsid w:val="00A364D2"/>
    <w:rsid w:val="00A367EC"/>
    <w:rsid w:val="00A370A9"/>
    <w:rsid w:val="00A373B2"/>
    <w:rsid w:val="00A37430"/>
    <w:rsid w:val="00A376B5"/>
    <w:rsid w:val="00A3778A"/>
    <w:rsid w:val="00A4098A"/>
    <w:rsid w:val="00A40C52"/>
    <w:rsid w:val="00A40CF5"/>
    <w:rsid w:val="00A40E38"/>
    <w:rsid w:val="00A410FD"/>
    <w:rsid w:val="00A41316"/>
    <w:rsid w:val="00A414BB"/>
    <w:rsid w:val="00A41AEF"/>
    <w:rsid w:val="00A41D95"/>
    <w:rsid w:val="00A41F0E"/>
    <w:rsid w:val="00A4201D"/>
    <w:rsid w:val="00A42135"/>
    <w:rsid w:val="00A42A87"/>
    <w:rsid w:val="00A437B4"/>
    <w:rsid w:val="00A438AC"/>
    <w:rsid w:val="00A439DE"/>
    <w:rsid w:val="00A43A69"/>
    <w:rsid w:val="00A43A8A"/>
    <w:rsid w:val="00A446B4"/>
    <w:rsid w:val="00A44B87"/>
    <w:rsid w:val="00A4554F"/>
    <w:rsid w:val="00A4558F"/>
    <w:rsid w:val="00A46784"/>
    <w:rsid w:val="00A469E6"/>
    <w:rsid w:val="00A46D57"/>
    <w:rsid w:val="00A47603"/>
    <w:rsid w:val="00A5025E"/>
    <w:rsid w:val="00A507CB"/>
    <w:rsid w:val="00A50B60"/>
    <w:rsid w:val="00A5102E"/>
    <w:rsid w:val="00A51B47"/>
    <w:rsid w:val="00A51DC5"/>
    <w:rsid w:val="00A52024"/>
    <w:rsid w:val="00A5227B"/>
    <w:rsid w:val="00A52708"/>
    <w:rsid w:val="00A53055"/>
    <w:rsid w:val="00A5381F"/>
    <w:rsid w:val="00A5384B"/>
    <w:rsid w:val="00A53DEE"/>
    <w:rsid w:val="00A54098"/>
    <w:rsid w:val="00A54DBE"/>
    <w:rsid w:val="00A552FF"/>
    <w:rsid w:val="00A557B4"/>
    <w:rsid w:val="00A561C1"/>
    <w:rsid w:val="00A57876"/>
    <w:rsid w:val="00A57B84"/>
    <w:rsid w:val="00A57BB7"/>
    <w:rsid w:val="00A57DB2"/>
    <w:rsid w:val="00A57E51"/>
    <w:rsid w:val="00A60ABC"/>
    <w:rsid w:val="00A60F0C"/>
    <w:rsid w:val="00A6187C"/>
    <w:rsid w:val="00A61E87"/>
    <w:rsid w:val="00A62AB5"/>
    <w:rsid w:val="00A62FA6"/>
    <w:rsid w:val="00A6320D"/>
    <w:rsid w:val="00A6322E"/>
    <w:rsid w:val="00A63417"/>
    <w:rsid w:val="00A641B8"/>
    <w:rsid w:val="00A65913"/>
    <w:rsid w:val="00A66184"/>
    <w:rsid w:val="00A66674"/>
    <w:rsid w:val="00A66847"/>
    <w:rsid w:val="00A672EA"/>
    <w:rsid w:val="00A6752E"/>
    <w:rsid w:val="00A705A1"/>
    <w:rsid w:val="00A71421"/>
    <w:rsid w:val="00A71573"/>
    <w:rsid w:val="00A71829"/>
    <w:rsid w:val="00A71AB8"/>
    <w:rsid w:val="00A72097"/>
    <w:rsid w:val="00A7254E"/>
    <w:rsid w:val="00A725C1"/>
    <w:rsid w:val="00A72FA2"/>
    <w:rsid w:val="00A734BB"/>
    <w:rsid w:val="00A735B7"/>
    <w:rsid w:val="00A7378F"/>
    <w:rsid w:val="00A74378"/>
    <w:rsid w:val="00A74A2C"/>
    <w:rsid w:val="00A76867"/>
    <w:rsid w:val="00A76927"/>
    <w:rsid w:val="00A76F3C"/>
    <w:rsid w:val="00A77805"/>
    <w:rsid w:val="00A80A73"/>
    <w:rsid w:val="00A80FA3"/>
    <w:rsid w:val="00A81081"/>
    <w:rsid w:val="00A8167C"/>
    <w:rsid w:val="00A82F08"/>
    <w:rsid w:val="00A8305D"/>
    <w:rsid w:val="00A830B5"/>
    <w:rsid w:val="00A8429B"/>
    <w:rsid w:val="00A848FE"/>
    <w:rsid w:val="00A85495"/>
    <w:rsid w:val="00A85E83"/>
    <w:rsid w:val="00A86007"/>
    <w:rsid w:val="00A8603A"/>
    <w:rsid w:val="00A86299"/>
    <w:rsid w:val="00A86DAD"/>
    <w:rsid w:val="00A86FCE"/>
    <w:rsid w:val="00A87029"/>
    <w:rsid w:val="00A87099"/>
    <w:rsid w:val="00A870F7"/>
    <w:rsid w:val="00A871E0"/>
    <w:rsid w:val="00A87ADF"/>
    <w:rsid w:val="00A87CD0"/>
    <w:rsid w:val="00A90506"/>
    <w:rsid w:val="00A90652"/>
    <w:rsid w:val="00A90710"/>
    <w:rsid w:val="00A90E02"/>
    <w:rsid w:val="00A913C5"/>
    <w:rsid w:val="00A9185B"/>
    <w:rsid w:val="00A918D8"/>
    <w:rsid w:val="00A91C9F"/>
    <w:rsid w:val="00A91DD4"/>
    <w:rsid w:val="00A92C41"/>
    <w:rsid w:val="00A931C7"/>
    <w:rsid w:val="00A937F8"/>
    <w:rsid w:val="00A93A06"/>
    <w:rsid w:val="00A942F4"/>
    <w:rsid w:val="00A9452F"/>
    <w:rsid w:val="00A94558"/>
    <w:rsid w:val="00A94AD6"/>
    <w:rsid w:val="00A94B48"/>
    <w:rsid w:val="00A953C4"/>
    <w:rsid w:val="00A96273"/>
    <w:rsid w:val="00A9668B"/>
    <w:rsid w:val="00A96931"/>
    <w:rsid w:val="00A96E18"/>
    <w:rsid w:val="00A975A6"/>
    <w:rsid w:val="00A97A15"/>
    <w:rsid w:val="00AA03EC"/>
    <w:rsid w:val="00AA06A1"/>
    <w:rsid w:val="00AA0852"/>
    <w:rsid w:val="00AA0BFE"/>
    <w:rsid w:val="00AA0CCD"/>
    <w:rsid w:val="00AA0D58"/>
    <w:rsid w:val="00AA0EED"/>
    <w:rsid w:val="00AA13AA"/>
    <w:rsid w:val="00AA1B04"/>
    <w:rsid w:val="00AA2191"/>
    <w:rsid w:val="00AA292E"/>
    <w:rsid w:val="00AA2A9B"/>
    <w:rsid w:val="00AA3221"/>
    <w:rsid w:val="00AA346E"/>
    <w:rsid w:val="00AA3D89"/>
    <w:rsid w:val="00AA3DA7"/>
    <w:rsid w:val="00AA433C"/>
    <w:rsid w:val="00AA443A"/>
    <w:rsid w:val="00AA45A1"/>
    <w:rsid w:val="00AA4729"/>
    <w:rsid w:val="00AA4762"/>
    <w:rsid w:val="00AA4A61"/>
    <w:rsid w:val="00AA4C22"/>
    <w:rsid w:val="00AA4CDD"/>
    <w:rsid w:val="00AA502D"/>
    <w:rsid w:val="00AA52A1"/>
    <w:rsid w:val="00AA53B6"/>
    <w:rsid w:val="00AA59C3"/>
    <w:rsid w:val="00AA5DB8"/>
    <w:rsid w:val="00AA5E02"/>
    <w:rsid w:val="00AA69D1"/>
    <w:rsid w:val="00AA6E06"/>
    <w:rsid w:val="00AA761E"/>
    <w:rsid w:val="00AA7BA9"/>
    <w:rsid w:val="00AA7C3C"/>
    <w:rsid w:val="00AA7FE2"/>
    <w:rsid w:val="00AB037B"/>
    <w:rsid w:val="00AB0546"/>
    <w:rsid w:val="00AB183B"/>
    <w:rsid w:val="00AB262F"/>
    <w:rsid w:val="00AB2D29"/>
    <w:rsid w:val="00AB2D39"/>
    <w:rsid w:val="00AB45D4"/>
    <w:rsid w:val="00AB48A2"/>
    <w:rsid w:val="00AB494C"/>
    <w:rsid w:val="00AB4C38"/>
    <w:rsid w:val="00AB4E85"/>
    <w:rsid w:val="00AB61A4"/>
    <w:rsid w:val="00AB651C"/>
    <w:rsid w:val="00AB684A"/>
    <w:rsid w:val="00AB6C94"/>
    <w:rsid w:val="00AB6F29"/>
    <w:rsid w:val="00AB7A09"/>
    <w:rsid w:val="00AB7A4B"/>
    <w:rsid w:val="00AC04C5"/>
    <w:rsid w:val="00AC124E"/>
    <w:rsid w:val="00AC146E"/>
    <w:rsid w:val="00AC175B"/>
    <w:rsid w:val="00AC1EAA"/>
    <w:rsid w:val="00AC2111"/>
    <w:rsid w:val="00AC230E"/>
    <w:rsid w:val="00AC25B3"/>
    <w:rsid w:val="00AC2C4E"/>
    <w:rsid w:val="00AC2F24"/>
    <w:rsid w:val="00AC3B17"/>
    <w:rsid w:val="00AC3B5E"/>
    <w:rsid w:val="00AC449A"/>
    <w:rsid w:val="00AC4FC5"/>
    <w:rsid w:val="00AC5543"/>
    <w:rsid w:val="00AC5F15"/>
    <w:rsid w:val="00AC5FE9"/>
    <w:rsid w:val="00AC60FD"/>
    <w:rsid w:val="00AC664A"/>
    <w:rsid w:val="00AC69AC"/>
    <w:rsid w:val="00AC719B"/>
    <w:rsid w:val="00AC77F9"/>
    <w:rsid w:val="00AC7824"/>
    <w:rsid w:val="00AD0DAA"/>
    <w:rsid w:val="00AD134B"/>
    <w:rsid w:val="00AD1656"/>
    <w:rsid w:val="00AD1CCE"/>
    <w:rsid w:val="00AD1F15"/>
    <w:rsid w:val="00AD298C"/>
    <w:rsid w:val="00AD29C4"/>
    <w:rsid w:val="00AD2B6B"/>
    <w:rsid w:val="00AD3709"/>
    <w:rsid w:val="00AD3DD5"/>
    <w:rsid w:val="00AD46B4"/>
    <w:rsid w:val="00AD4775"/>
    <w:rsid w:val="00AD61E6"/>
    <w:rsid w:val="00AD6C23"/>
    <w:rsid w:val="00AD6EFF"/>
    <w:rsid w:val="00AD7468"/>
    <w:rsid w:val="00AD77F4"/>
    <w:rsid w:val="00AD7D47"/>
    <w:rsid w:val="00AD7F3B"/>
    <w:rsid w:val="00AE004F"/>
    <w:rsid w:val="00AE0508"/>
    <w:rsid w:val="00AE0935"/>
    <w:rsid w:val="00AE0E21"/>
    <w:rsid w:val="00AE13CB"/>
    <w:rsid w:val="00AE2328"/>
    <w:rsid w:val="00AE265F"/>
    <w:rsid w:val="00AE282A"/>
    <w:rsid w:val="00AE36B9"/>
    <w:rsid w:val="00AE3F20"/>
    <w:rsid w:val="00AE4630"/>
    <w:rsid w:val="00AE50DA"/>
    <w:rsid w:val="00AE50E1"/>
    <w:rsid w:val="00AE5718"/>
    <w:rsid w:val="00AE5780"/>
    <w:rsid w:val="00AE630A"/>
    <w:rsid w:val="00AE6768"/>
    <w:rsid w:val="00AE6F7C"/>
    <w:rsid w:val="00AE725F"/>
    <w:rsid w:val="00AE7CEE"/>
    <w:rsid w:val="00AE7EF1"/>
    <w:rsid w:val="00AE7FA3"/>
    <w:rsid w:val="00AF0365"/>
    <w:rsid w:val="00AF04FB"/>
    <w:rsid w:val="00AF05B1"/>
    <w:rsid w:val="00AF0B7F"/>
    <w:rsid w:val="00AF1039"/>
    <w:rsid w:val="00AF1773"/>
    <w:rsid w:val="00AF1C37"/>
    <w:rsid w:val="00AF1DE6"/>
    <w:rsid w:val="00AF2B5F"/>
    <w:rsid w:val="00AF2CAB"/>
    <w:rsid w:val="00AF309C"/>
    <w:rsid w:val="00AF349E"/>
    <w:rsid w:val="00AF4316"/>
    <w:rsid w:val="00AF4437"/>
    <w:rsid w:val="00AF4987"/>
    <w:rsid w:val="00AF617D"/>
    <w:rsid w:val="00AF6358"/>
    <w:rsid w:val="00AF67EC"/>
    <w:rsid w:val="00AF6913"/>
    <w:rsid w:val="00AF737D"/>
    <w:rsid w:val="00AF7480"/>
    <w:rsid w:val="00AF79F7"/>
    <w:rsid w:val="00AF7AD7"/>
    <w:rsid w:val="00B0012C"/>
    <w:rsid w:val="00B003E8"/>
    <w:rsid w:val="00B00606"/>
    <w:rsid w:val="00B00892"/>
    <w:rsid w:val="00B00C13"/>
    <w:rsid w:val="00B00CB8"/>
    <w:rsid w:val="00B00D03"/>
    <w:rsid w:val="00B01B00"/>
    <w:rsid w:val="00B01F3D"/>
    <w:rsid w:val="00B02017"/>
    <w:rsid w:val="00B020A7"/>
    <w:rsid w:val="00B025BB"/>
    <w:rsid w:val="00B025E9"/>
    <w:rsid w:val="00B03A1D"/>
    <w:rsid w:val="00B03A40"/>
    <w:rsid w:val="00B03D62"/>
    <w:rsid w:val="00B03F14"/>
    <w:rsid w:val="00B04427"/>
    <w:rsid w:val="00B0467C"/>
    <w:rsid w:val="00B04750"/>
    <w:rsid w:val="00B050B8"/>
    <w:rsid w:val="00B05803"/>
    <w:rsid w:val="00B05997"/>
    <w:rsid w:val="00B0608A"/>
    <w:rsid w:val="00B06939"/>
    <w:rsid w:val="00B10E2F"/>
    <w:rsid w:val="00B10FDC"/>
    <w:rsid w:val="00B1103D"/>
    <w:rsid w:val="00B11759"/>
    <w:rsid w:val="00B11C5C"/>
    <w:rsid w:val="00B12CD1"/>
    <w:rsid w:val="00B13314"/>
    <w:rsid w:val="00B13EA4"/>
    <w:rsid w:val="00B14254"/>
    <w:rsid w:val="00B144D1"/>
    <w:rsid w:val="00B14D82"/>
    <w:rsid w:val="00B15A61"/>
    <w:rsid w:val="00B15B53"/>
    <w:rsid w:val="00B16907"/>
    <w:rsid w:val="00B1695A"/>
    <w:rsid w:val="00B16D44"/>
    <w:rsid w:val="00B17F28"/>
    <w:rsid w:val="00B2026D"/>
    <w:rsid w:val="00B20292"/>
    <w:rsid w:val="00B20771"/>
    <w:rsid w:val="00B212CA"/>
    <w:rsid w:val="00B21333"/>
    <w:rsid w:val="00B21B60"/>
    <w:rsid w:val="00B2277B"/>
    <w:rsid w:val="00B2309F"/>
    <w:rsid w:val="00B23139"/>
    <w:rsid w:val="00B23297"/>
    <w:rsid w:val="00B2383C"/>
    <w:rsid w:val="00B23950"/>
    <w:rsid w:val="00B23997"/>
    <w:rsid w:val="00B23D1B"/>
    <w:rsid w:val="00B24AEA"/>
    <w:rsid w:val="00B24ED2"/>
    <w:rsid w:val="00B256CD"/>
    <w:rsid w:val="00B257D7"/>
    <w:rsid w:val="00B260E0"/>
    <w:rsid w:val="00B26186"/>
    <w:rsid w:val="00B26925"/>
    <w:rsid w:val="00B269C0"/>
    <w:rsid w:val="00B27497"/>
    <w:rsid w:val="00B30100"/>
    <w:rsid w:val="00B3027C"/>
    <w:rsid w:val="00B30712"/>
    <w:rsid w:val="00B309D2"/>
    <w:rsid w:val="00B30CB0"/>
    <w:rsid w:val="00B31210"/>
    <w:rsid w:val="00B313D9"/>
    <w:rsid w:val="00B31CA0"/>
    <w:rsid w:val="00B32D0F"/>
    <w:rsid w:val="00B33CBD"/>
    <w:rsid w:val="00B346AE"/>
    <w:rsid w:val="00B34A68"/>
    <w:rsid w:val="00B350C9"/>
    <w:rsid w:val="00B3586C"/>
    <w:rsid w:val="00B362C8"/>
    <w:rsid w:val="00B370A9"/>
    <w:rsid w:val="00B37882"/>
    <w:rsid w:val="00B379F6"/>
    <w:rsid w:val="00B37B27"/>
    <w:rsid w:val="00B40345"/>
    <w:rsid w:val="00B408E5"/>
    <w:rsid w:val="00B415B7"/>
    <w:rsid w:val="00B41854"/>
    <w:rsid w:val="00B41DD7"/>
    <w:rsid w:val="00B42446"/>
    <w:rsid w:val="00B42758"/>
    <w:rsid w:val="00B42BB4"/>
    <w:rsid w:val="00B42E9D"/>
    <w:rsid w:val="00B435DD"/>
    <w:rsid w:val="00B435E7"/>
    <w:rsid w:val="00B43A8B"/>
    <w:rsid w:val="00B447D7"/>
    <w:rsid w:val="00B44B50"/>
    <w:rsid w:val="00B44DE5"/>
    <w:rsid w:val="00B4505A"/>
    <w:rsid w:val="00B45DF8"/>
    <w:rsid w:val="00B4644A"/>
    <w:rsid w:val="00B46DED"/>
    <w:rsid w:val="00B471E0"/>
    <w:rsid w:val="00B47505"/>
    <w:rsid w:val="00B47746"/>
    <w:rsid w:val="00B5045C"/>
    <w:rsid w:val="00B50954"/>
    <w:rsid w:val="00B512BC"/>
    <w:rsid w:val="00B512CA"/>
    <w:rsid w:val="00B519AA"/>
    <w:rsid w:val="00B51BA2"/>
    <w:rsid w:val="00B51CCB"/>
    <w:rsid w:val="00B51E6C"/>
    <w:rsid w:val="00B51E99"/>
    <w:rsid w:val="00B51EA9"/>
    <w:rsid w:val="00B5309A"/>
    <w:rsid w:val="00B53BAD"/>
    <w:rsid w:val="00B53C19"/>
    <w:rsid w:val="00B53FD0"/>
    <w:rsid w:val="00B5466C"/>
    <w:rsid w:val="00B549F2"/>
    <w:rsid w:val="00B54F2B"/>
    <w:rsid w:val="00B54FA6"/>
    <w:rsid w:val="00B5523C"/>
    <w:rsid w:val="00B5534B"/>
    <w:rsid w:val="00B55CC4"/>
    <w:rsid w:val="00B55ED5"/>
    <w:rsid w:val="00B55F26"/>
    <w:rsid w:val="00B56511"/>
    <w:rsid w:val="00B5763F"/>
    <w:rsid w:val="00B576B6"/>
    <w:rsid w:val="00B57E3E"/>
    <w:rsid w:val="00B602FC"/>
    <w:rsid w:val="00B605E5"/>
    <w:rsid w:val="00B60751"/>
    <w:rsid w:val="00B60993"/>
    <w:rsid w:val="00B60B9A"/>
    <w:rsid w:val="00B60E1C"/>
    <w:rsid w:val="00B60E76"/>
    <w:rsid w:val="00B616C3"/>
    <w:rsid w:val="00B61F7F"/>
    <w:rsid w:val="00B62C5A"/>
    <w:rsid w:val="00B6370D"/>
    <w:rsid w:val="00B638C4"/>
    <w:rsid w:val="00B64167"/>
    <w:rsid w:val="00B64189"/>
    <w:rsid w:val="00B64A1F"/>
    <w:rsid w:val="00B64CD8"/>
    <w:rsid w:val="00B64F9E"/>
    <w:rsid w:val="00B65D49"/>
    <w:rsid w:val="00B66C0A"/>
    <w:rsid w:val="00B66D35"/>
    <w:rsid w:val="00B670A0"/>
    <w:rsid w:val="00B672AA"/>
    <w:rsid w:val="00B67AF0"/>
    <w:rsid w:val="00B67BF8"/>
    <w:rsid w:val="00B700D4"/>
    <w:rsid w:val="00B70134"/>
    <w:rsid w:val="00B70936"/>
    <w:rsid w:val="00B709B7"/>
    <w:rsid w:val="00B70D8C"/>
    <w:rsid w:val="00B7121C"/>
    <w:rsid w:val="00B715EE"/>
    <w:rsid w:val="00B71A9A"/>
    <w:rsid w:val="00B72BCC"/>
    <w:rsid w:val="00B72CF2"/>
    <w:rsid w:val="00B737BC"/>
    <w:rsid w:val="00B740E2"/>
    <w:rsid w:val="00B741FF"/>
    <w:rsid w:val="00B7455A"/>
    <w:rsid w:val="00B7472B"/>
    <w:rsid w:val="00B74AB5"/>
    <w:rsid w:val="00B75428"/>
    <w:rsid w:val="00B7561C"/>
    <w:rsid w:val="00B756E5"/>
    <w:rsid w:val="00B762DC"/>
    <w:rsid w:val="00B763C6"/>
    <w:rsid w:val="00B7781C"/>
    <w:rsid w:val="00B77C57"/>
    <w:rsid w:val="00B77C6D"/>
    <w:rsid w:val="00B8045A"/>
    <w:rsid w:val="00B80655"/>
    <w:rsid w:val="00B81BE2"/>
    <w:rsid w:val="00B82991"/>
    <w:rsid w:val="00B82AE5"/>
    <w:rsid w:val="00B8323D"/>
    <w:rsid w:val="00B83A7F"/>
    <w:rsid w:val="00B83B69"/>
    <w:rsid w:val="00B83C04"/>
    <w:rsid w:val="00B84888"/>
    <w:rsid w:val="00B84AAB"/>
    <w:rsid w:val="00B8533A"/>
    <w:rsid w:val="00B858FC"/>
    <w:rsid w:val="00B85F88"/>
    <w:rsid w:val="00B8697F"/>
    <w:rsid w:val="00B8706D"/>
    <w:rsid w:val="00B87486"/>
    <w:rsid w:val="00B909A2"/>
    <w:rsid w:val="00B91226"/>
    <w:rsid w:val="00B91607"/>
    <w:rsid w:val="00B917F2"/>
    <w:rsid w:val="00B919F2"/>
    <w:rsid w:val="00B92729"/>
    <w:rsid w:val="00B92AFD"/>
    <w:rsid w:val="00B934E7"/>
    <w:rsid w:val="00B9364B"/>
    <w:rsid w:val="00B937B5"/>
    <w:rsid w:val="00B93816"/>
    <w:rsid w:val="00B93970"/>
    <w:rsid w:val="00B93FB4"/>
    <w:rsid w:val="00B94E7F"/>
    <w:rsid w:val="00B951DD"/>
    <w:rsid w:val="00B95427"/>
    <w:rsid w:val="00B956B6"/>
    <w:rsid w:val="00B956C5"/>
    <w:rsid w:val="00B95BFF"/>
    <w:rsid w:val="00B960FF"/>
    <w:rsid w:val="00B962C4"/>
    <w:rsid w:val="00B9650D"/>
    <w:rsid w:val="00B965C4"/>
    <w:rsid w:val="00B967AB"/>
    <w:rsid w:val="00B96E7E"/>
    <w:rsid w:val="00B970A1"/>
    <w:rsid w:val="00B977F1"/>
    <w:rsid w:val="00B9781D"/>
    <w:rsid w:val="00B978C4"/>
    <w:rsid w:val="00B978F5"/>
    <w:rsid w:val="00B97A67"/>
    <w:rsid w:val="00B97D15"/>
    <w:rsid w:val="00B97E53"/>
    <w:rsid w:val="00BA0539"/>
    <w:rsid w:val="00BA05ED"/>
    <w:rsid w:val="00BA100B"/>
    <w:rsid w:val="00BA1A5A"/>
    <w:rsid w:val="00BA372B"/>
    <w:rsid w:val="00BA38EB"/>
    <w:rsid w:val="00BA539A"/>
    <w:rsid w:val="00BA548C"/>
    <w:rsid w:val="00BA5D86"/>
    <w:rsid w:val="00BA5F82"/>
    <w:rsid w:val="00BA60D9"/>
    <w:rsid w:val="00BA62BB"/>
    <w:rsid w:val="00BA632B"/>
    <w:rsid w:val="00BA639D"/>
    <w:rsid w:val="00BA6DAB"/>
    <w:rsid w:val="00BA6E78"/>
    <w:rsid w:val="00BA7B22"/>
    <w:rsid w:val="00BB00AB"/>
    <w:rsid w:val="00BB04A4"/>
    <w:rsid w:val="00BB0558"/>
    <w:rsid w:val="00BB0672"/>
    <w:rsid w:val="00BB0F92"/>
    <w:rsid w:val="00BB18FB"/>
    <w:rsid w:val="00BB23A9"/>
    <w:rsid w:val="00BB2A8F"/>
    <w:rsid w:val="00BB3216"/>
    <w:rsid w:val="00BB3E88"/>
    <w:rsid w:val="00BB4DE3"/>
    <w:rsid w:val="00BB54A5"/>
    <w:rsid w:val="00BB55A2"/>
    <w:rsid w:val="00BB566C"/>
    <w:rsid w:val="00BB576C"/>
    <w:rsid w:val="00BB594D"/>
    <w:rsid w:val="00BB59A9"/>
    <w:rsid w:val="00BB5E4A"/>
    <w:rsid w:val="00BB6084"/>
    <w:rsid w:val="00BB6A86"/>
    <w:rsid w:val="00BB6DFC"/>
    <w:rsid w:val="00BB6EB3"/>
    <w:rsid w:val="00BB7011"/>
    <w:rsid w:val="00BB7050"/>
    <w:rsid w:val="00BB7A65"/>
    <w:rsid w:val="00BC0583"/>
    <w:rsid w:val="00BC05FC"/>
    <w:rsid w:val="00BC0FB3"/>
    <w:rsid w:val="00BC1545"/>
    <w:rsid w:val="00BC15E3"/>
    <w:rsid w:val="00BC1E55"/>
    <w:rsid w:val="00BC3737"/>
    <w:rsid w:val="00BC3A41"/>
    <w:rsid w:val="00BC3EA8"/>
    <w:rsid w:val="00BC567F"/>
    <w:rsid w:val="00BC5A56"/>
    <w:rsid w:val="00BC5DA5"/>
    <w:rsid w:val="00BC5EE1"/>
    <w:rsid w:val="00BC60E9"/>
    <w:rsid w:val="00BC63DA"/>
    <w:rsid w:val="00BC6677"/>
    <w:rsid w:val="00BC6991"/>
    <w:rsid w:val="00BC7C97"/>
    <w:rsid w:val="00BC7F65"/>
    <w:rsid w:val="00BD01DC"/>
    <w:rsid w:val="00BD049F"/>
    <w:rsid w:val="00BD0C86"/>
    <w:rsid w:val="00BD0D4A"/>
    <w:rsid w:val="00BD146A"/>
    <w:rsid w:val="00BD1984"/>
    <w:rsid w:val="00BD20C9"/>
    <w:rsid w:val="00BD2AA1"/>
    <w:rsid w:val="00BD2E1E"/>
    <w:rsid w:val="00BD3A99"/>
    <w:rsid w:val="00BD3BF5"/>
    <w:rsid w:val="00BD3CB8"/>
    <w:rsid w:val="00BD4021"/>
    <w:rsid w:val="00BD4127"/>
    <w:rsid w:val="00BD44F6"/>
    <w:rsid w:val="00BD4932"/>
    <w:rsid w:val="00BD4CBC"/>
    <w:rsid w:val="00BD4DE0"/>
    <w:rsid w:val="00BD606D"/>
    <w:rsid w:val="00BD64CF"/>
    <w:rsid w:val="00BD6577"/>
    <w:rsid w:val="00BD6759"/>
    <w:rsid w:val="00BD67F4"/>
    <w:rsid w:val="00BD6922"/>
    <w:rsid w:val="00BD696D"/>
    <w:rsid w:val="00BD6C75"/>
    <w:rsid w:val="00BE05E1"/>
    <w:rsid w:val="00BE0832"/>
    <w:rsid w:val="00BE0907"/>
    <w:rsid w:val="00BE0EB4"/>
    <w:rsid w:val="00BE1024"/>
    <w:rsid w:val="00BE1266"/>
    <w:rsid w:val="00BE12AB"/>
    <w:rsid w:val="00BE1767"/>
    <w:rsid w:val="00BE1C46"/>
    <w:rsid w:val="00BE1F61"/>
    <w:rsid w:val="00BE21E7"/>
    <w:rsid w:val="00BE2510"/>
    <w:rsid w:val="00BE291B"/>
    <w:rsid w:val="00BE2F28"/>
    <w:rsid w:val="00BE3160"/>
    <w:rsid w:val="00BE35CA"/>
    <w:rsid w:val="00BE3935"/>
    <w:rsid w:val="00BE3BC7"/>
    <w:rsid w:val="00BE3C30"/>
    <w:rsid w:val="00BE3EE7"/>
    <w:rsid w:val="00BE4291"/>
    <w:rsid w:val="00BE4B21"/>
    <w:rsid w:val="00BE4B64"/>
    <w:rsid w:val="00BE52BF"/>
    <w:rsid w:val="00BE56C4"/>
    <w:rsid w:val="00BE5A41"/>
    <w:rsid w:val="00BE64C1"/>
    <w:rsid w:val="00BE670C"/>
    <w:rsid w:val="00BE696F"/>
    <w:rsid w:val="00BE6A83"/>
    <w:rsid w:val="00BE6C54"/>
    <w:rsid w:val="00BE734F"/>
    <w:rsid w:val="00BE73D5"/>
    <w:rsid w:val="00BE77C5"/>
    <w:rsid w:val="00BF0C00"/>
    <w:rsid w:val="00BF0F00"/>
    <w:rsid w:val="00BF1277"/>
    <w:rsid w:val="00BF1BDD"/>
    <w:rsid w:val="00BF1F7B"/>
    <w:rsid w:val="00BF296F"/>
    <w:rsid w:val="00BF2D17"/>
    <w:rsid w:val="00BF2F5C"/>
    <w:rsid w:val="00BF393A"/>
    <w:rsid w:val="00BF49F8"/>
    <w:rsid w:val="00BF4D94"/>
    <w:rsid w:val="00BF504C"/>
    <w:rsid w:val="00BF505F"/>
    <w:rsid w:val="00BF5547"/>
    <w:rsid w:val="00BF5A2D"/>
    <w:rsid w:val="00BF5CA6"/>
    <w:rsid w:val="00BF6394"/>
    <w:rsid w:val="00BF68EE"/>
    <w:rsid w:val="00BF70F4"/>
    <w:rsid w:val="00BF75CB"/>
    <w:rsid w:val="00BF7BC0"/>
    <w:rsid w:val="00C00404"/>
    <w:rsid w:val="00C004F2"/>
    <w:rsid w:val="00C00A7B"/>
    <w:rsid w:val="00C00D22"/>
    <w:rsid w:val="00C00E5C"/>
    <w:rsid w:val="00C015F5"/>
    <w:rsid w:val="00C01DC6"/>
    <w:rsid w:val="00C0214A"/>
    <w:rsid w:val="00C02528"/>
    <w:rsid w:val="00C0293D"/>
    <w:rsid w:val="00C02B90"/>
    <w:rsid w:val="00C02C8D"/>
    <w:rsid w:val="00C02F8D"/>
    <w:rsid w:val="00C02FC4"/>
    <w:rsid w:val="00C0301F"/>
    <w:rsid w:val="00C030A0"/>
    <w:rsid w:val="00C03235"/>
    <w:rsid w:val="00C03A04"/>
    <w:rsid w:val="00C04654"/>
    <w:rsid w:val="00C046C1"/>
    <w:rsid w:val="00C05330"/>
    <w:rsid w:val="00C058BC"/>
    <w:rsid w:val="00C0633A"/>
    <w:rsid w:val="00C065EE"/>
    <w:rsid w:val="00C06B94"/>
    <w:rsid w:val="00C07A59"/>
    <w:rsid w:val="00C07EBC"/>
    <w:rsid w:val="00C10470"/>
    <w:rsid w:val="00C10FFD"/>
    <w:rsid w:val="00C112A4"/>
    <w:rsid w:val="00C118F3"/>
    <w:rsid w:val="00C124A7"/>
    <w:rsid w:val="00C12833"/>
    <w:rsid w:val="00C13166"/>
    <w:rsid w:val="00C13F09"/>
    <w:rsid w:val="00C143AC"/>
    <w:rsid w:val="00C15690"/>
    <w:rsid w:val="00C15840"/>
    <w:rsid w:val="00C15A82"/>
    <w:rsid w:val="00C15C7F"/>
    <w:rsid w:val="00C15F82"/>
    <w:rsid w:val="00C16E4E"/>
    <w:rsid w:val="00C171FB"/>
    <w:rsid w:val="00C17465"/>
    <w:rsid w:val="00C17679"/>
    <w:rsid w:val="00C17951"/>
    <w:rsid w:val="00C17CCF"/>
    <w:rsid w:val="00C20167"/>
    <w:rsid w:val="00C208ED"/>
    <w:rsid w:val="00C20934"/>
    <w:rsid w:val="00C21686"/>
    <w:rsid w:val="00C21B45"/>
    <w:rsid w:val="00C223DC"/>
    <w:rsid w:val="00C22EA6"/>
    <w:rsid w:val="00C237DA"/>
    <w:rsid w:val="00C2462E"/>
    <w:rsid w:val="00C24D86"/>
    <w:rsid w:val="00C269FB"/>
    <w:rsid w:val="00C27CF5"/>
    <w:rsid w:val="00C3036C"/>
    <w:rsid w:val="00C306EB"/>
    <w:rsid w:val="00C308C7"/>
    <w:rsid w:val="00C3098D"/>
    <w:rsid w:val="00C310B6"/>
    <w:rsid w:val="00C323CD"/>
    <w:rsid w:val="00C32626"/>
    <w:rsid w:val="00C328A8"/>
    <w:rsid w:val="00C32968"/>
    <w:rsid w:val="00C329A3"/>
    <w:rsid w:val="00C330D9"/>
    <w:rsid w:val="00C331F8"/>
    <w:rsid w:val="00C3360C"/>
    <w:rsid w:val="00C33968"/>
    <w:rsid w:val="00C33C27"/>
    <w:rsid w:val="00C33ED6"/>
    <w:rsid w:val="00C344B4"/>
    <w:rsid w:val="00C3502E"/>
    <w:rsid w:val="00C35033"/>
    <w:rsid w:val="00C35821"/>
    <w:rsid w:val="00C3587D"/>
    <w:rsid w:val="00C37129"/>
    <w:rsid w:val="00C3764D"/>
    <w:rsid w:val="00C376A1"/>
    <w:rsid w:val="00C3794D"/>
    <w:rsid w:val="00C37B24"/>
    <w:rsid w:val="00C403CB"/>
    <w:rsid w:val="00C414B5"/>
    <w:rsid w:val="00C414F4"/>
    <w:rsid w:val="00C4155C"/>
    <w:rsid w:val="00C417DD"/>
    <w:rsid w:val="00C4260A"/>
    <w:rsid w:val="00C4289A"/>
    <w:rsid w:val="00C42B44"/>
    <w:rsid w:val="00C42E07"/>
    <w:rsid w:val="00C44747"/>
    <w:rsid w:val="00C44B5E"/>
    <w:rsid w:val="00C451FA"/>
    <w:rsid w:val="00C4572C"/>
    <w:rsid w:val="00C45835"/>
    <w:rsid w:val="00C45844"/>
    <w:rsid w:val="00C46B39"/>
    <w:rsid w:val="00C46BFE"/>
    <w:rsid w:val="00C46DB7"/>
    <w:rsid w:val="00C4732D"/>
    <w:rsid w:val="00C47454"/>
    <w:rsid w:val="00C476FB"/>
    <w:rsid w:val="00C47D3B"/>
    <w:rsid w:val="00C50046"/>
    <w:rsid w:val="00C50084"/>
    <w:rsid w:val="00C503AA"/>
    <w:rsid w:val="00C5067A"/>
    <w:rsid w:val="00C51C63"/>
    <w:rsid w:val="00C5243D"/>
    <w:rsid w:val="00C528B0"/>
    <w:rsid w:val="00C5297D"/>
    <w:rsid w:val="00C52FA2"/>
    <w:rsid w:val="00C5371F"/>
    <w:rsid w:val="00C5382B"/>
    <w:rsid w:val="00C53992"/>
    <w:rsid w:val="00C542F5"/>
    <w:rsid w:val="00C54337"/>
    <w:rsid w:val="00C54E21"/>
    <w:rsid w:val="00C54EBC"/>
    <w:rsid w:val="00C55266"/>
    <w:rsid w:val="00C55970"/>
    <w:rsid w:val="00C55A4B"/>
    <w:rsid w:val="00C55AE2"/>
    <w:rsid w:val="00C55B31"/>
    <w:rsid w:val="00C5610F"/>
    <w:rsid w:val="00C564E2"/>
    <w:rsid w:val="00C56794"/>
    <w:rsid w:val="00C569DB"/>
    <w:rsid w:val="00C56D08"/>
    <w:rsid w:val="00C576F9"/>
    <w:rsid w:val="00C60556"/>
    <w:rsid w:val="00C60ACA"/>
    <w:rsid w:val="00C60D2B"/>
    <w:rsid w:val="00C613D1"/>
    <w:rsid w:val="00C61C94"/>
    <w:rsid w:val="00C626E3"/>
    <w:rsid w:val="00C63D3F"/>
    <w:rsid w:val="00C63FD8"/>
    <w:rsid w:val="00C6401E"/>
    <w:rsid w:val="00C6449D"/>
    <w:rsid w:val="00C64ED3"/>
    <w:rsid w:val="00C64FB6"/>
    <w:rsid w:val="00C6524E"/>
    <w:rsid w:val="00C672AF"/>
    <w:rsid w:val="00C67379"/>
    <w:rsid w:val="00C676F8"/>
    <w:rsid w:val="00C67AF8"/>
    <w:rsid w:val="00C67BA7"/>
    <w:rsid w:val="00C67FE4"/>
    <w:rsid w:val="00C7011D"/>
    <w:rsid w:val="00C7051C"/>
    <w:rsid w:val="00C70965"/>
    <w:rsid w:val="00C709D9"/>
    <w:rsid w:val="00C70D49"/>
    <w:rsid w:val="00C72CEA"/>
    <w:rsid w:val="00C7322D"/>
    <w:rsid w:val="00C73F84"/>
    <w:rsid w:val="00C7418F"/>
    <w:rsid w:val="00C74C00"/>
    <w:rsid w:val="00C74F98"/>
    <w:rsid w:val="00C74FDD"/>
    <w:rsid w:val="00C75473"/>
    <w:rsid w:val="00C761B8"/>
    <w:rsid w:val="00C76778"/>
    <w:rsid w:val="00C76EE8"/>
    <w:rsid w:val="00C77505"/>
    <w:rsid w:val="00C8004B"/>
    <w:rsid w:val="00C810A1"/>
    <w:rsid w:val="00C81155"/>
    <w:rsid w:val="00C81263"/>
    <w:rsid w:val="00C81678"/>
    <w:rsid w:val="00C81AAC"/>
    <w:rsid w:val="00C81FDE"/>
    <w:rsid w:val="00C8200B"/>
    <w:rsid w:val="00C820C0"/>
    <w:rsid w:val="00C8366E"/>
    <w:rsid w:val="00C84DD7"/>
    <w:rsid w:val="00C84E05"/>
    <w:rsid w:val="00C8614D"/>
    <w:rsid w:val="00C86E6D"/>
    <w:rsid w:val="00C903FC"/>
    <w:rsid w:val="00C9044E"/>
    <w:rsid w:val="00C907D4"/>
    <w:rsid w:val="00C90A89"/>
    <w:rsid w:val="00C91185"/>
    <w:rsid w:val="00C91491"/>
    <w:rsid w:val="00C917C0"/>
    <w:rsid w:val="00C91A87"/>
    <w:rsid w:val="00C91FC6"/>
    <w:rsid w:val="00C922CA"/>
    <w:rsid w:val="00C9266F"/>
    <w:rsid w:val="00C9361A"/>
    <w:rsid w:val="00C943B5"/>
    <w:rsid w:val="00C9476E"/>
    <w:rsid w:val="00C9528A"/>
    <w:rsid w:val="00C953CD"/>
    <w:rsid w:val="00C955D4"/>
    <w:rsid w:val="00C95683"/>
    <w:rsid w:val="00C9621F"/>
    <w:rsid w:val="00C9637C"/>
    <w:rsid w:val="00C97267"/>
    <w:rsid w:val="00C978BB"/>
    <w:rsid w:val="00CA01D7"/>
    <w:rsid w:val="00CA0250"/>
    <w:rsid w:val="00CA0481"/>
    <w:rsid w:val="00CA0490"/>
    <w:rsid w:val="00CA1C9E"/>
    <w:rsid w:val="00CA237C"/>
    <w:rsid w:val="00CA2E5F"/>
    <w:rsid w:val="00CA3299"/>
    <w:rsid w:val="00CA335B"/>
    <w:rsid w:val="00CA3C43"/>
    <w:rsid w:val="00CA3E9D"/>
    <w:rsid w:val="00CA3FF1"/>
    <w:rsid w:val="00CA4669"/>
    <w:rsid w:val="00CA46EF"/>
    <w:rsid w:val="00CA47B3"/>
    <w:rsid w:val="00CA4DCD"/>
    <w:rsid w:val="00CA5D56"/>
    <w:rsid w:val="00CA6733"/>
    <w:rsid w:val="00CA68E0"/>
    <w:rsid w:val="00CA6DE6"/>
    <w:rsid w:val="00CA719C"/>
    <w:rsid w:val="00CA7786"/>
    <w:rsid w:val="00CA7A05"/>
    <w:rsid w:val="00CA7B42"/>
    <w:rsid w:val="00CB02F7"/>
    <w:rsid w:val="00CB0510"/>
    <w:rsid w:val="00CB061B"/>
    <w:rsid w:val="00CB0D60"/>
    <w:rsid w:val="00CB0E9D"/>
    <w:rsid w:val="00CB0F1B"/>
    <w:rsid w:val="00CB1023"/>
    <w:rsid w:val="00CB1A69"/>
    <w:rsid w:val="00CB1F2A"/>
    <w:rsid w:val="00CB243F"/>
    <w:rsid w:val="00CB2CC1"/>
    <w:rsid w:val="00CB30A7"/>
    <w:rsid w:val="00CB325D"/>
    <w:rsid w:val="00CB3348"/>
    <w:rsid w:val="00CB342B"/>
    <w:rsid w:val="00CB374B"/>
    <w:rsid w:val="00CB4299"/>
    <w:rsid w:val="00CB4FF5"/>
    <w:rsid w:val="00CB5276"/>
    <w:rsid w:val="00CB57CA"/>
    <w:rsid w:val="00CB6912"/>
    <w:rsid w:val="00CB6CF4"/>
    <w:rsid w:val="00CB797D"/>
    <w:rsid w:val="00CC06ED"/>
    <w:rsid w:val="00CC0DFE"/>
    <w:rsid w:val="00CC0E67"/>
    <w:rsid w:val="00CC1735"/>
    <w:rsid w:val="00CC18CE"/>
    <w:rsid w:val="00CC1E33"/>
    <w:rsid w:val="00CC1FC6"/>
    <w:rsid w:val="00CC287D"/>
    <w:rsid w:val="00CC37BA"/>
    <w:rsid w:val="00CC4327"/>
    <w:rsid w:val="00CC4664"/>
    <w:rsid w:val="00CC5206"/>
    <w:rsid w:val="00CC53C1"/>
    <w:rsid w:val="00CC5AC7"/>
    <w:rsid w:val="00CC6418"/>
    <w:rsid w:val="00CC6BE9"/>
    <w:rsid w:val="00CC7DEC"/>
    <w:rsid w:val="00CC7E49"/>
    <w:rsid w:val="00CD01CF"/>
    <w:rsid w:val="00CD0B6E"/>
    <w:rsid w:val="00CD0DB1"/>
    <w:rsid w:val="00CD13BF"/>
    <w:rsid w:val="00CD1A04"/>
    <w:rsid w:val="00CD1AFA"/>
    <w:rsid w:val="00CD1B95"/>
    <w:rsid w:val="00CD1D0C"/>
    <w:rsid w:val="00CD21AF"/>
    <w:rsid w:val="00CD29CD"/>
    <w:rsid w:val="00CD2BD4"/>
    <w:rsid w:val="00CD309E"/>
    <w:rsid w:val="00CD3372"/>
    <w:rsid w:val="00CD33CB"/>
    <w:rsid w:val="00CD3E80"/>
    <w:rsid w:val="00CD43C5"/>
    <w:rsid w:val="00CD45F0"/>
    <w:rsid w:val="00CD4644"/>
    <w:rsid w:val="00CD4C48"/>
    <w:rsid w:val="00CD4D1C"/>
    <w:rsid w:val="00CD501F"/>
    <w:rsid w:val="00CD7558"/>
    <w:rsid w:val="00CD781D"/>
    <w:rsid w:val="00CD78A9"/>
    <w:rsid w:val="00CD7D09"/>
    <w:rsid w:val="00CE0042"/>
    <w:rsid w:val="00CE01A5"/>
    <w:rsid w:val="00CE02A7"/>
    <w:rsid w:val="00CE03F3"/>
    <w:rsid w:val="00CE0A5A"/>
    <w:rsid w:val="00CE0C08"/>
    <w:rsid w:val="00CE0FB5"/>
    <w:rsid w:val="00CE1423"/>
    <w:rsid w:val="00CE25EC"/>
    <w:rsid w:val="00CE2C9E"/>
    <w:rsid w:val="00CE3264"/>
    <w:rsid w:val="00CE3D85"/>
    <w:rsid w:val="00CE4454"/>
    <w:rsid w:val="00CE45B2"/>
    <w:rsid w:val="00CE49DE"/>
    <w:rsid w:val="00CE537B"/>
    <w:rsid w:val="00CE5509"/>
    <w:rsid w:val="00CE56DF"/>
    <w:rsid w:val="00CE5D8E"/>
    <w:rsid w:val="00CE5E87"/>
    <w:rsid w:val="00CE713D"/>
    <w:rsid w:val="00CE7E40"/>
    <w:rsid w:val="00CF00C9"/>
    <w:rsid w:val="00CF0313"/>
    <w:rsid w:val="00CF0324"/>
    <w:rsid w:val="00CF03DC"/>
    <w:rsid w:val="00CF043A"/>
    <w:rsid w:val="00CF0562"/>
    <w:rsid w:val="00CF0A05"/>
    <w:rsid w:val="00CF0BC5"/>
    <w:rsid w:val="00CF0E0A"/>
    <w:rsid w:val="00CF1204"/>
    <w:rsid w:val="00CF1775"/>
    <w:rsid w:val="00CF188F"/>
    <w:rsid w:val="00CF1F5D"/>
    <w:rsid w:val="00CF211C"/>
    <w:rsid w:val="00CF264B"/>
    <w:rsid w:val="00CF2D71"/>
    <w:rsid w:val="00CF2F19"/>
    <w:rsid w:val="00CF3182"/>
    <w:rsid w:val="00CF4151"/>
    <w:rsid w:val="00CF4F09"/>
    <w:rsid w:val="00CF4F1F"/>
    <w:rsid w:val="00CF4FE2"/>
    <w:rsid w:val="00CF50C7"/>
    <w:rsid w:val="00CF5A13"/>
    <w:rsid w:val="00CF636D"/>
    <w:rsid w:val="00CF67A1"/>
    <w:rsid w:val="00CF687B"/>
    <w:rsid w:val="00CF6A34"/>
    <w:rsid w:val="00CF6B92"/>
    <w:rsid w:val="00CF760A"/>
    <w:rsid w:val="00CF7D3D"/>
    <w:rsid w:val="00D00425"/>
    <w:rsid w:val="00D00987"/>
    <w:rsid w:val="00D00DA7"/>
    <w:rsid w:val="00D01665"/>
    <w:rsid w:val="00D01E44"/>
    <w:rsid w:val="00D02401"/>
    <w:rsid w:val="00D0242D"/>
    <w:rsid w:val="00D02977"/>
    <w:rsid w:val="00D03159"/>
    <w:rsid w:val="00D03216"/>
    <w:rsid w:val="00D0339D"/>
    <w:rsid w:val="00D033B1"/>
    <w:rsid w:val="00D03724"/>
    <w:rsid w:val="00D03AFD"/>
    <w:rsid w:val="00D03F46"/>
    <w:rsid w:val="00D04347"/>
    <w:rsid w:val="00D04764"/>
    <w:rsid w:val="00D04F97"/>
    <w:rsid w:val="00D052A0"/>
    <w:rsid w:val="00D05DAC"/>
    <w:rsid w:val="00D07806"/>
    <w:rsid w:val="00D07EC0"/>
    <w:rsid w:val="00D104E6"/>
    <w:rsid w:val="00D114C5"/>
    <w:rsid w:val="00D11EB2"/>
    <w:rsid w:val="00D12202"/>
    <w:rsid w:val="00D1251B"/>
    <w:rsid w:val="00D12872"/>
    <w:rsid w:val="00D13EF8"/>
    <w:rsid w:val="00D1443A"/>
    <w:rsid w:val="00D14E14"/>
    <w:rsid w:val="00D15405"/>
    <w:rsid w:val="00D16220"/>
    <w:rsid w:val="00D16923"/>
    <w:rsid w:val="00D17518"/>
    <w:rsid w:val="00D17599"/>
    <w:rsid w:val="00D17D0A"/>
    <w:rsid w:val="00D2093B"/>
    <w:rsid w:val="00D20B19"/>
    <w:rsid w:val="00D21C06"/>
    <w:rsid w:val="00D223CE"/>
    <w:rsid w:val="00D2267F"/>
    <w:rsid w:val="00D2366B"/>
    <w:rsid w:val="00D24283"/>
    <w:rsid w:val="00D244B5"/>
    <w:rsid w:val="00D245D7"/>
    <w:rsid w:val="00D245F1"/>
    <w:rsid w:val="00D25730"/>
    <w:rsid w:val="00D25B79"/>
    <w:rsid w:val="00D26345"/>
    <w:rsid w:val="00D268A6"/>
    <w:rsid w:val="00D26FA7"/>
    <w:rsid w:val="00D27382"/>
    <w:rsid w:val="00D274A4"/>
    <w:rsid w:val="00D27914"/>
    <w:rsid w:val="00D27B76"/>
    <w:rsid w:val="00D27F6C"/>
    <w:rsid w:val="00D308B1"/>
    <w:rsid w:val="00D308C0"/>
    <w:rsid w:val="00D30DB8"/>
    <w:rsid w:val="00D313E7"/>
    <w:rsid w:val="00D31731"/>
    <w:rsid w:val="00D31778"/>
    <w:rsid w:val="00D31A96"/>
    <w:rsid w:val="00D31D4E"/>
    <w:rsid w:val="00D31EC3"/>
    <w:rsid w:val="00D32078"/>
    <w:rsid w:val="00D32D56"/>
    <w:rsid w:val="00D333D4"/>
    <w:rsid w:val="00D343CF"/>
    <w:rsid w:val="00D34473"/>
    <w:rsid w:val="00D34A37"/>
    <w:rsid w:val="00D34FFC"/>
    <w:rsid w:val="00D3524A"/>
    <w:rsid w:val="00D35487"/>
    <w:rsid w:val="00D359FC"/>
    <w:rsid w:val="00D35A5C"/>
    <w:rsid w:val="00D3771C"/>
    <w:rsid w:val="00D40A50"/>
    <w:rsid w:val="00D4138D"/>
    <w:rsid w:val="00D415B7"/>
    <w:rsid w:val="00D41706"/>
    <w:rsid w:val="00D41982"/>
    <w:rsid w:val="00D41E26"/>
    <w:rsid w:val="00D424C7"/>
    <w:rsid w:val="00D42B5A"/>
    <w:rsid w:val="00D43FB3"/>
    <w:rsid w:val="00D44319"/>
    <w:rsid w:val="00D4435B"/>
    <w:rsid w:val="00D44459"/>
    <w:rsid w:val="00D44BEF"/>
    <w:rsid w:val="00D45247"/>
    <w:rsid w:val="00D45484"/>
    <w:rsid w:val="00D454B7"/>
    <w:rsid w:val="00D4597A"/>
    <w:rsid w:val="00D47A7C"/>
    <w:rsid w:val="00D50C34"/>
    <w:rsid w:val="00D50C69"/>
    <w:rsid w:val="00D512D0"/>
    <w:rsid w:val="00D515C6"/>
    <w:rsid w:val="00D5165B"/>
    <w:rsid w:val="00D527BB"/>
    <w:rsid w:val="00D53805"/>
    <w:rsid w:val="00D539E4"/>
    <w:rsid w:val="00D53F8E"/>
    <w:rsid w:val="00D542C4"/>
    <w:rsid w:val="00D54CE5"/>
    <w:rsid w:val="00D54CEF"/>
    <w:rsid w:val="00D553C8"/>
    <w:rsid w:val="00D55598"/>
    <w:rsid w:val="00D55759"/>
    <w:rsid w:val="00D55EE0"/>
    <w:rsid w:val="00D56754"/>
    <w:rsid w:val="00D60075"/>
    <w:rsid w:val="00D60659"/>
    <w:rsid w:val="00D60C22"/>
    <w:rsid w:val="00D60D04"/>
    <w:rsid w:val="00D61152"/>
    <w:rsid w:val="00D613A2"/>
    <w:rsid w:val="00D61A85"/>
    <w:rsid w:val="00D61E49"/>
    <w:rsid w:val="00D6260F"/>
    <w:rsid w:val="00D62DFF"/>
    <w:rsid w:val="00D6316A"/>
    <w:rsid w:val="00D637C3"/>
    <w:rsid w:val="00D63A09"/>
    <w:rsid w:val="00D63C31"/>
    <w:rsid w:val="00D64C75"/>
    <w:rsid w:val="00D65587"/>
    <w:rsid w:val="00D66236"/>
    <w:rsid w:val="00D666E8"/>
    <w:rsid w:val="00D67241"/>
    <w:rsid w:val="00D67FEC"/>
    <w:rsid w:val="00D7064B"/>
    <w:rsid w:val="00D70864"/>
    <w:rsid w:val="00D708C8"/>
    <w:rsid w:val="00D70A80"/>
    <w:rsid w:val="00D724D5"/>
    <w:rsid w:val="00D72779"/>
    <w:rsid w:val="00D72EFD"/>
    <w:rsid w:val="00D72F9B"/>
    <w:rsid w:val="00D73847"/>
    <w:rsid w:val="00D73A39"/>
    <w:rsid w:val="00D750EE"/>
    <w:rsid w:val="00D7524B"/>
    <w:rsid w:val="00D766C2"/>
    <w:rsid w:val="00D76A65"/>
    <w:rsid w:val="00D77B8C"/>
    <w:rsid w:val="00D800E4"/>
    <w:rsid w:val="00D80999"/>
    <w:rsid w:val="00D80B41"/>
    <w:rsid w:val="00D8133D"/>
    <w:rsid w:val="00D81421"/>
    <w:rsid w:val="00D81572"/>
    <w:rsid w:val="00D827B5"/>
    <w:rsid w:val="00D83370"/>
    <w:rsid w:val="00D833A6"/>
    <w:rsid w:val="00D84A3A"/>
    <w:rsid w:val="00D8543D"/>
    <w:rsid w:val="00D8594C"/>
    <w:rsid w:val="00D85ABA"/>
    <w:rsid w:val="00D86155"/>
    <w:rsid w:val="00D869BC"/>
    <w:rsid w:val="00D871CB"/>
    <w:rsid w:val="00D87326"/>
    <w:rsid w:val="00D876E8"/>
    <w:rsid w:val="00D908DD"/>
    <w:rsid w:val="00D910F0"/>
    <w:rsid w:val="00D91477"/>
    <w:rsid w:val="00D92314"/>
    <w:rsid w:val="00D94162"/>
    <w:rsid w:val="00D94685"/>
    <w:rsid w:val="00D95903"/>
    <w:rsid w:val="00D96122"/>
    <w:rsid w:val="00D96C9F"/>
    <w:rsid w:val="00D96E96"/>
    <w:rsid w:val="00D96EF8"/>
    <w:rsid w:val="00D96F9B"/>
    <w:rsid w:val="00D9730D"/>
    <w:rsid w:val="00D9768B"/>
    <w:rsid w:val="00DA0289"/>
    <w:rsid w:val="00DA0812"/>
    <w:rsid w:val="00DA15F9"/>
    <w:rsid w:val="00DA19F8"/>
    <w:rsid w:val="00DA1C71"/>
    <w:rsid w:val="00DA1CAC"/>
    <w:rsid w:val="00DA2413"/>
    <w:rsid w:val="00DA24B0"/>
    <w:rsid w:val="00DA2F5B"/>
    <w:rsid w:val="00DA3840"/>
    <w:rsid w:val="00DA3E20"/>
    <w:rsid w:val="00DA4811"/>
    <w:rsid w:val="00DA4C71"/>
    <w:rsid w:val="00DA5256"/>
    <w:rsid w:val="00DA5BD9"/>
    <w:rsid w:val="00DA5F0B"/>
    <w:rsid w:val="00DA5F5C"/>
    <w:rsid w:val="00DA6CA6"/>
    <w:rsid w:val="00DA6D6E"/>
    <w:rsid w:val="00DA6E9A"/>
    <w:rsid w:val="00DA7006"/>
    <w:rsid w:val="00DA71F5"/>
    <w:rsid w:val="00DA778F"/>
    <w:rsid w:val="00DB1BF9"/>
    <w:rsid w:val="00DB1C23"/>
    <w:rsid w:val="00DB1DCB"/>
    <w:rsid w:val="00DB201E"/>
    <w:rsid w:val="00DB2430"/>
    <w:rsid w:val="00DB26B8"/>
    <w:rsid w:val="00DB2A93"/>
    <w:rsid w:val="00DB2E18"/>
    <w:rsid w:val="00DB41FE"/>
    <w:rsid w:val="00DB5106"/>
    <w:rsid w:val="00DB5A6F"/>
    <w:rsid w:val="00DB6252"/>
    <w:rsid w:val="00DB6363"/>
    <w:rsid w:val="00DB64D5"/>
    <w:rsid w:val="00DB7CB9"/>
    <w:rsid w:val="00DB7FA8"/>
    <w:rsid w:val="00DC083E"/>
    <w:rsid w:val="00DC1202"/>
    <w:rsid w:val="00DC13BD"/>
    <w:rsid w:val="00DC1950"/>
    <w:rsid w:val="00DC19FB"/>
    <w:rsid w:val="00DC2371"/>
    <w:rsid w:val="00DC2695"/>
    <w:rsid w:val="00DC3330"/>
    <w:rsid w:val="00DC3ADB"/>
    <w:rsid w:val="00DC41DB"/>
    <w:rsid w:val="00DC4464"/>
    <w:rsid w:val="00DC50F0"/>
    <w:rsid w:val="00DC6822"/>
    <w:rsid w:val="00DC6FE7"/>
    <w:rsid w:val="00DC733E"/>
    <w:rsid w:val="00DC79F2"/>
    <w:rsid w:val="00DC7BAE"/>
    <w:rsid w:val="00DC7C32"/>
    <w:rsid w:val="00DD042A"/>
    <w:rsid w:val="00DD0482"/>
    <w:rsid w:val="00DD07A7"/>
    <w:rsid w:val="00DD07D6"/>
    <w:rsid w:val="00DD0FB8"/>
    <w:rsid w:val="00DD2605"/>
    <w:rsid w:val="00DD263C"/>
    <w:rsid w:val="00DD286B"/>
    <w:rsid w:val="00DD2D60"/>
    <w:rsid w:val="00DD3517"/>
    <w:rsid w:val="00DD40A9"/>
    <w:rsid w:val="00DD4157"/>
    <w:rsid w:val="00DD47C0"/>
    <w:rsid w:val="00DD4AD7"/>
    <w:rsid w:val="00DD4DDD"/>
    <w:rsid w:val="00DD51B0"/>
    <w:rsid w:val="00DD5203"/>
    <w:rsid w:val="00DD560D"/>
    <w:rsid w:val="00DD5726"/>
    <w:rsid w:val="00DD5860"/>
    <w:rsid w:val="00DD604D"/>
    <w:rsid w:val="00DD6352"/>
    <w:rsid w:val="00DD7347"/>
    <w:rsid w:val="00DD7428"/>
    <w:rsid w:val="00DD79FD"/>
    <w:rsid w:val="00DD7A3E"/>
    <w:rsid w:val="00DD7D25"/>
    <w:rsid w:val="00DE09AF"/>
    <w:rsid w:val="00DE0CCF"/>
    <w:rsid w:val="00DE0EE3"/>
    <w:rsid w:val="00DE1CB8"/>
    <w:rsid w:val="00DE1CFA"/>
    <w:rsid w:val="00DE217E"/>
    <w:rsid w:val="00DE247B"/>
    <w:rsid w:val="00DE2CE1"/>
    <w:rsid w:val="00DE2DFA"/>
    <w:rsid w:val="00DE32A0"/>
    <w:rsid w:val="00DE33FB"/>
    <w:rsid w:val="00DE3440"/>
    <w:rsid w:val="00DE375F"/>
    <w:rsid w:val="00DE3B31"/>
    <w:rsid w:val="00DE3BC1"/>
    <w:rsid w:val="00DE4398"/>
    <w:rsid w:val="00DE458F"/>
    <w:rsid w:val="00DE4AE5"/>
    <w:rsid w:val="00DE4FFA"/>
    <w:rsid w:val="00DE5E61"/>
    <w:rsid w:val="00DE6472"/>
    <w:rsid w:val="00DE7A07"/>
    <w:rsid w:val="00DE7A3C"/>
    <w:rsid w:val="00DE7B0E"/>
    <w:rsid w:val="00DE7EB9"/>
    <w:rsid w:val="00DF04BD"/>
    <w:rsid w:val="00DF089D"/>
    <w:rsid w:val="00DF09B5"/>
    <w:rsid w:val="00DF18F4"/>
    <w:rsid w:val="00DF1962"/>
    <w:rsid w:val="00DF2B6B"/>
    <w:rsid w:val="00DF2EB4"/>
    <w:rsid w:val="00DF322A"/>
    <w:rsid w:val="00DF363E"/>
    <w:rsid w:val="00DF37A8"/>
    <w:rsid w:val="00DF42C2"/>
    <w:rsid w:val="00DF43FF"/>
    <w:rsid w:val="00DF5250"/>
    <w:rsid w:val="00DF55BD"/>
    <w:rsid w:val="00DF6318"/>
    <w:rsid w:val="00DF66B6"/>
    <w:rsid w:val="00DF6BCA"/>
    <w:rsid w:val="00DF6F8F"/>
    <w:rsid w:val="00DF7154"/>
    <w:rsid w:val="00DF7226"/>
    <w:rsid w:val="00DF72E3"/>
    <w:rsid w:val="00DF7828"/>
    <w:rsid w:val="00E00863"/>
    <w:rsid w:val="00E00C99"/>
    <w:rsid w:val="00E00CC0"/>
    <w:rsid w:val="00E00E48"/>
    <w:rsid w:val="00E01072"/>
    <w:rsid w:val="00E011D1"/>
    <w:rsid w:val="00E0136A"/>
    <w:rsid w:val="00E0146C"/>
    <w:rsid w:val="00E01D32"/>
    <w:rsid w:val="00E01DB1"/>
    <w:rsid w:val="00E02023"/>
    <w:rsid w:val="00E0204B"/>
    <w:rsid w:val="00E028E7"/>
    <w:rsid w:val="00E031C9"/>
    <w:rsid w:val="00E0332A"/>
    <w:rsid w:val="00E03901"/>
    <w:rsid w:val="00E03944"/>
    <w:rsid w:val="00E03B3E"/>
    <w:rsid w:val="00E041A1"/>
    <w:rsid w:val="00E049F7"/>
    <w:rsid w:val="00E04AF4"/>
    <w:rsid w:val="00E0536F"/>
    <w:rsid w:val="00E053DF"/>
    <w:rsid w:val="00E05624"/>
    <w:rsid w:val="00E057CC"/>
    <w:rsid w:val="00E0598C"/>
    <w:rsid w:val="00E07075"/>
    <w:rsid w:val="00E07EE9"/>
    <w:rsid w:val="00E101B7"/>
    <w:rsid w:val="00E102BE"/>
    <w:rsid w:val="00E103E7"/>
    <w:rsid w:val="00E10A2F"/>
    <w:rsid w:val="00E114A0"/>
    <w:rsid w:val="00E126F7"/>
    <w:rsid w:val="00E12AA1"/>
    <w:rsid w:val="00E133BC"/>
    <w:rsid w:val="00E13702"/>
    <w:rsid w:val="00E137AF"/>
    <w:rsid w:val="00E13B56"/>
    <w:rsid w:val="00E13E73"/>
    <w:rsid w:val="00E142FF"/>
    <w:rsid w:val="00E14456"/>
    <w:rsid w:val="00E145E6"/>
    <w:rsid w:val="00E15A66"/>
    <w:rsid w:val="00E15DF1"/>
    <w:rsid w:val="00E15F21"/>
    <w:rsid w:val="00E16E4C"/>
    <w:rsid w:val="00E16EE6"/>
    <w:rsid w:val="00E17FA7"/>
    <w:rsid w:val="00E207CC"/>
    <w:rsid w:val="00E21280"/>
    <w:rsid w:val="00E212A1"/>
    <w:rsid w:val="00E216EE"/>
    <w:rsid w:val="00E21D2E"/>
    <w:rsid w:val="00E223C7"/>
    <w:rsid w:val="00E2277E"/>
    <w:rsid w:val="00E22AFE"/>
    <w:rsid w:val="00E22C8D"/>
    <w:rsid w:val="00E231DB"/>
    <w:rsid w:val="00E2377B"/>
    <w:rsid w:val="00E239CE"/>
    <w:rsid w:val="00E24F13"/>
    <w:rsid w:val="00E250EB"/>
    <w:rsid w:val="00E251D3"/>
    <w:rsid w:val="00E25543"/>
    <w:rsid w:val="00E25963"/>
    <w:rsid w:val="00E25EBF"/>
    <w:rsid w:val="00E25F35"/>
    <w:rsid w:val="00E25FA9"/>
    <w:rsid w:val="00E260B6"/>
    <w:rsid w:val="00E26187"/>
    <w:rsid w:val="00E26517"/>
    <w:rsid w:val="00E269D6"/>
    <w:rsid w:val="00E26CB7"/>
    <w:rsid w:val="00E27051"/>
    <w:rsid w:val="00E274B0"/>
    <w:rsid w:val="00E27563"/>
    <w:rsid w:val="00E30E62"/>
    <w:rsid w:val="00E314FB"/>
    <w:rsid w:val="00E31FBD"/>
    <w:rsid w:val="00E336A1"/>
    <w:rsid w:val="00E339E7"/>
    <w:rsid w:val="00E33E49"/>
    <w:rsid w:val="00E34865"/>
    <w:rsid w:val="00E34977"/>
    <w:rsid w:val="00E3498F"/>
    <w:rsid w:val="00E34A29"/>
    <w:rsid w:val="00E34ABC"/>
    <w:rsid w:val="00E3524B"/>
    <w:rsid w:val="00E3647D"/>
    <w:rsid w:val="00E36A28"/>
    <w:rsid w:val="00E3725A"/>
    <w:rsid w:val="00E3732C"/>
    <w:rsid w:val="00E37417"/>
    <w:rsid w:val="00E40210"/>
    <w:rsid w:val="00E40444"/>
    <w:rsid w:val="00E407B3"/>
    <w:rsid w:val="00E40F2F"/>
    <w:rsid w:val="00E40FE7"/>
    <w:rsid w:val="00E417F6"/>
    <w:rsid w:val="00E41858"/>
    <w:rsid w:val="00E41A49"/>
    <w:rsid w:val="00E4247B"/>
    <w:rsid w:val="00E42960"/>
    <w:rsid w:val="00E43065"/>
    <w:rsid w:val="00E43074"/>
    <w:rsid w:val="00E434B7"/>
    <w:rsid w:val="00E43A03"/>
    <w:rsid w:val="00E43F2F"/>
    <w:rsid w:val="00E44BE1"/>
    <w:rsid w:val="00E44D0F"/>
    <w:rsid w:val="00E4548A"/>
    <w:rsid w:val="00E4633C"/>
    <w:rsid w:val="00E46377"/>
    <w:rsid w:val="00E4643F"/>
    <w:rsid w:val="00E464AB"/>
    <w:rsid w:val="00E46A2B"/>
    <w:rsid w:val="00E47108"/>
    <w:rsid w:val="00E47456"/>
    <w:rsid w:val="00E47AAE"/>
    <w:rsid w:val="00E50AFE"/>
    <w:rsid w:val="00E50C95"/>
    <w:rsid w:val="00E50D24"/>
    <w:rsid w:val="00E512A6"/>
    <w:rsid w:val="00E512DF"/>
    <w:rsid w:val="00E5161B"/>
    <w:rsid w:val="00E51709"/>
    <w:rsid w:val="00E51A8D"/>
    <w:rsid w:val="00E51EB1"/>
    <w:rsid w:val="00E52C35"/>
    <w:rsid w:val="00E52F43"/>
    <w:rsid w:val="00E534F8"/>
    <w:rsid w:val="00E53702"/>
    <w:rsid w:val="00E53AE2"/>
    <w:rsid w:val="00E544AF"/>
    <w:rsid w:val="00E54F13"/>
    <w:rsid w:val="00E553B0"/>
    <w:rsid w:val="00E555E4"/>
    <w:rsid w:val="00E558A6"/>
    <w:rsid w:val="00E55D50"/>
    <w:rsid w:val="00E5619A"/>
    <w:rsid w:val="00E5644B"/>
    <w:rsid w:val="00E57803"/>
    <w:rsid w:val="00E5785D"/>
    <w:rsid w:val="00E60483"/>
    <w:rsid w:val="00E61BA5"/>
    <w:rsid w:val="00E61DF6"/>
    <w:rsid w:val="00E61E25"/>
    <w:rsid w:val="00E624E1"/>
    <w:rsid w:val="00E62DA8"/>
    <w:rsid w:val="00E62DAB"/>
    <w:rsid w:val="00E63300"/>
    <w:rsid w:val="00E6361A"/>
    <w:rsid w:val="00E639E1"/>
    <w:rsid w:val="00E63A0E"/>
    <w:rsid w:val="00E63B73"/>
    <w:rsid w:val="00E64336"/>
    <w:rsid w:val="00E65BE3"/>
    <w:rsid w:val="00E65D10"/>
    <w:rsid w:val="00E66805"/>
    <w:rsid w:val="00E673B0"/>
    <w:rsid w:val="00E67690"/>
    <w:rsid w:val="00E67FF2"/>
    <w:rsid w:val="00E70014"/>
    <w:rsid w:val="00E70047"/>
    <w:rsid w:val="00E70981"/>
    <w:rsid w:val="00E70C9E"/>
    <w:rsid w:val="00E713BF"/>
    <w:rsid w:val="00E714AE"/>
    <w:rsid w:val="00E71578"/>
    <w:rsid w:val="00E7181F"/>
    <w:rsid w:val="00E720A4"/>
    <w:rsid w:val="00E7243C"/>
    <w:rsid w:val="00E72455"/>
    <w:rsid w:val="00E730E1"/>
    <w:rsid w:val="00E737E7"/>
    <w:rsid w:val="00E738DD"/>
    <w:rsid w:val="00E74CE9"/>
    <w:rsid w:val="00E7518E"/>
    <w:rsid w:val="00E751A8"/>
    <w:rsid w:val="00E75A15"/>
    <w:rsid w:val="00E76A6F"/>
    <w:rsid w:val="00E76D12"/>
    <w:rsid w:val="00E77587"/>
    <w:rsid w:val="00E77EB3"/>
    <w:rsid w:val="00E77F6D"/>
    <w:rsid w:val="00E80774"/>
    <w:rsid w:val="00E8127E"/>
    <w:rsid w:val="00E812F7"/>
    <w:rsid w:val="00E81B4A"/>
    <w:rsid w:val="00E8208C"/>
    <w:rsid w:val="00E82815"/>
    <w:rsid w:val="00E83438"/>
    <w:rsid w:val="00E846E7"/>
    <w:rsid w:val="00E847F2"/>
    <w:rsid w:val="00E85229"/>
    <w:rsid w:val="00E85329"/>
    <w:rsid w:val="00E854ED"/>
    <w:rsid w:val="00E85674"/>
    <w:rsid w:val="00E8615C"/>
    <w:rsid w:val="00E86AE5"/>
    <w:rsid w:val="00E86BCB"/>
    <w:rsid w:val="00E86FF7"/>
    <w:rsid w:val="00E877E5"/>
    <w:rsid w:val="00E87A11"/>
    <w:rsid w:val="00E900EB"/>
    <w:rsid w:val="00E902AD"/>
    <w:rsid w:val="00E903AC"/>
    <w:rsid w:val="00E9065E"/>
    <w:rsid w:val="00E90B16"/>
    <w:rsid w:val="00E90F40"/>
    <w:rsid w:val="00E913E5"/>
    <w:rsid w:val="00E9168B"/>
    <w:rsid w:val="00E91EF6"/>
    <w:rsid w:val="00E92B3C"/>
    <w:rsid w:val="00E92F31"/>
    <w:rsid w:val="00E93AE9"/>
    <w:rsid w:val="00E93B6E"/>
    <w:rsid w:val="00E93C9B"/>
    <w:rsid w:val="00E93EF8"/>
    <w:rsid w:val="00E9418C"/>
    <w:rsid w:val="00E9512D"/>
    <w:rsid w:val="00E9536D"/>
    <w:rsid w:val="00E95E77"/>
    <w:rsid w:val="00E9621E"/>
    <w:rsid w:val="00E965FF"/>
    <w:rsid w:val="00E96705"/>
    <w:rsid w:val="00E96A39"/>
    <w:rsid w:val="00E97E25"/>
    <w:rsid w:val="00EA090F"/>
    <w:rsid w:val="00EA0BBF"/>
    <w:rsid w:val="00EA0C18"/>
    <w:rsid w:val="00EA1986"/>
    <w:rsid w:val="00EA23AC"/>
    <w:rsid w:val="00EA26F1"/>
    <w:rsid w:val="00EA28C1"/>
    <w:rsid w:val="00EA2FBF"/>
    <w:rsid w:val="00EA31A5"/>
    <w:rsid w:val="00EA3495"/>
    <w:rsid w:val="00EA3D81"/>
    <w:rsid w:val="00EA3F9D"/>
    <w:rsid w:val="00EA43C1"/>
    <w:rsid w:val="00EA48BA"/>
    <w:rsid w:val="00EA4B8E"/>
    <w:rsid w:val="00EA4DB7"/>
    <w:rsid w:val="00EA5151"/>
    <w:rsid w:val="00EA670F"/>
    <w:rsid w:val="00EA6925"/>
    <w:rsid w:val="00EA7437"/>
    <w:rsid w:val="00EA78FE"/>
    <w:rsid w:val="00EA7E66"/>
    <w:rsid w:val="00EB002A"/>
    <w:rsid w:val="00EB1BBB"/>
    <w:rsid w:val="00EB1F34"/>
    <w:rsid w:val="00EB25AE"/>
    <w:rsid w:val="00EB2B06"/>
    <w:rsid w:val="00EB32A8"/>
    <w:rsid w:val="00EB3A4D"/>
    <w:rsid w:val="00EB3AD9"/>
    <w:rsid w:val="00EB3AF1"/>
    <w:rsid w:val="00EB4F6B"/>
    <w:rsid w:val="00EB50C0"/>
    <w:rsid w:val="00EB510B"/>
    <w:rsid w:val="00EB57F5"/>
    <w:rsid w:val="00EB5809"/>
    <w:rsid w:val="00EB5F63"/>
    <w:rsid w:val="00EB72A1"/>
    <w:rsid w:val="00EB73E0"/>
    <w:rsid w:val="00EB7618"/>
    <w:rsid w:val="00EB781C"/>
    <w:rsid w:val="00EB7BBC"/>
    <w:rsid w:val="00EB7BCF"/>
    <w:rsid w:val="00EC0312"/>
    <w:rsid w:val="00EC16C5"/>
    <w:rsid w:val="00EC1FA7"/>
    <w:rsid w:val="00EC37EF"/>
    <w:rsid w:val="00EC394A"/>
    <w:rsid w:val="00EC3EAA"/>
    <w:rsid w:val="00EC3F67"/>
    <w:rsid w:val="00EC4F79"/>
    <w:rsid w:val="00EC544B"/>
    <w:rsid w:val="00EC6133"/>
    <w:rsid w:val="00EC6197"/>
    <w:rsid w:val="00EC6362"/>
    <w:rsid w:val="00EC6416"/>
    <w:rsid w:val="00EC73AF"/>
    <w:rsid w:val="00EC7CED"/>
    <w:rsid w:val="00EC7DE7"/>
    <w:rsid w:val="00ED0247"/>
    <w:rsid w:val="00ED0357"/>
    <w:rsid w:val="00ED0D08"/>
    <w:rsid w:val="00ED0F63"/>
    <w:rsid w:val="00ED1027"/>
    <w:rsid w:val="00ED1C37"/>
    <w:rsid w:val="00ED1C4A"/>
    <w:rsid w:val="00ED531B"/>
    <w:rsid w:val="00ED534E"/>
    <w:rsid w:val="00ED5352"/>
    <w:rsid w:val="00ED54B3"/>
    <w:rsid w:val="00ED550D"/>
    <w:rsid w:val="00ED6034"/>
    <w:rsid w:val="00ED6245"/>
    <w:rsid w:val="00ED71D4"/>
    <w:rsid w:val="00EE0BFE"/>
    <w:rsid w:val="00EE17C5"/>
    <w:rsid w:val="00EE17EB"/>
    <w:rsid w:val="00EE195F"/>
    <w:rsid w:val="00EE197F"/>
    <w:rsid w:val="00EE199F"/>
    <w:rsid w:val="00EE1BF7"/>
    <w:rsid w:val="00EE201C"/>
    <w:rsid w:val="00EE2B4C"/>
    <w:rsid w:val="00EE2C9F"/>
    <w:rsid w:val="00EE2F41"/>
    <w:rsid w:val="00EE338F"/>
    <w:rsid w:val="00EE3551"/>
    <w:rsid w:val="00EE3BBE"/>
    <w:rsid w:val="00EE40B2"/>
    <w:rsid w:val="00EE41A9"/>
    <w:rsid w:val="00EE43D7"/>
    <w:rsid w:val="00EE4845"/>
    <w:rsid w:val="00EE527B"/>
    <w:rsid w:val="00EE5561"/>
    <w:rsid w:val="00EE5F3E"/>
    <w:rsid w:val="00EE6021"/>
    <w:rsid w:val="00EE6868"/>
    <w:rsid w:val="00EE7546"/>
    <w:rsid w:val="00EE7957"/>
    <w:rsid w:val="00EF013A"/>
    <w:rsid w:val="00EF06D7"/>
    <w:rsid w:val="00EF167F"/>
    <w:rsid w:val="00EF1DB3"/>
    <w:rsid w:val="00EF217F"/>
    <w:rsid w:val="00EF2580"/>
    <w:rsid w:val="00EF2581"/>
    <w:rsid w:val="00EF2B16"/>
    <w:rsid w:val="00EF2B80"/>
    <w:rsid w:val="00EF3146"/>
    <w:rsid w:val="00EF3186"/>
    <w:rsid w:val="00EF3220"/>
    <w:rsid w:val="00EF36AE"/>
    <w:rsid w:val="00EF3D98"/>
    <w:rsid w:val="00EF3F93"/>
    <w:rsid w:val="00EF494F"/>
    <w:rsid w:val="00EF49C4"/>
    <w:rsid w:val="00EF4B90"/>
    <w:rsid w:val="00EF539A"/>
    <w:rsid w:val="00EF607F"/>
    <w:rsid w:val="00EF6109"/>
    <w:rsid w:val="00EF67FF"/>
    <w:rsid w:val="00EF6B38"/>
    <w:rsid w:val="00EF6C9E"/>
    <w:rsid w:val="00EF6DA3"/>
    <w:rsid w:val="00EF73B7"/>
    <w:rsid w:val="00EF73CB"/>
    <w:rsid w:val="00EF7778"/>
    <w:rsid w:val="00EF7BD2"/>
    <w:rsid w:val="00F00BC4"/>
    <w:rsid w:val="00F0156D"/>
    <w:rsid w:val="00F015CB"/>
    <w:rsid w:val="00F03BFB"/>
    <w:rsid w:val="00F03E37"/>
    <w:rsid w:val="00F03E74"/>
    <w:rsid w:val="00F044EF"/>
    <w:rsid w:val="00F0462D"/>
    <w:rsid w:val="00F04D04"/>
    <w:rsid w:val="00F05E5E"/>
    <w:rsid w:val="00F063F1"/>
    <w:rsid w:val="00F066DE"/>
    <w:rsid w:val="00F067F2"/>
    <w:rsid w:val="00F06BC9"/>
    <w:rsid w:val="00F07203"/>
    <w:rsid w:val="00F072C1"/>
    <w:rsid w:val="00F076F5"/>
    <w:rsid w:val="00F07938"/>
    <w:rsid w:val="00F07DE7"/>
    <w:rsid w:val="00F07E20"/>
    <w:rsid w:val="00F10146"/>
    <w:rsid w:val="00F10400"/>
    <w:rsid w:val="00F115AF"/>
    <w:rsid w:val="00F11710"/>
    <w:rsid w:val="00F117FD"/>
    <w:rsid w:val="00F120A7"/>
    <w:rsid w:val="00F1308E"/>
    <w:rsid w:val="00F1379D"/>
    <w:rsid w:val="00F139C4"/>
    <w:rsid w:val="00F142D4"/>
    <w:rsid w:val="00F14556"/>
    <w:rsid w:val="00F14DFA"/>
    <w:rsid w:val="00F14E56"/>
    <w:rsid w:val="00F14F07"/>
    <w:rsid w:val="00F150D0"/>
    <w:rsid w:val="00F15B22"/>
    <w:rsid w:val="00F16111"/>
    <w:rsid w:val="00F169C4"/>
    <w:rsid w:val="00F16E34"/>
    <w:rsid w:val="00F172A4"/>
    <w:rsid w:val="00F177CB"/>
    <w:rsid w:val="00F206F7"/>
    <w:rsid w:val="00F20FCC"/>
    <w:rsid w:val="00F2133C"/>
    <w:rsid w:val="00F2143F"/>
    <w:rsid w:val="00F21474"/>
    <w:rsid w:val="00F21D6A"/>
    <w:rsid w:val="00F23744"/>
    <w:rsid w:val="00F23E39"/>
    <w:rsid w:val="00F24050"/>
    <w:rsid w:val="00F24056"/>
    <w:rsid w:val="00F249F0"/>
    <w:rsid w:val="00F25792"/>
    <w:rsid w:val="00F25885"/>
    <w:rsid w:val="00F26BAD"/>
    <w:rsid w:val="00F273C6"/>
    <w:rsid w:val="00F2760E"/>
    <w:rsid w:val="00F304D2"/>
    <w:rsid w:val="00F31EC2"/>
    <w:rsid w:val="00F3257E"/>
    <w:rsid w:val="00F32A84"/>
    <w:rsid w:val="00F33020"/>
    <w:rsid w:val="00F33131"/>
    <w:rsid w:val="00F33420"/>
    <w:rsid w:val="00F33F19"/>
    <w:rsid w:val="00F34640"/>
    <w:rsid w:val="00F347E9"/>
    <w:rsid w:val="00F35016"/>
    <w:rsid w:val="00F350F1"/>
    <w:rsid w:val="00F3552A"/>
    <w:rsid w:val="00F355A4"/>
    <w:rsid w:val="00F35E03"/>
    <w:rsid w:val="00F361A3"/>
    <w:rsid w:val="00F364A2"/>
    <w:rsid w:val="00F3660E"/>
    <w:rsid w:val="00F37A5F"/>
    <w:rsid w:val="00F37C7A"/>
    <w:rsid w:val="00F4047A"/>
    <w:rsid w:val="00F408E5"/>
    <w:rsid w:val="00F40B07"/>
    <w:rsid w:val="00F415AE"/>
    <w:rsid w:val="00F415CF"/>
    <w:rsid w:val="00F415DF"/>
    <w:rsid w:val="00F41E8D"/>
    <w:rsid w:val="00F4203D"/>
    <w:rsid w:val="00F42202"/>
    <w:rsid w:val="00F4296E"/>
    <w:rsid w:val="00F429F2"/>
    <w:rsid w:val="00F42D87"/>
    <w:rsid w:val="00F42DB9"/>
    <w:rsid w:val="00F431C5"/>
    <w:rsid w:val="00F437F8"/>
    <w:rsid w:val="00F4396B"/>
    <w:rsid w:val="00F4453D"/>
    <w:rsid w:val="00F45987"/>
    <w:rsid w:val="00F465B6"/>
    <w:rsid w:val="00F46C7E"/>
    <w:rsid w:val="00F47332"/>
    <w:rsid w:val="00F4744D"/>
    <w:rsid w:val="00F4751A"/>
    <w:rsid w:val="00F475DE"/>
    <w:rsid w:val="00F47D55"/>
    <w:rsid w:val="00F504AF"/>
    <w:rsid w:val="00F50920"/>
    <w:rsid w:val="00F50C05"/>
    <w:rsid w:val="00F50CB8"/>
    <w:rsid w:val="00F5136C"/>
    <w:rsid w:val="00F514E3"/>
    <w:rsid w:val="00F51AB0"/>
    <w:rsid w:val="00F52364"/>
    <w:rsid w:val="00F53122"/>
    <w:rsid w:val="00F547C8"/>
    <w:rsid w:val="00F54D6B"/>
    <w:rsid w:val="00F55355"/>
    <w:rsid w:val="00F55ADD"/>
    <w:rsid w:val="00F55F83"/>
    <w:rsid w:val="00F57746"/>
    <w:rsid w:val="00F57C6C"/>
    <w:rsid w:val="00F603FD"/>
    <w:rsid w:val="00F60CDD"/>
    <w:rsid w:val="00F60E1C"/>
    <w:rsid w:val="00F60F0D"/>
    <w:rsid w:val="00F61185"/>
    <w:rsid w:val="00F6136E"/>
    <w:rsid w:val="00F614AE"/>
    <w:rsid w:val="00F61C2C"/>
    <w:rsid w:val="00F61E33"/>
    <w:rsid w:val="00F62727"/>
    <w:rsid w:val="00F628F4"/>
    <w:rsid w:val="00F62AB7"/>
    <w:rsid w:val="00F63DD7"/>
    <w:rsid w:val="00F63F45"/>
    <w:rsid w:val="00F64389"/>
    <w:rsid w:val="00F644DD"/>
    <w:rsid w:val="00F64E83"/>
    <w:rsid w:val="00F659FC"/>
    <w:rsid w:val="00F65A1E"/>
    <w:rsid w:val="00F65BDE"/>
    <w:rsid w:val="00F6645A"/>
    <w:rsid w:val="00F6678A"/>
    <w:rsid w:val="00F674F8"/>
    <w:rsid w:val="00F6759F"/>
    <w:rsid w:val="00F678B3"/>
    <w:rsid w:val="00F6793A"/>
    <w:rsid w:val="00F67B0D"/>
    <w:rsid w:val="00F67ED5"/>
    <w:rsid w:val="00F71090"/>
    <w:rsid w:val="00F711ED"/>
    <w:rsid w:val="00F7165E"/>
    <w:rsid w:val="00F71B96"/>
    <w:rsid w:val="00F71FFB"/>
    <w:rsid w:val="00F720C0"/>
    <w:rsid w:val="00F72437"/>
    <w:rsid w:val="00F732C5"/>
    <w:rsid w:val="00F734C7"/>
    <w:rsid w:val="00F735E2"/>
    <w:rsid w:val="00F7378E"/>
    <w:rsid w:val="00F73822"/>
    <w:rsid w:val="00F742E6"/>
    <w:rsid w:val="00F7469A"/>
    <w:rsid w:val="00F746C2"/>
    <w:rsid w:val="00F746C4"/>
    <w:rsid w:val="00F749C0"/>
    <w:rsid w:val="00F74C7E"/>
    <w:rsid w:val="00F74E74"/>
    <w:rsid w:val="00F753A7"/>
    <w:rsid w:val="00F75B3C"/>
    <w:rsid w:val="00F760C4"/>
    <w:rsid w:val="00F762FE"/>
    <w:rsid w:val="00F7667D"/>
    <w:rsid w:val="00F768F5"/>
    <w:rsid w:val="00F768F9"/>
    <w:rsid w:val="00F7696D"/>
    <w:rsid w:val="00F7721A"/>
    <w:rsid w:val="00F77F2B"/>
    <w:rsid w:val="00F807B6"/>
    <w:rsid w:val="00F808ED"/>
    <w:rsid w:val="00F80C90"/>
    <w:rsid w:val="00F80E68"/>
    <w:rsid w:val="00F811BD"/>
    <w:rsid w:val="00F81F5D"/>
    <w:rsid w:val="00F820A9"/>
    <w:rsid w:val="00F82256"/>
    <w:rsid w:val="00F822D7"/>
    <w:rsid w:val="00F82749"/>
    <w:rsid w:val="00F82F44"/>
    <w:rsid w:val="00F831D4"/>
    <w:rsid w:val="00F83462"/>
    <w:rsid w:val="00F83767"/>
    <w:rsid w:val="00F83FA1"/>
    <w:rsid w:val="00F848F7"/>
    <w:rsid w:val="00F84C21"/>
    <w:rsid w:val="00F84D46"/>
    <w:rsid w:val="00F84D5A"/>
    <w:rsid w:val="00F8524A"/>
    <w:rsid w:val="00F85FC0"/>
    <w:rsid w:val="00F86136"/>
    <w:rsid w:val="00F8651B"/>
    <w:rsid w:val="00F865A5"/>
    <w:rsid w:val="00F87906"/>
    <w:rsid w:val="00F879BA"/>
    <w:rsid w:val="00F90541"/>
    <w:rsid w:val="00F90DE7"/>
    <w:rsid w:val="00F92152"/>
    <w:rsid w:val="00F926E5"/>
    <w:rsid w:val="00F92E30"/>
    <w:rsid w:val="00F930D2"/>
    <w:rsid w:val="00F93F68"/>
    <w:rsid w:val="00F941AF"/>
    <w:rsid w:val="00F9431F"/>
    <w:rsid w:val="00F94624"/>
    <w:rsid w:val="00F94AB7"/>
    <w:rsid w:val="00F94DE7"/>
    <w:rsid w:val="00F94E53"/>
    <w:rsid w:val="00F953DF"/>
    <w:rsid w:val="00F95939"/>
    <w:rsid w:val="00F95A2D"/>
    <w:rsid w:val="00F966E9"/>
    <w:rsid w:val="00F968F6"/>
    <w:rsid w:val="00F96B57"/>
    <w:rsid w:val="00F96E7D"/>
    <w:rsid w:val="00F96E8A"/>
    <w:rsid w:val="00F9707C"/>
    <w:rsid w:val="00F97709"/>
    <w:rsid w:val="00F97B32"/>
    <w:rsid w:val="00FA063B"/>
    <w:rsid w:val="00FA0CE2"/>
    <w:rsid w:val="00FA17FF"/>
    <w:rsid w:val="00FA19B6"/>
    <w:rsid w:val="00FA1ED5"/>
    <w:rsid w:val="00FA2685"/>
    <w:rsid w:val="00FA28AD"/>
    <w:rsid w:val="00FA2A2D"/>
    <w:rsid w:val="00FA2DCA"/>
    <w:rsid w:val="00FA304B"/>
    <w:rsid w:val="00FA3C98"/>
    <w:rsid w:val="00FA4571"/>
    <w:rsid w:val="00FA4708"/>
    <w:rsid w:val="00FA48F6"/>
    <w:rsid w:val="00FA512D"/>
    <w:rsid w:val="00FA526A"/>
    <w:rsid w:val="00FA5292"/>
    <w:rsid w:val="00FA5998"/>
    <w:rsid w:val="00FA5DD8"/>
    <w:rsid w:val="00FA62A1"/>
    <w:rsid w:val="00FA63D4"/>
    <w:rsid w:val="00FA6ACA"/>
    <w:rsid w:val="00FA6D8E"/>
    <w:rsid w:val="00FA6F6D"/>
    <w:rsid w:val="00FA7F4B"/>
    <w:rsid w:val="00FB00EB"/>
    <w:rsid w:val="00FB0154"/>
    <w:rsid w:val="00FB07D9"/>
    <w:rsid w:val="00FB0A75"/>
    <w:rsid w:val="00FB210F"/>
    <w:rsid w:val="00FB2852"/>
    <w:rsid w:val="00FB2AB8"/>
    <w:rsid w:val="00FB2B60"/>
    <w:rsid w:val="00FB2BDA"/>
    <w:rsid w:val="00FB2C4B"/>
    <w:rsid w:val="00FB30DA"/>
    <w:rsid w:val="00FB312B"/>
    <w:rsid w:val="00FB3A44"/>
    <w:rsid w:val="00FB3B2A"/>
    <w:rsid w:val="00FB3BAB"/>
    <w:rsid w:val="00FB3FC7"/>
    <w:rsid w:val="00FB43E6"/>
    <w:rsid w:val="00FB44B7"/>
    <w:rsid w:val="00FB47C4"/>
    <w:rsid w:val="00FB48A8"/>
    <w:rsid w:val="00FB4B3B"/>
    <w:rsid w:val="00FB4D1A"/>
    <w:rsid w:val="00FB5932"/>
    <w:rsid w:val="00FB5F58"/>
    <w:rsid w:val="00FB6627"/>
    <w:rsid w:val="00FB6723"/>
    <w:rsid w:val="00FB68DB"/>
    <w:rsid w:val="00FB6BA2"/>
    <w:rsid w:val="00FB7393"/>
    <w:rsid w:val="00FC09D7"/>
    <w:rsid w:val="00FC0BAC"/>
    <w:rsid w:val="00FC0BE6"/>
    <w:rsid w:val="00FC0ECC"/>
    <w:rsid w:val="00FC0FE8"/>
    <w:rsid w:val="00FC176A"/>
    <w:rsid w:val="00FC1EA5"/>
    <w:rsid w:val="00FC21E8"/>
    <w:rsid w:val="00FC22BB"/>
    <w:rsid w:val="00FC22EB"/>
    <w:rsid w:val="00FC2B65"/>
    <w:rsid w:val="00FC2E1D"/>
    <w:rsid w:val="00FC30A1"/>
    <w:rsid w:val="00FC3831"/>
    <w:rsid w:val="00FC3A39"/>
    <w:rsid w:val="00FC3EFE"/>
    <w:rsid w:val="00FC41C5"/>
    <w:rsid w:val="00FC43C1"/>
    <w:rsid w:val="00FC463E"/>
    <w:rsid w:val="00FC5A1D"/>
    <w:rsid w:val="00FC625D"/>
    <w:rsid w:val="00FC628E"/>
    <w:rsid w:val="00FC7127"/>
    <w:rsid w:val="00FC7E83"/>
    <w:rsid w:val="00FD0511"/>
    <w:rsid w:val="00FD06A3"/>
    <w:rsid w:val="00FD0DD6"/>
    <w:rsid w:val="00FD11B0"/>
    <w:rsid w:val="00FD17A1"/>
    <w:rsid w:val="00FD1FA4"/>
    <w:rsid w:val="00FD2022"/>
    <w:rsid w:val="00FD21C9"/>
    <w:rsid w:val="00FD229D"/>
    <w:rsid w:val="00FD2BA7"/>
    <w:rsid w:val="00FD3C7F"/>
    <w:rsid w:val="00FD3CBC"/>
    <w:rsid w:val="00FD40C2"/>
    <w:rsid w:val="00FD4118"/>
    <w:rsid w:val="00FD490B"/>
    <w:rsid w:val="00FD49B6"/>
    <w:rsid w:val="00FD5AA9"/>
    <w:rsid w:val="00FD5EEA"/>
    <w:rsid w:val="00FD6F13"/>
    <w:rsid w:val="00FE0AA7"/>
    <w:rsid w:val="00FE0AB7"/>
    <w:rsid w:val="00FE0EBC"/>
    <w:rsid w:val="00FE2069"/>
    <w:rsid w:val="00FE22A2"/>
    <w:rsid w:val="00FE2361"/>
    <w:rsid w:val="00FE2BBC"/>
    <w:rsid w:val="00FE38C6"/>
    <w:rsid w:val="00FE3904"/>
    <w:rsid w:val="00FE4C54"/>
    <w:rsid w:val="00FE58E7"/>
    <w:rsid w:val="00FE5D48"/>
    <w:rsid w:val="00FE5E19"/>
    <w:rsid w:val="00FE5E6E"/>
    <w:rsid w:val="00FE713C"/>
    <w:rsid w:val="00FE7D27"/>
    <w:rsid w:val="00FE7E8A"/>
    <w:rsid w:val="00FF025F"/>
    <w:rsid w:val="00FF03AD"/>
    <w:rsid w:val="00FF03CC"/>
    <w:rsid w:val="00FF0575"/>
    <w:rsid w:val="00FF0A1A"/>
    <w:rsid w:val="00FF0D73"/>
    <w:rsid w:val="00FF1321"/>
    <w:rsid w:val="00FF1429"/>
    <w:rsid w:val="00FF1C0B"/>
    <w:rsid w:val="00FF267F"/>
    <w:rsid w:val="00FF32EC"/>
    <w:rsid w:val="00FF34B1"/>
    <w:rsid w:val="00FF4171"/>
    <w:rsid w:val="00FF4374"/>
    <w:rsid w:val="00FF4A8E"/>
    <w:rsid w:val="00FF4EC9"/>
    <w:rsid w:val="00FF5117"/>
    <w:rsid w:val="00FF5386"/>
    <w:rsid w:val="00FF5712"/>
    <w:rsid w:val="00FF58C4"/>
    <w:rsid w:val="00FF5B21"/>
    <w:rsid w:val="00FF5E20"/>
    <w:rsid w:val="00FF5EBA"/>
    <w:rsid w:val="00FF6AFF"/>
    <w:rsid w:val="00FF6B81"/>
    <w:rsid w:val="00FF6EB0"/>
    <w:rsid w:val="00FF7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1697"/>
    <o:shapelayout v:ext="edit">
      <o:idmap v:ext="edit" data="1"/>
    </o:shapelayout>
  </w:shapeDefaults>
  <w:decimalSymbol w:val="."/>
  <w:listSeparator w:val=","/>
  <w14:docId w14:val="485A429D"/>
  <w15:chartTrackingRefBased/>
  <w15:docId w15:val="{D5242047-7973-4D9C-9828-343D413E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List Bullet" w:uiPriority="1" w:qFormat="1"/>
    <w:lsdException w:name="List Bullet 2" w:uiPriority="1" w:qFormat="1"/>
    <w:lsdException w:name="List Bullet 3" w:uiPriority="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D1B"/>
    <w:rPr>
      <w:rFonts w:ascii="Arial" w:hAnsi="Arial"/>
      <w:sz w:val="23"/>
      <w:szCs w:val="23"/>
      <w:lang w:eastAsia="en-US"/>
    </w:rPr>
  </w:style>
  <w:style w:type="paragraph" w:styleId="Heading1">
    <w:name w:val="heading 1"/>
    <w:basedOn w:val="Normal"/>
    <w:next w:val="Normal"/>
    <w:link w:val="Heading1Char"/>
    <w:qFormat/>
    <w:pPr>
      <w:keepNext/>
      <w:jc w:val="center"/>
      <w:outlineLvl w:val="0"/>
    </w:pPr>
    <w:rPr>
      <w:b/>
      <w:bCs/>
      <w:sz w:val="32"/>
    </w:rPr>
  </w:style>
  <w:style w:type="paragraph" w:styleId="Heading2">
    <w:name w:val="heading 2"/>
    <w:basedOn w:val="Normal"/>
    <w:next w:val="Normal"/>
    <w:link w:val="Heading2Char"/>
    <w:qFormat/>
    <w:rsid w:val="00C01DC6"/>
    <w:pPr>
      <w:keepNext/>
      <w:outlineLvl w:val="1"/>
    </w:pPr>
    <w:rPr>
      <w:b/>
      <w:sz w:val="28"/>
    </w:rPr>
  </w:style>
  <w:style w:type="paragraph" w:styleId="Heading3">
    <w:name w:val="heading 3"/>
    <w:basedOn w:val="Normal"/>
    <w:next w:val="Normal"/>
    <w:link w:val="Heading3Char"/>
    <w:qFormat/>
    <w:pPr>
      <w:keepNext/>
      <w:outlineLvl w:val="2"/>
    </w:pPr>
    <w:rPr>
      <w:rFonts w:cs="Arial"/>
      <w:b/>
      <w:bCs/>
      <w:sz w:val="24"/>
      <w:szCs w:val="26"/>
    </w:rPr>
  </w:style>
  <w:style w:type="paragraph" w:styleId="Heading4">
    <w:name w:val="heading 4"/>
    <w:basedOn w:val="Normal"/>
    <w:next w:val="Normal"/>
    <w:qFormat/>
    <w:pPr>
      <w:keepNext/>
      <w:outlineLvl w:val="3"/>
    </w:pPr>
    <w:rPr>
      <w:b/>
      <w:bCs/>
    </w:rPr>
  </w:style>
  <w:style w:type="paragraph" w:styleId="Heading5">
    <w:name w:val="heading 5"/>
    <w:basedOn w:val="Normal"/>
    <w:next w:val="Normal"/>
    <w:link w:val="Heading5Char"/>
    <w:qFormat/>
    <w:pPr>
      <w:keepNext/>
      <w:jc w:val="center"/>
      <w:outlineLvl w:val="4"/>
    </w:pPr>
    <w:rPr>
      <w:b/>
      <w:bCs/>
    </w:rPr>
  </w:style>
  <w:style w:type="paragraph" w:styleId="Heading6">
    <w:name w:val="heading 6"/>
    <w:basedOn w:val="Normal"/>
    <w:next w:val="Normal"/>
    <w:link w:val="Heading6Char"/>
    <w:qFormat/>
    <w:pPr>
      <w:keepNext/>
      <w:outlineLvl w:val="5"/>
    </w:pPr>
    <w:rPr>
      <w:b/>
      <w:bCs/>
      <w:u w:val="single"/>
    </w:rPr>
  </w:style>
  <w:style w:type="paragraph" w:styleId="Heading7">
    <w:name w:val="heading 7"/>
    <w:basedOn w:val="Normal"/>
    <w:next w:val="Normal"/>
    <w:qFormat/>
    <w:pPr>
      <w:keepNext/>
      <w:tabs>
        <w:tab w:val="left" w:pos="252"/>
      </w:tabs>
      <w:ind w:left="-288" w:firstLine="288"/>
      <w:outlineLvl w:val="6"/>
    </w:pPr>
    <w:rPr>
      <w:rFonts w:eastAsia="Arial Unicode MS" w:cs="Arial"/>
      <w:b/>
      <w:bCs/>
    </w:rPr>
  </w:style>
  <w:style w:type="paragraph" w:styleId="Heading8">
    <w:name w:val="heading 8"/>
    <w:basedOn w:val="Normal"/>
    <w:next w:val="Normal"/>
    <w:qFormat/>
    <w:pPr>
      <w:keepNext/>
      <w:ind w:right="-374"/>
      <w:jc w:val="center"/>
      <w:outlineLvl w:val="7"/>
    </w:pPr>
    <w:rPr>
      <w:rFonts w:cs="Arial"/>
      <w:b/>
      <w:bCs/>
    </w:rPr>
  </w:style>
  <w:style w:type="paragraph" w:styleId="Heading9">
    <w:name w:val="heading 9"/>
    <w:basedOn w:val="Normal"/>
    <w:next w:val="Normal"/>
    <w:qFormat/>
    <w:pPr>
      <w:keepNext/>
      <w:ind w:left="206" w:hanging="206"/>
      <w:jc w:val="center"/>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9431F"/>
    <w:rPr>
      <w:rFonts w:ascii="Arial" w:hAnsi="Arial"/>
      <w:b/>
      <w:bCs/>
      <w:sz w:val="32"/>
      <w:szCs w:val="23"/>
      <w:lang w:val="en-GB" w:eastAsia="en-US" w:bidi="ar-SA"/>
    </w:rPr>
  </w:style>
  <w:style w:type="character" w:customStyle="1" w:styleId="Heading2Char">
    <w:name w:val="Heading 2 Char"/>
    <w:link w:val="Heading2"/>
    <w:locked/>
    <w:rsid w:val="00C01DC6"/>
    <w:rPr>
      <w:rFonts w:ascii="Arial" w:hAnsi="Arial"/>
      <w:b/>
      <w:sz w:val="28"/>
      <w:szCs w:val="23"/>
      <w:lang w:eastAsia="en-US"/>
    </w:rPr>
  </w:style>
  <w:style w:type="character" w:customStyle="1" w:styleId="Heading3Char">
    <w:name w:val="Heading 3 Char"/>
    <w:link w:val="Heading3"/>
    <w:semiHidden/>
    <w:locked/>
    <w:rsid w:val="00F9431F"/>
    <w:rPr>
      <w:rFonts w:ascii="Arial" w:hAnsi="Arial" w:cs="Arial"/>
      <w:b/>
      <w:bCs/>
      <w:sz w:val="24"/>
      <w:szCs w:val="26"/>
      <w:lang w:val="en-GB" w:eastAsia="en-US" w:bidi="ar-SA"/>
    </w:rPr>
  </w:style>
  <w:style w:type="character" w:customStyle="1" w:styleId="Heading5Char">
    <w:name w:val="Heading 5 Char"/>
    <w:link w:val="Heading5"/>
    <w:semiHidden/>
    <w:locked/>
    <w:rsid w:val="00F9431F"/>
    <w:rPr>
      <w:rFonts w:ascii="Arial" w:hAnsi="Arial"/>
      <w:b/>
      <w:bCs/>
      <w:sz w:val="23"/>
      <w:szCs w:val="23"/>
      <w:lang w:val="en-GB" w:eastAsia="en-US" w:bidi="ar-SA"/>
    </w:rPr>
  </w:style>
  <w:style w:type="character" w:customStyle="1" w:styleId="Heading6Char">
    <w:name w:val="Heading 6 Char"/>
    <w:link w:val="Heading6"/>
    <w:semiHidden/>
    <w:locked/>
    <w:rsid w:val="00F9431F"/>
    <w:rPr>
      <w:rFonts w:ascii="Arial" w:hAnsi="Arial"/>
      <w:b/>
      <w:bCs/>
      <w:sz w:val="23"/>
      <w:szCs w:val="23"/>
      <w:u w:val="single"/>
      <w:lang w:val="en-GB" w:eastAsia="en-US" w:bidi="ar-SA"/>
    </w:rPr>
  </w:style>
  <w:style w:type="paragraph" w:styleId="TOC2">
    <w:name w:val="toc 2"/>
    <w:basedOn w:val="Normal"/>
    <w:next w:val="Normal"/>
    <w:autoRedefine/>
    <w:uiPriority w:val="39"/>
    <w:pPr>
      <w:ind w:left="230"/>
    </w:pPr>
  </w:style>
  <w:style w:type="paragraph" w:styleId="TOC1">
    <w:name w:val="toc 1"/>
    <w:basedOn w:val="Normal"/>
    <w:next w:val="Normal"/>
    <w:autoRedefine/>
    <w:uiPriority w:val="39"/>
    <w:rsid w:val="00641F1E"/>
    <w:pPr>
      <w:spacing w:line="480" w:lineRule="auto"/>
    </w:pPr>
    <w:rPr>
      <w:b/>
    </w:rPr>
  </w:style>
  <w:style w:type="paragraph" w:customStyle="1" w:styleId="HEADING">
    <w:name w:val="HEADING"/>
    <w:basedOn w:val="Normal"/>
    <w:rPr>
      <w:b/>
      <w:sz w:val="24"/>
    </w:rPr>
  </w:style>
  <w:style w:type="paragraph" w:styleId="TOC3">
    <w:name w:val="toc 3"/>
    <w:basedOn w:val="Normal"/>
    <w:next w:val="Normal"/>
    <w:autoRedefine/>
    <w:uiPriority w:val="39"/>
    <w:pPr>
      <w:ind w:left="460"/>
    </w:pPr>
  </w:style>
  <w:style w:type="paragraph" w:styleId="TOC4">
    <w:name w:val="toc 4"/>
    <w:basedOn w:val="Normal"/>
    <w:next w:val="Normal"/>
    <w:autoRedefine/>
    <w:uiPriority w:val="39"/>
    <w:pPr>
      <w:ind w:left="690"/>
    </w:pPr>
  </w:style>
  <w:style w:type="paragraph" w:styleId="TOC5">
    <w:name w:val="toc 5"/>
    <w:basedOn w:val="Normal"/>
    <w:next w:val="Normal"/>
    <w:autoRedefine/>
    <w:uiPriority w:val="39"/>
    <w:pPr>
      <w:ind w:left="920"/>
    </w:pPr>
  </w:style>
  <w:style w:type="paragraph" w:styleId="TOC6">
    <w:name w:val="toc 6"/>
    <w:basedOn w:val="Normal"/>
    <w:next w:val="Normal"/>
    <w:autoRedefine/>
    <w:uiPriority w:val="39"/>
    <w:pPr>
      <w:ind w:left="1150"/>
    </w:pPr>
  </w:style>
  <w:style w:type="paragraph" w:styleId="TOC7">
    <w:name w:val="toc 7"/>
    <w:basedOn w:val="Normal"/>
    <w:next w:val="Normal"/>
    <w:autoRedefine/>
    <w:uiPriority w:val="39"/>
    <w:pPr>
      <w:ind w:left="1380"/>
    </w:pPr>
  </w:style>
  <w:style w:type="paragraph" w:styleId="TOC8">
    <w:name w:val="toc 8"/>
    <w:basedOn w:val="Normal"/>
    <w:next w:val="Normal"/>
    <w:autoRedefine/>
    <w:uiPriority w:val="39"/>
    <w:pPr>
      <w:ind w:left="1610"/>
    </w:pPr>
  </w:style>
  <w:style w:type="paragraph" w:styleId="TOC9">
    <w:name w:val="toc 9"/>
    <w:basedOn w:val="Normal"/>
    <w:next w:val="Normal"/>
    <w:autoRedefine/>
    <w:uiPriority w:val="39"/>
    <w:pPr>
      <w:ind w:left="1840"/>
    </w:pPr>
  </w:style>
  <w:style w:type="character" w:styleId="Hyperlink">
    <w:name w:val="Hyperlink"/>
    <w:uiPriority w:val="99"/>
    <w:rPr>
      <w:color w:val="0000FF"/>
      <w:u w:val="single"/>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semiHidden/>
    <w:locked/>
    <w:rsid w:val="00754A17"/>
    <w:rPr>
      <w:rFonts w:ascii="Arial" w:hAnsi="Arial"/>
      <w:sz w:val="23"/>
      <w:szCs w:val="23"/>
      <w:lang w:val="en-GB" w:eastAsia="en-US" w:bidi="ar-SA"/>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sid w:val="00F9431F"/>
    <w:rPr>
      <w:rFonts w:ascii="Arial" w:hAnsi="Arial"/>
      <w:sz w:val="23"/>
      <w:szCs w:val="23"/>
      <w:lang w:val="en-GB" w:eastAsia="en-US" w:bidi="ar-SA"/>
    </w:rPr>
  </w:style>
  <w:style w:type="character" w:styleId="PageNumber">
    <w:name w:val="page number"/>
    <w:basedOn w:val="DefaultParagraphFont"/>
  </w:style>
  <w:style w:type="paragraph" w:styleId="BodyTextIndent">
    <w:name w:val="Body Text Indent"/>
    <w:basedOn w:val="Normal"/>
    <w:link w:val="BodyTextIndentChar"/>
    <w:pPr>
      <w:ind w:left="340"/>
    </w:pPr>
  </w:style>
  <w:style w:type="character" w:customStyle="1" w:styleId="BodyTextIndentChar">
    <w:name w:val="Body Text Indent Char"/>
    <w:link w:val="BodyTextIndent"/>
    <w:semiHidden/>
    <w:locked/>
    <w:rsid w:val="00F9431F"/>
    <w:rPr>
      <w:rFonts w:ascii="Arial" w:hAnsi="Arial"/>
      <w:sz w:val="23"/>
      <w:szCs w:val="23"/>
      <w:lang w:val="en-GB" w:eastAsia="en-US" w:bidi="ar-SA"/>
    </w:rPr>
  </w:style>
  <w:style w:type="paragraph" w:customStyle="1" w:styleId="xl29">
    <w:name w:val="xl29"/>
    <w:basedOn w:val="Normal"/>
    <w:pPr>
      <w:pBdr>
        <w:top w:val="single" w:sz="8" w:space="0" w:color="auto"/>
        <w:left w:val="single" w:sz="8" w:space="0" w:color="auto"/>
      </w:pBdr>
      <w:spacing w:before="100" w:beforeAutospacing="1" w:after="100" w:afterAutospacing="1"/>
    </w:pPr>
    <w:rPr>
      <w:rFonts w:ascii="Times New Roman" w:hAnsi="Times New Roman"/>
      <w:sz w:val="24"/>
      <w:szCs w:val="24"/>
    </w:rPr>
  </w:style>
  <w:style w:type="paragraph" w:customStyle="1" w:styleId="xl30">
    <w:name w:val="xl30"/>
    <w:basedOn w:val="Normal"/>
    <w:pPr>
      <w:pBdr>
        <w:top w:val="single" w:sz="8" w:space="0" w:color="auto"/>
      </w:pBdr>
      <w:spacing w:before="100" w:beforeAutospacing="1" w:after="100" w:afterAutospacing="1"/>
    </w:pPr>
    <w:rPr>
      <w:rFonts w:cs="Arial"/>
      <w:b/>
      <w:bCs/>
      <w:sz w:val="24"/>
      <w:szCs w:val="24"/>
    </w:rPr>
  </w:style>
  <w:style w:type="paragraph" w:customStyle="1" w:styleId="xl31">
    <w:name w:val="xl31"/>
    <w:basedOn w:val="Normal"/>
    <w:pPr>
      <w:pBdr>
        <w:top w:val="single" w:sz="8" w:space="0" w:color="auto"/>
      </w:pBdr>
      <w:spacing w:before="100" w:beforeAutospacing="1" w:after="100" w:afterAutospacing="1"/>
    </w:pPr>
    <w:rPr>
      <w:rFonts w:ascii="Times New Roman" w:hAnsi="Times New Roman"/>
      <w:sz w:val="24"/>
      <w:szCs w:val="24"/>
    </w:rPr>
  </w:style>
  <w:style w:type="paragraph" w:customStyle="1" w:styleId="xl32">
    <w:name w:val="xl32"/>
    <w:basedOn w:val="Normal"/>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3">
    <w:name w:val="xl33"/>
    <w:basedOn w:val="Normal"/>
    <w:pPr>
      <w:pBdr>
        <w:left w:val="single" w:sz="8" w:space="0" w:color="auto"/>
      </w:pBdr>
      <w:spacing w:before="100" w:beforeAutospacing="1" w:after="100" w:afterAutospacing="1"/>
    </w:pPr>
    <w:rPr>
      <w:rFonts w:ascii="Times New Roman" w:hAnsi="Times New Roman"/>
      <w:sz w:val="24"/>
      <w:szCs w:val="24"/>
    </w:rPr>
  </w:style>
  <w:style w:type="paragraph" w:customStyle="1" w:styleId="xl34">
    <w:name w:val="xl34"/>
    <w:basedOn w:val="Normal"/>
    <w:pPr>
      <w:spacing w:before="100" w:beforeAutospacing="1" w:after="100" w:afterAutospacing="1"/>
    </w:pPr>
    <w:rPr>
      <w:rFonts w:cs="Arial"/>
      <w:b/>
      <w:bCs/>
      <w:sz w:val="24"/>
      <w:szCs w:val="24"/>
    </w:rPr>
  </w:style>
  <w:style w:type="paragraph" w:customStyle="1" w:styleId="xl35">
    <w:name w:val="xl35"/>
    <w:basedOn w:val="Normal"/>
    <w:pPr>
      <w:spacing w:before="100" w:beforeAutospacing="1" w:after="100" w:afterAutospacing="1"/>
      <w:jc w:val="center"/>
    </w:pPr>
    <w:rPr>
      <w:rFonts w:cs="Arial"/>
      <w:b/>
      <w:bCs/>
      <w:sz w:val="24"/>
      <w:szCs w:val="24"/>
    </w:rPr>
  </w:style>
  <w:style w:type="paragraph" w:customStyle="1" w:styleId="xl36">
    <w:name w:val="xl36"/>
    <w:basedOn w:val="Normal"/>
    <w:pPr>
      <w:pBdr>
        <w:right w:val="single" w:sz="8" w:space="0" w:color="auto"/>
      </w:pBdr>
      <w:spacing w:before="100" w:beforeAutospacing="1" w:after="100" w:afterAutospacing="1"/>
    </w:pPr>
    <w:rPr>
      <w:rFonts w:ascii="Times New Roman" w:hAnsi="Times New Roman"/>
      <w:sz w:val="24"/>
      <w:szCs w:val="24"/>
    </w:rPr>
  </w:style>
  <w:style w:type="paragraph" w:customStyle="1" w:styleId="xl38">
    <w:name w:val="xl38"/>
    <w:basedOn w:val="Normal"/>
    <w:pPr>
      <w:pBdr>
        <w:left w:val="single" w:sz="8"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39">
    <w:name w:val="xl39"/>
    <w:basedOn w:val="Normal"/>
    <w:pPr>
      <w:pBdr>
        <w:bottom w:val="single" w:sz="8" w:space="0" w:color="auto"/>
      </w:pBdr>
      <w:spacing w:before="100" w:beforeAutospacing="1" w:after="100" w:afterAutospacing="1"/>
    </w:pPr>
    <w:rPr>
      <w:rFonts w:cs="Arial"/>
      <w:b/>
      <w:bCs/>
      <w:sz w:val="24"/>
      <w:szCs w:val="24"/>
    </w:rPr>
  </w:style>
  <w:style w:type="paragraph" w:customStyle="1" w:styleId="xl40">
    <w:name w:val="xl40"/>
    <w:basedOn w:val="Normal"/>
    <w:pPr>
      <w:pBdr>
        <w:bottom w:val="single" w:sz="8" w:space="0" w:color="auto"/>
      </w:pBdr>
      <w:spacing w:before="100" w:beforeAutospacing="1" w:after="100" w:afterAutospacing="1"/>
    </w:pPr>
    <w:rPr>
      <w:rFonts w:ascii="Times New Roman" w:hAnsi="Times New Roman"/>
      <w:sz w:val="24"/>
      <w:szCs w:val="24"/>
    </w:rPr>
  </w:style>
  <w:style w:type="paragraph" w:customStyle="1" w:styleId="xl41">
    <w:name w:val="xl41"/>
    <w:basedOn w:val="Normal"/>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7">
    <w:name w:val="xl37"/>
    <w:basedOn w:val="Normal"/>
    <w:pPr>
      <w:pBdr>
        <w:top w:val="single" w:sz="8" w:space="0" w:color="auto"/>
      </w:pBdr>
      <w:spacing w:before="100" w:beforeAutospacing="1" w:after="100" w:afterAutospacing="1"/>
    </w:pPr>
    <w:rPr>
      <w:rFonts w:cs="Arial"/>
    </w:rPr>
  </w:style>
  <w:style w:type="paragraph" w:customStyle="1" w:styleId="xl42">
    <w:name w:val="xl42"/>
    <w:basedOn w:val="Normal"/>
    <w:pPr>
      <w:spacing w:before="100" w:beforeAutospacing="1" w:after="100" w:afterAutospacing="1"/>
      <w:jc w:val="center"/>
    </w:pPr>
    <w:rPr>
      <w:rFonts w:cs="Arial"/>
      <w:b/>
      <w:bCs/>
    </w:rPr>
  </w:style>
  <w:style w:type="paragraph" w:customStyle="1" w:styleId="xl43">
    <w:name w:val="xl43"/>
    <w:basedOn w:val="Normal"/>
    <w:pPr>
      <w:spacing w:before="100" w:beforeAutospacing="1" w:after="100" w:afterAutospacing="1"/>
      <w:jc w:val="center"/>
    </w:pPr>
    <w:rPr>
      <w:rFonts w:cs="Arial"/>
    </w:rPr>
  </w:style>
  <w:style w:type="paragraph" w:customStyle="1" w:styleId="xl44">
    <w:name w:val="xl44"/>
    <w:basedOn w:val="Normal"/>
    <w:pPr>
      <w:spacing w:before="100" w:beforeAutospacing="1" w:after="100" w:afterAutospacing="1"/>
      <w:jc w:val="center"/>
    </w:pPr>
    <w:rPr>
      <w:rFonts w:cs="Arial"/>
      <w:b/>
      <w:bCs/>
    </w:rPr>
  </w:style>
  <w:style w:type="paragraph" w:customStyle="1" w:styleId="xl45">
    <w:name w:val="xl45"/>
    <w:basedOn w:val="Normal"/>
    <w:pPr>
      <w:spacing w:before="100" w:beforeAutospacing="1" w:after="100" w:afterAutospacing="1"/>
      <w:jc w:val="center"/>
    </w:pPr>
    <w:rPr>
      <w:rFonts w:cs="Arial"/>
      <w:b/>
      <w:bCs/>
    </w:rPr>
  </w:style>
  <w:style w:type="paragraph" w:customStyle="1" w:styleId="xl46">
    <w:name w:val="xl46"/>
    <w:basedOn w:val="Normal"/>
    <w:pPr>
      <w:pBdr>
        <w:right w:val="single" w:sz="8" w:space="0" w:color="auto"/>
      </w:pBdr>
      <w:spacing w:before="100" w:beforeAutospacing="1" w:after="100" w:afterAutospacing="1"/>
      <w:jc w:val="center"/>
    </w:pPr>
    <w:rPr>
      <w:rFonts w:cs="Arial"/>
    </w:rPr>
  </w:style>
  <w:style w:type="paragraph" w:customStyle="1" w:styleId="font5">
    <w:name w:val="font5"/>
    <w:basedOn w:val="Normal"/>
    <w:pPr>
      <w:spacing w:before="100" w:beforeAutospacing="1" w:after="100" w:afterAutospacing="1"/>
    </w:pPr>
    <w:rPr>
      <w:rFonts w:ascii="Tahoma" w:hAnsi="Tahoma" w:cs="Tahoma"/>
      <w:color w:val="000000"/>
      <w:sz w:val="16"/>
      <w:szCs w:val="16"/>
    </w:rPr>
  </w:style>
  <w:style w:type="paragraph" w:customStyle="1" w:styleId="font6">
    <w:name w:val="font6"/>
    <w:basedOn w:val="Normal"/>
    <w:pPr>
      <w:spacing w:before="100" w:beforeAutospacing="1" w:after="100" w:afterAutospacing="1"/>
    </w:pPr>
    <w:rPr>
      <w:rFonts w:ascii="Tahoma" w:hAnsi="Tahoma" w:cs="Tahoma"/>
      <w:b/>
      <w:bCs/>
      <w:color w:val="000000"/>
      <w:sz w:val="16"/>
      <w:szCs w:val="16"/>
    </w:rPr>
  </w:style>
  <w:style w:type="paragraph" w:customStyle="1" w:styleId="xl27">
    <w:name w:val="xl27"/>
    <w:basedOn w:val="Normal"/>
    <w:pPr>
      <w:pBdr>
        <w:bottom w:val="single" w:sz="4" w:space="0" w:color="auto"/>
      </w:pBdr>
      <w:spacing w:before="100" w:beforeAutospacing="1" w:after="100" w:afterAutospacing="1"/>
      <w:jc w:val="right"/>
    </w:pPr>
    <w:rPr>
      <w:rFonts w:cs="Arial"/>
    </w:rPr>
  </w:style>
  <w:style w:type="paragraph" w:customStyle="1" w:styleId="xl28">
    <w:name w:val="xl28"/>
    <w:basedOn w:val="Normal"/>
    <w:pPr>
      <w:spacing w:before="100" w:beforeAutospacing="1" w:after="100" w:afterAutospacing="1"/>
      <w:jc w:val="right"/>
    </w:pPr>
    <w:rPr>
      <w:rFonts w:cs="Arial"/>
    </w:rPr>
  </w:style>
  <w:style w:type="paragraph" w:customStyle="1" w:styleId="xl47">
    <w:name w:val="xl47"/>
    <w:basedOn w:val="Normal"/>
    <w:pPr>
      <w:spacing w:before="100" w:beforeAutospacing="1" w:after="100" w:afterAutospacing="1"/>
      <w:jc w:val="right"/>
    </w:pPr>
    <w:rPr>
      <w:rFonts w:cs="Arial"/>
    </w:rPr>
  </w:style>
  <w:style w:type="paragraph" w:customStyle="1" w:styleId="xl48">
    <w:name w:val="xl48"/>
    <w:basedOn w:val="Normal"/>
    <w:pPr>
      <w:pBdr>
        <w:right w:val="single" w:sz="8" w:space="0" w:color="auto"/>
      </w:pBdr>
      <w:spacing w:before="100" w:beforeAutospacing="1" w:after="100" w:afterAutospacing="1"/>
    </w:pPr>
    <w:rPr>
      <w:rFonts w:cs="Arial"/>
    </w:rPr>
  </w:style>
  <w:style w:type="paragraph" w:customStyle="1" w:styleId="xl49">
    <w:name w:val="xl49"/>
    <w:basedOn w:val="Normal"/>
    <w:pPr>
      <w:pBdr>
        <w:left w:val="single" w:sz="8" w:space="0" w:color="auto"/>
      </w:pBdr>
      <w:spacing w:before="100" w:beforeAutospacing="1" w:after="100" w:afterAutospacing="1"/>
    </w:pPr>
    <w:rPr>
      <w:rFonts w:cs="Arial"/>
      <w:b/>
      <w:bCs/>
    </w:rPr>
  </w:style>
  <w:style w:type="paragraph" w:customStyle="1" w:styleId="xl50">
    <w:name w:val="xl50"/>
    <w:basedOn w:val="Normal"/>
    <w:pPr>
      <w:spacing w:before="100" w:beforeAutospacing="1" w:after="100" w:afterAutospacing="1"/>
    </w:pPr>
    <w:rPr>
      <w:rFonts w:cs="Arial"/>
      <w:b/>
      <w:bCs/>
    </w:rPr>
  </w:style>
  <w:style w:type="paragraph" w:customStyle="1" w:styleId="xl51">
    <w:name w:val="xl51"/>
    <w:basedOn w:val="Normal"/>
    <w:pPr>
      <w:pBdr>
        <w:right w:val="single" w:sz="8" w:space="0" w:color="auto"/>
      </w:pBdr>
      <w:spacing w:before="100" w:beforeAutospacing="1" w:after="100" w:afterAutospacing="1"/>
    </w:pPr>
    <w:rPr>
      <w:rFonts w:cs="Arial"/>
      <w:b/>
      <w:bCs/>
    </w:rPr>
  </w:style>
  <w:style w:type="paragraph" w:customStyle="1" w:styleId="xl52">
    <w:name w:val="xl52"/>
    <w:basedOn w:val="Normal"/>
    <w:pPr>
      <w:pBdr>
        <w:left w:val="single" w:sz="8" w:space="0" w:color="auto"/>
        <w:bottom w:val="single" w:sz="8" w:space="0" w:color="auto"/>
      </w:pBdr>
      <w:spacing w:before="100" w:beforeAutospacing="1" w:after="100" w:afterAutospacing="1"/>
    </w:pPr>
    <w:rPr>
      <w:rFonts w:cs="Arial"/>
    </w:rPr>
  </w:style>
  <w:style w:type="paragraph" w:customStyle="1" w:styleId="xl53">
    <w:name w:val="xl53"/>
    <w:basedOn w:val="Normal"/>
    <w:pPr>
      <w:pBdr>
        <w:bottom w:val="single" w:sz="8" w:space="0" w:color="auto"/>
      </w:pBdr>
      <w:spacing w:before="100" w:beforeAutospacing="1" w:after="100" w:afterAutospacing="1"/>
      <w:jc w:val="right"/>
    </w:pPr>
    <w:rPr>
      <w:rFonts w:cs="Arial"/>
    </w:rPr>
  </w:style>
  <w:style w:type="paragraph" w:customStyle="1" w:styleId="xl54">
    <w:name w:val="xl54"/>
    <w:basedOn w:val="Normal"/>
    <w:pPr>
      <w:pBdr>
        <w:bottom w:val="single" w:sz="8" w:space="0" w:color="auto"/>
      </w:pBdr>
      <w:spacing w:before="100" w:beforeAutospacing="1" w:after="100" w:afterAutospacing="1"/>
    </w:pPr>
    <w:rPr>
      <w:rFonts w:cs="Arial"/>
    </w:rPr>
  </w:style>
  <w:style w:type="paragraph" w:customStyle="1" w:styleId="xl55">
    <w:name w:val="xl55"/>
    <w:basedOn w:val="Normal"/>
    <w:pPr>
      <w:pBdr>
        <w:bottom w:val="single" w:sz="8" w:space="0" w:color="auto"/>
      </w:pBdr>
      <w:spacing w:before="100" w:beforeAutospacing="1" w:after="100" w:afterAutospacing="1"/>
      <w:jc w:val="right"/>
    </w:pPr>
    <w:rPr>
      <w:rFonts w:cs="Arial"/>
    </w:rPr>
  </w:style>
  <w:style w:type="paragraph" w:customStyle="1" w:styleId="xl56">
    <w:name w:val="xl56"/>
    <w:basedOn w:val="Normal"/>
    <w:pPr>
      <w:pBdr>
        <w:bottom w:val="single" w:sz="8" w:space="0" w:color="auto"/>
        <w:right w:val="single" w:sz="8" w:space="0" w:color="auto"/>
      </w:pBdr>
      <w:spacing w:before="100" w:beforeAutospacing="1" w:after="100" w:afterAutospacing="1"/>
    </w:pPr>
    <w:rPr>
      <w:rFonts w:cs="Arial"/>
    </w:rPr>
  </w:style>
  <w:style w:type="paragraph" w:customStyle="1" w:styleId="xl57">
    <w:name w:val="xl57"/>
    <w:basedOn w:val="Normal"/>
    <w:pPr>
      <w:pBdr>
        <w:top w:val="single" w:sz="4" w:space="0" w:color="auto"/>
        <w:bottom w:val="single" w:sz="4" w:space="0" w:color="auto"/>
      </w:pBdr>
      <w:spacing w:before="100" w:beforeAutospacing="1" w:after="100" w:afterAutospacing="1"/>
      <w:jc w:val="right"/>
    </w:pPr>
    <w:rPr>
      <w:rFonts w:cs="Arial"/>
      <w:b/>
      <w:bCs/>
    </w:rPr>
  </w:style>
  <w:style w:type="paragraph" w:customStyle="1" w:styleId="xl24">
    <w:name w:val="xl24"/>
    <w:basedOn w:val="Normal"/>
    <w:pPr>
      <w:pBdr>
        <w:bottom w:val="single" w:sz="4" w:space="0" w:color="auto"/>
      </w:pBdr>
      <w:spacing w:before="100" w:beforeAutospacing="1" w:after="100" w:afterAutospacing="1"/>
    </w:pPr>
    <w:rPr>
      <w:rFonts w:cs="Arial"/>
    </w:rPr>
  </w:style>
  <w:style w:type="paragraph" w:customStyle="1" w:styleId="xl25">
    <w:name w:val="xl25"/>
    <w:basedOn w:val="Normal"/>
    <w:pPr>
      <w:pBdr>
        <w:top w:val="single" w:sz="8" w:space="0" w:color="auto"/>
        <w:left w:val="single" w:sz="8" w:space="0" w:color="auto"/>
      </w:pBdr>
      <w:spacing w:before="100" w:beforeAutospacing="1" w:after="100" w:afterAutospacing="1"/>
    </w:pPr>
    <w:rPr>
      <w:rFonts w:cs="Arial"/>
    </w:rPr>
  </w:style>
  <w:style w:type="paragraph" w:customStyle="1" w:styleId="xl26">
    <w:name w:val="xl26"/>
    <w:basedOn w:val="Normal"/>
    <w:pPr>
      <w:pBdr>
        <w:left w:val="single" w:sz="8" w:space="0" w:color="auto"/>
      </w:pBdr>
      <w:spacing w:before="100" w:beforeAutospacing="1" w:after="100" w:afterAutospacing="1"/>
    </w:pPr>
    <w:rPr>
      <w:rFonts w:cs="Arial"/>
    </w:rPr>
  </w:style>
  <w:style w:type="paragraph" w:customStyle="1" w:styleId="xl58">
    <w:name w:val="xl58"/>
    <w:basedOn w:val="Normal"/>
    <w:pPr>
      <w:pBdr>
        <w:bottom w:val="single" w:sz="8" w:space="0" w:color="auto"/>
      </w:pBdr>
      <w:spacing w:before="100" w:beforeAutospacing="1" w:after="100" w:afterAutospacing="1"/>
    </w:pPr>
    <w:rPr>
      <w:rFonts w:cs="Arial"/>
    </w:rPr>
  </w:style>
  <w:style w:type="paragraph" w:customStyle="1" w:styleId="xl59">
    <w:name w:val="xl59"/>
    <w:basedOn w:val="Normal"/>
    <w:pPr>
      <w:pBdr>
        <w:bottom w:val="single" w:sz="8" w:space="0" w:color="auto"/>
        <w:right w:val="single" w:sz="8" w:space="0" w:color="auto"/>
      </w:pBdr>
      <w:spacing w:before="100" w:beforeAutospacing="1" w:after="100" w:afterAutospacing="1"/>
    </w:pPr>
    <w:rPr>
      <w:rFonts w:cs="Arial"/>
    </w:rPr>
  </w:style>
  <w:style w:type="paragraph" w:customStyle="1" w:styleId="xl60">
    <w:name w:val="xl60"/>
    <w:basedOn w:val="Normal"/>
    <w:pPr>
      <w:spacing w:before="100" w:beforeAutospacing="1" w:after="100" w:afterAutospacing="1"/>
    </w:pPr>
    <w:rPr>
      <w:rFonts w:cs="Arial"/>
      <w:color w:val="FF0000"/>
    </w:rPr>
  </w:style>
  <w:style w:type="paragraph" w:customStyle="1" w:styleId="xl61">
    <w:name w:val="xl61"/>
    <w:basedOn w:val="Normal"/>
    <w:pPr>
      <w:spacing w:before="100" w:beforeAutospacing="1" w:after="100" w:afterAutospacing="1"/>
    </w:pPr>
    <w:rPr>
      <w:rFonts w:cs="Arial"/>
      <w:color w:val="FF0000"/>
    </w:rPr>
  </w:style>
  <w:style w:type="paragraph" w:customStyle="1" w:styleId="xl62">
    <w:name w:val="xl62"/>
    <w:basedOn w:val="Normal"/>
    <w:pPr>
      <w:spacing w:before="100" w:beforeAutospacing="1" w:after="100" w:afterAutospacing="1"/>
    </w:pPr>
    <w:rPr>
      <w:rFonts w:cs="Arial"/>
      <w:b/>
      <w:bCs/>
    </w:rPr>
  </w:style>
  <w:style w:type="paragraph" w:customStyle="1" w:styleId="xl63">
    <w:name w:val="xl63"/>
    <w:basedOn w:val="Normal"/>
    <w:pPr>
      <w:pBdr>
        <w:bottom w:val="single" w:sz="4" w:space="0" w:color="auto"/>
      </w:pBdr>
      <w:spacing w:before="100" w:beforeAutospacing="1" w:after="100" w:afterAutospacing="1"/>
    </w:pPr>
    <w:rPr>
      <w:rFonts w:cs="Arial"/>
    </w:rPr>
  </w:style>
  <w:style w:type="paragraph" w:customStyle="1" w:styleId="xl64">
    <w:name w:val="xl64"/>
    <w:basedOn w:val="Normal"/>
    <w:pPr>
      <w:pBdr>
        <w:left w:val="single" w:sz="8" w:space="0" w:color="auto"/>
      </w:pBdr>
      <w:spacing w:before="100" w:beforeAutospacing="1" w:after="100" w:afterAutospacing="1"/>
      <w:jc w:val="center"/>
    </w:pPr>
    <w:rPr>
      <w:rFonts w:cs="Arial"/>
      <w:b/>
      <w:bCs/>
    </w:rPr>
  </w:style>
  <w:style w:type="paragraph" w:customStyle="1" w:styleId="Recommend">
    <w:name w:val="Recommend"/>
    <w:basedOn w:val="Normal"/>
    <w:pPr>
      <w:tabs>
        <w:tab w:val="left" w:pos="709"/>
        <w:tab w:val="left" w:pos="1418"/>
      </w:tabs>
      <w:jc w:val="both"/>
    </w:pPr>
    <w:rPr>
      <w:szCs w:val="20"/>
    </w:rPr>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styleId="BodyText">
    <w:name w:val="Body Text"/>
    <w:basedOn w:val="Normal"/>
    <w:link w:val="BodyTextChar"/>
    <w:rPr>
      <w:sz w:val="20"/>
      <w:szCs w:val="20"/>
    </w:rPr>
  </w:style>
  <w:style w:type="character" w:customStyle="1" w:styleId="BodyTextChar">
    <w:name w:val="Body Text Char"/>
    <w:link w:val="BodyText"/>
    <w:locked/>
    <w:rsid w:val="00F9431F"/>
    <w:rPr>
      <w:rFonts w:ascii="Arial" w:hAnsi="Arial"/>
      <w:lang w:val="en-GB" w:eastAsia="en-US" w:bidi="ar-SA"/>
    </w:rPr>
  </w:style>
  <w:style w:type="paragraph" w:styleId="BodyText2">
    <w:name w:val="Body Text 2"/>
    <w:basedOn w:val="Normal"/>
    <w:rPr>
      <w:rFonts w:ascii="TimesNewRoman" w:hAnsi="TimesNewRoman"/>
      <w:snapToGrid w:val="0"/>
      <w:sz w:val="21"/>
      <w:szCs w:val="20"/>
    </w:rPr>
  </w:style>
  <w:style w:type="character" w:styleId="FollowedHyperlink">
    <w:name w:val="FollowedHyperlink"/>
    <w:rPr>
      <w:color w:val="800080"/>
      <w:u w:val="single"/>
    </w:rPr>
  </w:style>
  <w:style w:type="character" w:customStyle="1" w:styleId="emailstyle15">
    <w:name w:val="emailstyle15"/>
    <w:basedOn w:val="DefaultParagraphFont"/>
  </w:style>
  <w:style w:type="paragraph" w:styleId="BodyTextIndent2">
    <w:name w:val="Body Text Indent 2"/>
    <w:basedOn w:val="Normal"/>
    <w:link w:val="BodyTextIndent2Char"/>
    <w:pPr>
      <w:ind w:left="360"/>
    </w:pPr>
    <w:rPr>
      <w:rFonts w:cs="Arial"/>
      <w:szCs w:val="24"/>
    </w:rPr>
  </w:style>
  <w:style w:type="character" w:customStyle="1" w:styleId="BodyTextIndent2Char">
    <w:name w:val="Body Text Indent 2 Char"/>
    <w:link w:val="BodyTextIndent2"/>
    <w:locked/>
    <w:rsid w:val="00F9431F"/>
    <w:rPr>
      <w:rFonts w:ascii="Arial" w:hAnsi="Arial" w:cs="Arial"/>
      <w:sz w:val="23"/>
      <w:szCs w:val="24"/>
      <w:lang w:val="en-GB" w:eastAsia="en-US" w:bidi="ar-SA"/>
    </w:rPr>
  </w:style>
  <w:style w:type="paragraph" w:styleId="BodyText3">
    <w:name w:val="Body Text 3"/>
    <w:basedOn w:val="Normal"/>
    <w:pPr>
      <w:autoSpaceDE w:val="0"/>
      <w:autoSpaceDN w:val="0"/>
      <w:adjustRightInd w:val="0"/>
    </w:pPr>
    <w:rPr>
      <w:rFonts w:cs="Arial"/>
      <w:sz w:val="22"/>
      <w:szCs w:val="19"/>
      <w:lang w:val="en-US"/>
    </w:rPr>
  </w:style>
  <w:style w:type="paragraph" w:customStyle="1" w:styleId="BodyText1">
    <w:name w:val="Body Text1"/>
    <w:basedOn w:val="Normal"/>
    <w:pPr>
      <w:spacing w:after="240"/>
    </w:pPr>
    <w:rPr>
      <w:sz w:val="22"/>
      <w:szCs w:val="24"/>
      <w:lang w:eastAsia="en-GB"/>
    </w:rPr>
  </w:style>
  <w:style w:type="character" w:customStyle="1" w:styleId="BodytextChar0">
    <w:name w:val="Body text Char"/>
    <w:rPr>
      <w:rFonts w:ascii="Arial" w:hAnsi="Arial"/>
      <w:sz w:val="22"/>
      <w:szCs w:val="24"/>
      <w:lang w:val="en-GB" w:eastAsia="en-GB" w:bidi="ar-SA"/>
    </w:rPr>
  </w:style>
  <w:style w:type="paragraph" w:customStyle="1" w:styleId="Bullet1">
    <w:name w:val="Bullet 1"/>
    <w:basedOn w:val="Normal"/>
    <w:pPr>
      <w:keepLines/>
      <w:numPr>
        <w:numId w:val="3"/>
      </w:numPr>
      <w:tabs>
        <w:tab w:val="clear" w:pos="757"/>
        <w:tab w:val="num" w:pos="794"/>
      </w:tabs>
      <w:spacing w:before="100"/>
      <w:ind w:left="794"/>
    </w:pPr>
    <w:rPr>
      <w:sz w:val="24"/>
      <w:szCs w:val="24"/>
      <w:lang w:eastAsia="en-GB"/>
    </w:rPr>
  </w:style>
  <w:style w:type="paragraph" w:styleId="PlainText">
    <w:name w:val="Plain Text"/>
    <w:basedOn w:val="Normal"/>
    <w:rPr>
      <w:rFonts w:ascii="Courier New" w:hAnsi="Courier New" w:cs="Courier New"/>
      <w:sz w:val="20"/>
      <w:szCs w:val="20"/>
    </w:rPr>
  </w:style>
  <w:style w:type="paragraph" w:styleId="DocumentMap">
    <w:name w:val="Document Map"/>
    <w:basedOn w:val="Normal"/>
    <w:semiHidden/>
    <w:rsid w:val="009D267F"/>
    <w:pPr>
      <w:shd w:val="clear" w:color="auto" w:fill="000080"/>
    </w:pPr>
    <w:rPr>
      <w:rFonts w:ascii="Tahoma" w:hAnsi="Tahoma" w:cs="Tahoma"/>
      <w:sz w:val="20"/>
      <w:szCs w:val="20"/>
    </w:rPr>
  </w:style>
  <w:style w:type="table" w:styleId="TableGrid">
    <w:name w:val="Table Grid"/>
    <w:basedOn w:val="TableNormal"/>
    <w:uiPriority w:val="39"/>
    <w:rsid w:val="0087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8B7B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DC3ADB"/>
    <w:rPr>
      <w:rFonts w:ascii="Tahoma" w:hAnsi="Tahoma" w:cs="Tahoma"/>
      <w:sz w:val="16"/>
      <w:szCs w:val="16"/>
    </w:rPr>
  </w:style>
  <w:style w:type="character" w:customStyle="1" w:styleId="BalloonTextChar">
    <w:name w:val="Balloon Text Char"/>
    <w:link w:val="BalloonText"/>
    <w:semiHidden/>
    <w:locked/>
    <w:rsid w:val="00F9431F"/>
    <w:rPr>
      <w:rFonts w:ascii="Tahoma" w:hAnsi="Tahoma" w:cs="Tahoma"/>
      <w:sz w:val="16"/>
      <w:szCs w:val="16"/>
      <w:lang w:val="en-GB" w:eastAsia="en-US" w:bidi="ar-SA"/>
    </w:rPr>
  </w:style>
  <w:style w:type="character" w:styleId="CommentReference">
    <w:name w:val="annotation reference"/>
    <w:semiHidden/>
    <w:rsid w:val="006F154E"/>
    <w:rPr>
      <w:sz w:val="16"/>
      <w:szCs w:val="16"/>
    </w:rPr>
  </w:style>
  <w:style w:type="paragraph" w:styleId="CommentText">
    <w:name w:val="annotation text"/>
    <w:basedOn w:val="Normal"/>
    <w:semiHidden/>
    <w:rsid w:val="006F154E"/>
    <w:rPr>
      <w:sz w:val="20"/>
      <w:szCs w:val="20"/>
    </w:rPr>
  </w:style>
  <w:style w:type="paragraph" w:styleId="CommentSubject">
    <w:name w:val="annotation subject"/>
    <w:basedOn w:val="CommentText"/>
    <w:next w:val="CommentText"/>
    <w:semiHidden/>
    <w:rsid w:val="006F154E"/>
    <w:rPr>
      <w:b/>
      <w:bCs/>
    </w:rPr>
  </w:style>
  <w:style w:type="paragraph" w:styleId="Subtitle">
    <w:name w:val="Subtitle"/>
    <w:basedOn w:val="Normal"/>
    <w:next w:val="Normal"/>
    <w:link w:val="SubtitleChar"/>
    <w:qFormat/>
    <w:rsid w:val="00BF49F8"/>
    <w:pPr>
      <w:numPr>
        <w:ilvl w:val="1"/>
      </w:numPr>
    </w:pPr>
    <w:rPr>
      <w:rFonts w:ascii="Tahoma" w:eastAsia="Calibri" w:hAnsi="Tahoma"/>
      <w:i/>
      <w:iCs/>
      <w:spacing w:val="15"/>
      <w:sz w:val="24"/>
      <w:szCs w:val="24"/>
      <w:u w:val="single"/>
      <w:lang w:eastAsia="en-GB"/>
    </w:rPr>
  </w:style>
  <w:style w:type="character" w:customStyle="1" w:styleId="SubtitleChar">
    <w:name w:val="Subtitle Char"/>
    <w:link w:val="Subtitle"/>
    <w:locked/>
    <w:rsid w:val="00BF49F8"/>
    <w:rPr>
      <w:rFonts w:ascii="Tahoma" w:eastAsia="Calibri" w:hAnsi="Tahoma"/>
      <w:i/>
      <w:iCs/>
      <w:spacing w:val="15"/>
      <w:sz w:val="24"/>
      <w:szCs w:val="24"/>
      <w:u w:val="single"/>
      <w:lang w:val="en-GB" w:eastAsia="en-GB" w:bidi="ar-SA"/>
    </w:rPr>
  </w:style>
  <w:style w:type="paragraph" w:styleId="ListParagraph">
    <w:name w:val="List Paragraph"/>
    <w:basedOn w:val="Normal"/>
    <w:link w:val="ListParagraphChar"/>
    <w:uiPriority w:val="34"/>
    <w:qFormat/>
    <w:rsid w:val="00754A17"/>
    <w:pPr>
      <w:ind w:left="720"/>
      <w:contextualSpacing/>
    </w:pPr>
    <w:rPr>
      <w:rFonts w:eastAsia="Calibri"/>
      <w:sz w:val="24"/>
      <w:szCs w:val="20"/>
      <w:u w:val="single"/>
      <w:lang w:eastAsia="en-GB"/>
    </w:rPr>
  </w:style>
  <w:style w:type="paragraph" w:styleId="BlockText">
    <w:name w:val="Block Text"/>
    <w:basedOn w:val="Normal"/>
    <w:semiHidden/>
    <w:rsid w:val="00754A17"/>
    <w:pPr>
      <w:tabs>
        <w:tab w:val="left" w:pos="1843"/>
      </w:tabs>
      <w:spacing w:line="240" w:lineRule="atLeast"/>
      <w:ind w:left="1843" w:right="-142"/>
    </w:pPr>
    <w:rPr>
      <w:rFonts w:eastAsia="Calibri"/>
      <w:sz w:val="24"/>
      <w:szCs w:val="20"/>
      <w:lang w:eastAsia="en-GB"/>
    </w:rPr>
  </w:style>
  <w:style w:type="paragraph" w:styleId="NoSpacing">
    <w:name w:val="No Spacing"/>
    <w:qFormat/>
    <w:rsid w:val="00F9431F"/>
    <w:rPr>
      <w:rFonts w:ascii="Arial" w:hAnsi="Arial"/>
      <w:sz w:val="24"/>
      <w:szCs w:val="22"/>
      <w:lang w:eastAsia="en-US"/>
    </w:rPr>
  </w:style>
  <w:style w:type="paragraph" w:styleId="Title">
    <w:name w:val="Title"/>
    <w:basedOn w:val="Normal"/>
    <w:next w:val="Normal"/>
    <w:link w:val="TitleChar"/>
    <w:qFormat/>
    <w:rsid w:val="00F9431F"/>
    <w:pPr>
      <w:spacing w:after="300"/>
      <w:contextualSpacing/>
    </w:pPr>
    <w:rPr>
      <w:rFonts w:ascii="Tahoma" w:eastAsia="Calibri" w:hAnsi="Tahoma"/>
      <w:spacing w:val="5"/>
      <w:kern w:val="28"/>
      <w:sz w:val="52"/>
      <w:szCs w:val="52"/>
      <w:u w:val="single"/>
      <w:lang w:eastAsia="en-GB"/>
    </w:rPr>
  </w:style>
  <w:style w:type="character" w:customStyle="1" w:styleId="TitleChar">
    <w:name w:val="Title Char"/>
    <w:link w:val="Title"/>
    <w:locked/>
    <w:rsid w:val="00F9431F"/>
    <w:rPr>
      <w:rFonts w:ascii="Tahoma" w:eastAsia="Calibri" w:hAnsi="Tahoma"/>
      <w:spacing w:val="5"/>
      <w:kern w:val="28"/>
      <w:sz w:val="52"/>
      <w:szCs w:val="52"/>
      <w:u w:val="single"/>
      <w:lang w:val="en-GB" w:eastAsia="en-GB" w:bidi="ar-SA"/>
    </w:rPr>
  </w:style>
  <w:style w:type="paragraph" w:styleId="Quote">
    <w:name w:val="Quote"/>
    <w:basedOn w:val="Normal"/>
    <w:next w:val="Normal"/>
    <w:link w:val="QuoteChar"/>
    <w:qFormat/>
    <w:rsid w:val="00F9431F"/>
    <w:rPr>
      <w:rFonts w:eastAsia="Calibri"/>
      <w:i/>
      <w:iCs/>
      <w:sz w:val="24"/>
      <w:szCs w:val="20"/>
      <w:u w:val="single"/>
      <w:lang w:eastAsia="en-GB"/>
    </w:rPr>
  </w:style>
  <w:style w:type="character" w:customStyle="1" w:styleId="QuoteChar">
    <w:name w:val="Quote Char"/>
    <w:link w:val="Quote"/>
    <w:locked/>
    <w:rsid w:val="00F9431F"/>
    <w:rPr>
      <w:rFonts w:ascii="Arial" w:eastAsia="Calibri" w:hAnsi="Arial"/>
      <w:i/>
      <w:iCs/>
      <w:sz w:val="24"/>
      <w:u w:val="single"/>
      <w:lang w:val="en-GB" w:eastAsia="en-GB" w:bidi="ar-SA"/>
    </w:rPr>
  </w:style>
  <w:style w:type="paragraph" w:styleId="IntenseQuote">
    <w:name w:val="Intense Quote"/>
    <w:basedOn w:val="Normal"/>
    <w:next w:val="Normal"/>
    <w:link w:val="IntenseQuoteChar"/>
    <w:qFormat/>
    <w:rsid w:val="00F9431F"/>
    <w:pPr>
      <w:spacing w:before="200" w:after="280"/>
      <w:ind w:left="936" w:right="936"/>
    </w:pPr>
    <w:rPr>
      <w:rFonts w:eastAsia="Calibri"/>
      <w:b/>
      <w:bCs/>
      <w:i/>
      <w:iCs/>
      <w:sz w:val="24"/>
      <w:szCs w:val="20"/>
      <w:u w:val="single"/>
      <w:lang w:eastAsia="en-GB"/>
    </w:rPr>
  </w:style>
  <w:style w:type="character" w:customStyle="1" w:styleId="IntenseQuoteChar">
    <w:name w:val="Intense Quote Char"/>
    <w:link w:val="IntenseQuote"/>
    <w:locked/>
    <w:rsid w:val="00F9431F"/>
    <w:rPr>
      <w:rFonts w:ascii="Arial" w:eastAsia="Calibri" w:hAnsi="Arial"/>
      <w:b/>
      <w:bCs/>
      <w:i/>
      <w:iCs/>
      <w:sz w:val="24"/>
      <w:u w:val="single"/>
      <w:lang w:val="en-GB" w:eastAsia="en-GB" w:bidi="ar-SA"/>
    </w:rPr>
  </w:style>
  <w:style w:type="paragraph" w:customStyle="1" w:styleId="Elementheading">
    <w:name w:val="Element heading"/>
    <w:basedOn w:val="Normal"/>
    <w:rsid w:val="00F9431F"/>
    <w:pPr>
      <w:numPr>
        <w:numId w:val="5"/>
      </w:numPr>
    </w:pPr>
    <w:rPr>
      <w:rFonts w:ascii="Times New Roman" w:eastAsia="Calibri" w:hAnsi="Times New Roman"/>
      <w:b/>
      <w:sz w:val="20"/>
      <w:szCs w:val="20"/>
      <w:lang w:eastAsia="en-GB"/>
    </w:rPr>
  </w:style>
  <w:style w:type="paragraph" w:customStyle="1" w:styleId="inlinenormal">
    <w:name w:val="inlinenormal"/>
    <w:basedOn w:val="Normal"/>
    <w:rsid w:val="00D308B1"/>
    <w:pPr>
      <w:autoSpaceDN w:val="0"/>
      <w:spacing w:before="120" w:after="60" w:line="264" w:lineRule="auto"/>
    </w:pPr>
    <w:rPr>
      <w:rFonts w:cs="Arial"/>
      <w:sz w:val="24"/>
      <w:szCs w:val="24"/>
      <w:lang w:eastAsia="en-GB"/>
    </w:rPr>
  </w:style>
  <w:style w:type="character" w:styleId="Emphasis">
    <w:name w:val="Emphasis"/>
    <w:uiPriority w:val="20"/>
    <w:qFormat/>
    <w:rsid w:val="00D308B1"/>
    <w:rPr>
      <w:i/>
      <w:iCs/>
    </w:rPr>
  </w:style>
  <w:style w:type="character" w:customStyle="1" w:styleId="FootnoteTextChar">
    <w:name w:val="Footnote Text Char"/>
    <w:link w:val="FootnoteText"/>
    <w:uiPriority w:val="99"/>
    <w:semiHidden/>
    <w:locked/>
    <w:rsid w:val="000F34FB"/>
    <w:rPr>
      <w:rFonts w:ascii="Arial" w:hAnsi="Arial"/>
      <w:lang w:val="en-GB" w:eastAsia="en-US" w:bidi="ar-SA"/>
    </w:rPr>
  </w:style>
  <w:style w:type="character" w:customStyle="1" w:styleId="CharChar1">
    <w:name w:val="Char Char1"/>
    <w:semiHidden/>
    <w:locked/>
    <w:rsid w:val="008D5C49"/>
    <w:rPr>
      <w:rFonts w:ascii="Arial" w:hAnsi="Arial"/>
      <w:lang w:val="en-GB" w:eastAsia="en-US" w:bidi="ar-SA"/>
    </w:rPr>
  </w:style>
  <w:style w:type="character" w:customStyle="1" w:styleId="CharChar">
    <w:name w:val="Char Char"/>
    <w:semiHidden/>
    <w:locked/>
    <w:rsid w:val="008D5C49"/>
    <w:rPr>
      <w:rFonts w:ascii="Arial" w:eastAsia="Calibri" w:hAnsi="Arial"/>
      <w:lang w:val="en-GB" w:eastAsia="en-US" w:bidi="ar-SA"/>
    </w:rPr>
  </w:style>
  <w:style w:type="character" w:styleId="Strong">
    <w:name w:val="Strong"/>
    <w:uiPriority w:val="22"/>
    <w:qFormat/>
    <w:rsid w:val="00773808"/>
    <w:rPr>
      <w:b/>
      <w:bCs/>
    </w:rPr>
  </w:style>
  <w:style w:type="paragraph" w:styleId="EndnoteText">
    <w:name w:val="endnote text"/>
    <w:basedOn w:val="Normal"/>
    <w:link w:val="EndnoteTextChar"/>
    <w:rsid w:val="00B709B7"/>
    <w:rPr>
      <w:sz w:val="20"/>
      <w:szCs w:val="20"/>
    </w:rPr>
  </w:style>
  <w:style w:type="character" w:customStyle="1" w:styleId="EndnoteTextChar">
    <w:name w:val="Endnote Text Char"/>
    <w:link w:val="EndnoteText"/>
    <w:rsid w:val="00B709B7"/>
    <w:rPr>
      <w:rFonts w:ascii="Arial" w:hAnsi="Arial"/>
      <w:lang w:eastAsia="en-US"/>
    </w:rPr>
  </w:style>
  <w:style w:type="character" w:styleId="EndnoteReference">
    <w:name w:val="endnote reference"/>
    <w:rsid w:val="00B709B7"/>
    <w:rPr>
      <w:vertAlign w:val="superscript"/>
    </w:rPr>
  </w:style>
  <w:style w:type="paragraph" w:customStyle="1" w:styleId="Default">
    <w:name w:val="Default"/>
    <w:rsid w:val="00D34473"/>
    <w:pPr>
      <w:widowControl w:val="0"/>
      <w:autoSpaceDE w:val="0"/>
      <w:autoSpaceDN w:val="0"/>
      <w:adjustRightInd w:val="0"/>
    </w:pPr>
    <w:rPr>
      <w:rFonts w:ascii="Myriad Pro" w:hAnsi="Myriad Pro" w:cs="Myriad Pro"/>
      <w:color w:val="000000"/>
      <w:sz w:val="24"/>
      <w:szCs w:val="24"/>
    </w:rPr>
  </w:style>
  <w:style w:type="paragraph" w:customStyle="1" w:styleId="GrantThorntonOffices">
    <w:name w:val="Grant Thornton Offices"/>
    <w:basedOn w:val="Normal"/>
    <w:rsid w:val="00A11957"/>
    <w:rPr>
      <w:rFonts w:ascii="Garamond" w:hAnsi="Garamond"/>
      <w:noProof/>
      <w:sz w:val="22"/>
      <w:szCs w:val="24"/>
    </w:rPr>
  </w:style>
  <w:style w:type="character" w:customStyle="1" w:styleId="ListParagraphChar">
    <w:name w:val="List Paragraph Char"/>
    <w:basedOn w:val="DefaultParagraphFont"/>
    <w:link w:val="ListParagraph"/>
    <w:uiPriority w:val="34"/>
    <w:locked/>
    <w:rsid w:val="00A94AD6"/>
    <w:rPr>
      <w:rFonts w:ascii="Arial" w:eastAsia="Calibri" w:hAnsi="Arial"/>
      <w:sz w:val="24"/>
      <w:u w:val="single"/>
    </w:rPr>
  </w:style>
  <w:style w:type="paragraph" w:customStyle="1" w:styleId="CodeNotesExampleText">
    <w:name w:val="CodeNotes Example Text"/>
    <w:basedOn w:val="Normal"/>
    <w:uiPriority w:val="99"/>
    <w:rsid w:val="009367F6"/>
    <w:pPr>
      <w:spacing w:line="240" w:lineRule="atLeast"/>
    </w:pPr>
    <w:rPr>
      <w:color w:val="000000"/>
      <w:sz w:val="18"/>
      <w:szCs w:val="18"/>
    </w:rPr>
  </w:style>
  <w:style w:type="paragraph" w:customStyle="1" w:styleId="ListBullet1">
    <w:name w:val="List Bullet1"/>
    <w:basedOn w:val="Normal"/>
    <w:next w:val="ListBullet"/>
    <w:uiPriority w:val="1"/>
    <w:qFormat/>
    <w:rsid w:val="00553405"/>
    <w:pPr>
      <w:numPr>
        <w:numId w:val="26"/>
      </w:numPr>
      <w:tabs>
        <w:tab w:val="clear" w:pos="284"/>
        <w:tab w:val="num" w:pos="360"/>
      </w:tabs>
      <w:spacing w:after="120" w:line="240" w:lineRule="atLeast"/>
      <w:ind w:left="340" w:hanging="340"/>
    </w:pPr>
    <w:rPr>
      <w:sz w:val="18"/>
      <w:szCs w:val="18"/>
    </w:rPr>
  </w:style>
  <w:style w:type="paragraph" w:customStyle="1" w:styleId="ListBullet21">
    <w:name w:val="List Bullet 21"/>
    <w:basedOn w:val="Normal"/>
    <w:next w:val="ListBullet2"/>
    <w:uiPriority w:val="1"/>
    <w:qFormat/>
    <w:rsid w:val="00553405"/>
    <w:pPr>
      <w:numPr>
        <w:ilvl w:val="1"/>
        <w:numId w:val="26"/>
      </w:numPr>
      <w:tabs>
        <w:tab w:val="clear" w:pos="567"/>
        <w:tab w:val="num" w:pos="1440"/>
      </w:tabs>
      <w:spacing w:after="120" w:line="240" w:lineRule="atLeast"/>
      <w:ind w:left="1440" w:hanging="360"/>
    </w:pPr>
    <w:rPr>
      <w:sz w:val="18"/>
      <w:szCs w:val="18"/>
    </w:rPr>
  </w:style>
  <w:style w:type="numbering" w:customStyle="1" w:styleId="GTListBullet">
    <w:name w:val="GT List Bullet"/>
    <w:uiPriority w:val="99"/>
    <w:rsid w:val="00553405"/>
    <w:pPr>
      <w:numPr>
        <w:numId w:val="25"/>
      </w:numPr>
    </w:pPr>
  </w:style>
  <w:style w:type="paragraph" w:customStyle="1" w:styleId="ListBullet31">
    <w:name w:val="List Bullet 31"/>
    <w:basedOn w:val="Normal"/>
    <w:next w:val="ListBullet3"/>
    <w:uiPriority w:val="1"/>
    <w:qFormat/>
    <w:rsid w:val="00553405"/>
    <w:pPr>
      <w:numPr>
        <w:ilvl w:val="2"/>
        <w:numId w:val="26"/>
      </w:numPr>
      <w:tabs>
        <w:tab w:val="clear" w:pos="851"/>
        <w:tab w:val="num" w:pos="2160"/>
      </w:tabs>
      <w:spacing w:after="120" w:line="240" w:lineRule="atLeast"/>
      <w:ind w:left="2160" w:hanging="360"/>
    </w:pPr>
    <w:rPr>
      <w:sz w:val="18"/>
      <w:szCs w:val="18"/>
    </w:rPr>
  </w:style>
  <w:style w:type="paragraph" w:styleId="ListBullet3">
    <w:name w:val="List Bullet 3"/>
    <w:basedOn w:val="Normal"/>
    <w:uiPriority w:val="1"/>
    <w:qFormat/>
    <w:rsid w:val="00553405"/>
    <w:pPr>
      <w:numPr>
        <w:numId w:val="27"/>
      </w:numPr>
      <w:contextualSpacing/>
    </w:pPr>
  </w:style>
  <w:style w:type="paragraph" w:styleId="ListBullet">
    <w:name w:val="List Bullet"/>
    <w:basedOn w:val="Normal"/>
    <w:uiPriority w:val="1"/>
    <w:qFormat/>
    <w:rsid w:val="00553405"/>
    <w:pPr>
      <w:tabs>
        <w:tab w:val="num" w:pos="284"/>
      </w:tabs>
      <w:ind w:left="284" w:hanging="284"/>
      <w:contextualSpacing/>
    </w:pPr>
  </w:style>
  <w:style w:type="paragraph" w:styleId="ListBullet2">
    <w:name w:val="List Bullet 2"/>
    <w:basedOn w:val="Normal"/>
    <w:uiPriority w:val="1"/>
    <w:qFormat/>
    <w:rsid w:val="00553405"/>
    <w:pPr>
      <w:tabs>
        <w:tab w:val="num" w:pos="720"/>
      </w:tabs>
      <w:ind w:left="720" w:hanging="360"/>
      <w:contextualSpacing/>
    </w:pPr>
  </w:style>
  <w:style w:type="paragraph" w:customStyle="1" w:styleId="paragraph">
    <w:name w:val="paragraph"/>
    <w:basedOn w:val="Normal"/>
    <w:rsid w:val="00B00892"/>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B00892"/>
  </w:style>
  <w:style w:type="character" w:customStyle="1" w:styleId="eop">
    <w:name w:val="eop"/>
    <w:basedOn w:val="DefaultParagraphFont"/>
    <w:rsid w:val="00B00892"/>
  </w:style>
  <w:style w:type="paragraph" w:styleId="TOCHeading">
    <w:name w:val="TOC Heading"/>
    <w:basedOn w:val="Heading1"/>
    <w:next w:val="Normal"/>
    <w:uiPriority w:val="39"/>
    <w:unhideWhenUsed/>
    <w:qFormat/>
    <w:rsid w:val="00C01DC6"/>
    <w:pPr>
      <w:keepLines/>
      <w:spacing w:before="240" w:line="259" w:lineRule="auto"/>
      <w:jc w:val="left"/>
      <w:outlineLvl w:val="9"/>
    </w:pPr>
    <w:rPr>
      <w:rFonts w:asciiTheme="majorHAnsi" w:eastAsiaTheme="majorEastAsia" w:hAnsiTheme="majorHAnsi" w:cstheme="majorBidi"/>
      <w:b w:val="0"/>
      <w:bCs w:val="0"/>
      <w:color w:val="2E74B5" w:themeColor="accent1" w:themeShade="BF"/>
      <w:szCs w:val="32"/>
      <w:lang w:val="en-US"/>
    </w:rPr>
  </w:style>
  <w:style w:type="character" w:styleId="UnresolvedMention">
    <w:name w:val="Unresolved Mention"/>
    <w:basedOn w:val="DefaultParagraphFont"/>
    <w:uiPriority w:val="99"/>
    <w:semiHidden/>
    <w:unhideWhenUsed/>
    <w:rsid w:val="00552E86"/>
    <w:rPr>
      <w:color w:val="605E5C"/>
      <w:shd w:val="clear" w:color="auto" w:fill="E1DFDD"/>
    </w:rPr>
  </w:style>
  <w:style w:type="character" w:customStyle="1" w:styleId="scxw183118921">
    <w:name w:val="scxw183118921"/>
    <w:basedOn w:val="DefaultParagraphFont"/>
    <w:rsid w:val="0074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7351">
      <w:bodyDiv w:val="1"/>
      <w:marLeft w:val="0"/>
      <w:marRight w:val="0"/>
      <w:marTop w:val="0"/>
      <w:marBottom w:val="0"/>
      <w:divBdr>
        <w:top w:val="none" w:sz="0" w:space="0" w:color="auto"/>
        <w:left w:val="none" w:sz="0" w:space="0" w:color="auto"/>
        <w:bottom w:val="none" w:sz="0" w:space="0" w:color="auto"/>
        <w:right w:val="none" w:sz="0" w:space="0" w:color="auto"/>
      </w:divBdr>
    </w:div>
    <w:div w:id="53281646">
      <w:bodyDiv w:val="1"/>
      <w:marLeft w:val="0"/>
      <w:marRight w:val="0"/>
      <w:marTop w:val="0"/>
      <w:marBottom w:val="0"/>
      <w:divBdr>
        <w:top w:val="none" w:sz="0" w:space="0" w:color="auto"/>
        <w:left w:val="none" w:sz="0" w:space="0" w:color="auto"/>
        <w:bottom w:val="none" w:sz="0" w:space="0" w:color="auto"/>
        <w:right w:val="none" w:sz="0" w:space="0" w:color="auto"/>
      </w:divBdr>
    </w:div>
    <w:div w:id="55738097">
      <w:bodyDiv w:val="1"/>
      <w:marLeft w:val="0"/>
      <w:marRight w:val="0"/>
      <w:marTop w:val="0"/>
      <w:marBottom w:val="0"/>
      <w:divBdr>
        <w:top w:val="none" w:sz="0" w:space="0" w:color="auto"/>
        <w:left w:val="none" w:sz="0" w:space="0" w:color="auto"/>
        <w:bottom w:val="none" w:sz="0" w:space="0" w:color="auto"/>
        <w:right w:val="none" w:sz="0" w:space="0" w:color="auto"/>
      </w:divBdr>
    </w:div>
    <w:div w:id="61217643">
      <w:bodyDiv w:val="1"/>
      <w:marLeft w:val="0"/>
      <w:marRight w:val="0"/>
      <w:marTop w:val="0"/>
      <w:marBottom w:val="0"/>
      <w:divBdr>
        <w:top w:val="none" w:sz="0" w:space="0" w:color="auto"/>
        <w:left w:val="none" w:sz="0" w:space="0" w:color="auto"/>
        <w:bottom w:val="none" w:sz="0" w:space="0" w:color="auto"/>
        <w:right w:val="none" w:sz="0" w:space="0" w:color="auto"/>
      </w:divBdr>
    </w:div>
    <w:div w:id="64374490">
      <w:bodyDiv w:val="1"/>
      <w:marLeft w:val="0"/>
      <w:marRight w:val="0"/>
      <w:marTop w:val="0"/>
      <w:marBottom w:val="0"/>
      <w:divBdr>
        <w:top w:val="none" w:sz="0" w:space="0" w:color="auto"/>
        <w:left w:val="none" w:sz="0" w:space="0" w:color="auto"/>
        <w:bottom w:val="none" w:sz="0" w:space="0" w:color="auto"/>
        <w:right w:val="none" w:sz="0" w:space="0" w:color="auto"/>
      </w:divBdr>
    </w:div>
    <w:div w:id="74326928">
      <w:bodyDiv w:val="1"/>
      <w:marLeft w:val="0"/>
      <w:marRight w:val="0"/>
      <w:marTop w:val="0"/>
      <w:marBottom w:val="0"/>
      <w:divBdr>
        <w:top w:val="none" w:sz="0" w:space="0" w:color="auto"/>
        <w:left w:val="none" w:sz="0" w:space="0" w:color="auto"/>
        <w:bottom w:val="none" w:sz="0" w:space="0" w:color="auto"/>
        <w:right w:val="none" w:sz="0" w:space="0" w:color="auto"/>
      </w:divBdr>
    </w:div>
    <w:div w:id="108284653">
      <w:bodyDiv w:val="1"/>
      <w:marLeft w:val="0"/>
      <w:marRight w:val="0"/>
      <w:marTop w:val="0"/>
      <w:marBottom w:val="0"/>
      <w:divBdr>
        <w:top w:val="none" w:sz="0" w:space="0" w:color="auto"/>
        <w:left w:val="none" w:sz="0" w:space="0" w:color="auto"/>
        <w:bottom w:val="none" w:sz="0" w:space="0" w:color="auto"/>
        <w:right w:val="none" w:sz="0" w:space="0" w:color="auto"/>
      </w:divBdr>
    </w:div>
    <w:div w:id="125398535">
      <w:bodyDiv w:val="1"/>
      <w:marLeft w:val="0"/>
      <w:marRight w:val="0"/>
      <w:marTop w:val="0"/>
      <w:marBottom w:val="0"/>
      <w:divBdr>
        <w:top w:val="none" w:sz="0" w:space="0" w:color="auto"/>
        <w:left w:val="none" w:sz="0" w:space="0" w:color="auto"/>
        <w:bottom w:val="none" w:sz="0" w:space="0" w:color="auto"/>
        <w:right w:val="none" w:sz="0" w:space="0" w:color="auto"/>
      </w:divBdr>
    </w:div>
    <w:div w:id="130827588">
      <w:bodyDiv w:val="1"/>
      <w:marLeft w:val="0"/>
      <w:marRight w:val="0"/>
      <w:marTop w:val="0"/>
      <w:marBottom w:val="0"/>
      <w:divBdr>
        <w:top w:val="none" w:sz="0" w:space="0" w:color="auto"/>
        <w:left w:val="none" w:sz="0" w:space="0" w:color="auto"/>
        <w:bottom w:val="none" w:sz="0" w:space="0" w:color="auto"/>
        <w:right w:val="none" w:sz="0" w:space="0" w:color="auto"/>
      </w:divBdr>
    </w:div>
    <w:div w:id="155150081">
      <w:bodyDiv w:val="1"/>
      <w:marLeft w:val="0"/>
      <w:marRight w:val="0"/>
      <w:marTop w:val="0"/>
      <w:marBottom w:val="0"/>
      <w:divBdr>
        <w:top w:val="none" w:sz="0" w:space="0" w:color="auto"/>
        <w:left w:val="none" w:sz="0" w:space="0" w:color="auto"/>
        <w:bottom w:val="none" w:sz="0" w:space="0" w:color="auto"/>
        <w:right w:val="none" w:sz="0" w:space="0" w:color="auto"/>
      </w:divBdr>
    </w:div>
    <w:div w:id="215045383">
      <w:bodyDiv w:val="1"/>
      <w:marLeft w:val="0"/>
      <w:marRight w:val="0"/>
      <w:marTop w:val="0"/>
      <w:marBottom w:val="0"/>
      <w:divBdr>
        <w:top w:val="none" w:sz="0" w:space="0" w:color="auto"/>
        <w:left w:val="none" w:sz="0" w:space="0" w:color="auto"/>
        <w:bottom w:val="none" w:sz="0" w:space="0" w:color="auto"/>
        <w:right w:val="none" w:sz="0" w:space="0" w:color="auto"/>
      </w:divBdr>
    </w:div>
    <w:div w:id="216430856">
      <w:bodyDiv w:val="1"/>
      <w:marLeft w:val="0"/>
      <w:marRight w:val="0"/>
      <w:marTop w:val="0"/>
      <w:marBottom w:val="0"/>
      <w:divBdr>
        <w:top w:val="none" w:sz="0" w:space="0" w:color="auto"/>
        <w:left w:val="none" w:sz="0" w:space="0" w:color="auto"/>
        <w:bottom w:val="none" w:sz="0" w:space="0" w:color="auto"/>
        <w:right w:val="none" w:sz="0" w:space="0" w:color="auto"/>
      </w:divBdr>
    </w:div>
    <w:div w:id="225528280">
      <w:bodyDiv w:val="1"/>
      <w:marLeft w:val="0"/>
      <w:marRight w:val="0"/>
      <w:marTop w:val="0"/>
      <w:marBottom w:val="0"/>
      <w:divBdr>
        <w:top w:val="none" w:sz="0" w:space="0" w:color="auto"/>
        <w:left w:val="none" w:sz="0" w:space="0" w:color="auto"/>
        <w:bottom w:val="none" w:sz="0" w:space="0" w:color="auto"/>
        <w:right w:val="none" w:sz="0" w:space="0" w:color="auto"/>
      </w:divBdr>
    </w:div>
    <w:div w:id="237251976">
      <w:bodyDiv w:val="1"/>
      <w:marLeft w:val="0"/>
      <w:marRight w:val="0"/>
      <w:marTop w:val="0"/>
      <w:marBottom w:val="0"/>
      <w:divBdr>
        <w:top w:val="none" w:sz="0" w:space="0" w:color="auto"/>
        <w:left w:val="none" w:sz="0" w:space="0" w:color="auto"/>
        <w:bottom w:val="none" w:sz="0" w:space="0" w:color="auto"/>
        <w:right w:val="none" w:sz="0" w:space="0" w:color="auto"/>
      </w:divBdr>
    </w:div>
    <w:div w:id="276916697">
      <w:bodyDiv w:val="1"/>
      <w:marLeft w:val="0"/>
      <w:marRight w:val="0"/>
      <w:marTop w:val="0"/>
      <w:marBottom w:val="0"/>
      <w:divBdr>
        <w:top w:val="none" w:sz="0" w:space="0" w:color="auto"/>
        <w:left w:val="none" w:sz="0" w:space="0" w:color="auto"/>
        <w:bottom w:val="none" w:sz="0" w:space="0" w:color="auto"/>
        <w:right w:val="none" w:sz="0" w:space="0" w:color="auto"/>
      </w:divBdr>
    </w:div>
    <w:div w:id="293875030">
      <w:bodyDiv w:val="1"/>
      <w:marLeft w:val="0"/>
      <w:marRight w:val="0"/>
      <w:marTop w:val="0"/>
      <w:marBottom w:val="0"/>
      <w:divBdr>
        <w:top w:val="none" w:sz="0" w:space="0" w:color="auto"/>
        <w:left w:val="none" w:sz="0" w:space="0" w:color="auto"/>
        <w:bottom w:val="none" w:sz="0" w:space="0" w:color="auto"/>
        <w:right w:val="none" w:sz="0" w:space="0" w:color="auto"/>
      </w:divBdr>
    </w:div>
    <w:div w:id="294793580">
      <w:bodyDiv w:val="1"/>
      <w:marLeft w:val="0"/>
      <w:marRight w:val="0"/>
      <w:marTop w:val="0"/>
      <w:marBottom w:val="0"/>
      <w:divBdr>
        <w:top w:val="none" w:sz="0" w:space="0" w:color="auto"/>
        <w:left w:val="none" w:sz="0" w:space="0" w:color="auto"/>
        <w:bottom w:val="none" w:sz="0" w:space="0" w:color="auto"/>
        <w:right w:val="none" w:sz="0" w:space="0" w:color="auto"/>
      </w:divBdr>
    </w:div>
    <w:div w:id="296497607">
      <w:bodyDiv w:val="1"/>
      <w:marLeft w:val="0"/>
      <w:marRight w:val="0"/>
      <w:marTop w:val="0"/>
      <w:marBottom w:val="0"/>
      <w:divBdr>
        <w:top w:val="none" w:sz="0" w:space="0" w:color="auto"/>
        <w:left w:val="none" w:sz="0" w:space="0" w:color="auto"/>
        <w:bottom w:val="none" w:sz="0" w:space="0" w:color="auto"/>
        <w:right w:val="none" w:sz="0" w:space="0" w:color="auto"/>
      </w:divBdr>
    </w:div>
    <w:div w:id="320894537">
      <w:bodyDiv w:val="1"/>
      <w:marLeft w:val="0"/>
      <w:marRight w:val="0"/>
      <w:marTop w:val="0"/>
      <w:marBottom w:val="0"/>
      <w:divBdr>
        <w:top w:val="none" w:sz="0" w:space="0" w:color="auto"/>
        <w:left w:val="none" w:sz="0" w:space="0" w:color="auto"/>
        <w:bottom w:val="none" w:sz="0" w:space="0" w:color="auto"/>
        <w:right w:val="none" w:sz="0" w:space="0" w:color="auto"/>
      </w:divBdr>
    </w:div>
    <w:div w:id="370426526">
      <w:bodyDiv w:val="1"/>
      <w:marLeft w:val="0"/>
      <w:marRight w:val="0"/>
      <w:marTop w:val="0"/>
      <w:marBottom w:val="0"/>
      <w:divBdr>
        <w:top w:val="none" w:sz="0" w:space="0" w:color="auto"/>
        <w:left w:val="none" w:sz="0" w:space="0" w:color="auto"/>
        <w:bottom w:val="none" w:sz="0" w:space="0" w:color="auto"/>
        <w:right w:val="none" w:sz="0" w:space="0" w:color="auto"/>
      </w:divBdr>
    </w:div>
    <w:div w:id="389961313">
      <w:bodyDiv w:val="1"/>
      <w:marLeft w:val="0"/>
      <w:marRight w:val="0"/>
      <w:marTop w:val="0"/>
      <w:marBottom w:val="0"/>
      <w:divBdr>
        <w:top w:val="none" w:sz="0" w:space="0" w:color="auto"/>
        <w:left w:val="none" w:sz="0" w:space="0" w:color="auto"/>
        <w:bottom w:val="none" w:sz="0" w:space="0" w:color="auto"/>
        <w:right w:val="none" w:sz="0" w:space="0" w:color="auto"/>
      </w:divBdr>
    </w:div>
    <w:div w:id="422265491">
      <w:bodyDiv w:val="1"/>
      <w:marLeft w:val="0"/>
      <w:marRight w:val="0"/>
      <w:marTop w:val="0"/>
      <w:marBottom w:val="0"/>
      <w:divBdr>
        <w:top w:val="none" w:sz="0" w:space="0" w:color="auto"/>
        <w:left w:val="none" w:sz="0" w:space="0" w:color="auto"/>
        <w:bottom w:val="none" w:sz="0" w:space="0" w:color="auto"/>
        <w:right w:val="none" w:sz="0" w:space="0" w:color="auto"/>
      </w:divBdr>
    </w:div>
    <w:div w:id="422773370">
      <w:bodyDiv w:val="1"/>
      <w:marLeft w:val="0"/>
      <w:marRight w:val="0"/>
      <w:marTop w:val="0"/>
      <w:marBottom w:val="0"/>
      <w:divBdr>
        <w:top w:val="none" w:sz="0" w:space="0" w:color="auto"/>
        <w:left w:val="none" w:sz="0" w:space="0" w:color="auto"/>
        <w:bottom w:val="none" w:sz="0" w:space="0" w:color="auto"/>
        <w:right w:val="none" w:sz="0" w:space="0" w:color="auto"/>
      </w:divBdr>
    </w:div>
    <w:div w:id="425080904">
      <w:bodyDiv w:val="1"/>
      <w:marLeft w:val="0"/>
      <w:marRight w:val="0"/>
      <w:marTop w:val="0"/>
      <w:marBottom w:val="0"/>
      <w:divBdr>
        <w:top w:val="none" w:sz="0" w:space="0" w:color="auto"/>
        <w:left w:val="none" w:sz="0" w:space="0" w:color="auto"/>
        <w:bottom w:val="none" w:sz="0" w:space="0" w:color="auto"/>
        <w:right w:val="none" w:sz="0" w:space="0" w:color="auto"/>
      </w:divBdr>
    </w:div>
    <w:div w:id="427165033">
      <w:bodyDiv w:val="1"/>
      <w:marLeft w:val="0"/>
      <w:marRight w:val="0"/>
      <w:marTop w:val="0"/>
      <w:marBottom w:val="0"/>
      <w:divBdr>
        <w:top w:val="none" w:sz="0" w:space="0" w:color="auto"/>
        <w:left w:val="none" w:sz="0" w:space="0" w:color="auto"/>
        <w:bottom w:val="none" w:sz="0" w:space="0" w:color="auto"/>
        <w:right w:val="none" w:sz="0" w:space="0" w:color="auto"/>
      </w:divBdr>
    </w:div>
    <w:div w:id="431628310">
      <w:bodyDiv w:val="1"/>
      <w:marLeft w:val="0"/>
      <w:marRight w:val="0"/>
      <w:marTop w:val="0"/>
      <w:marBottom w:val="0"/>
      <w:divBdr>
        <w:top w:val="none" w:sz="0" w:space="0" w:color="auto"/>
        <w:left w:val="none" w:sz="0" w:space="0" w:color="auto"/>
        <w:bottom w:val="none" w:sz="0" w:space="0" w:color="auto"/>
        <w:right w:val="none" w:sz="0" w:space="0" w:color="auto"/>
      </w:divBdr>
    </w:div>
    <w:div w:id="436758756">
      <w:bodyDiv w:val="1"/>
      <w:marLeft w:val="0"/>
      <w:marRight w:val="0"/>
      <w:marTop w:val="0"/>
      <w:marBottom w:val="0"/>
      <w:divBdr>
        <w:top w:val="none" w:sz="0" w:space="0" w:color="auto"/>
        <w:left w:val="none" w:sz="0" w:space="0" w:color="auto"/>
        <w:bottom w:val="none" w:sz="0" w:space="0" w:color="auto"/>
        <w:right w:val="none" w:sz="0" w:space="0" w:color="auto"/>
      </w:divBdr>
    </w:div>
    <w:div w:id="438375957">
      <w:bodyDiv w:val="1"/>
      <w:marLeft w:val="0"/>
      <w:marRight w:val="0"/>
      <w:marTop w:val="0"/>
      <w:marBottom w:val="0"/>
      <w:divBdr>
        <w:top w:val="none" w:sz="0" w:space="0" w:color="auto"/>
        <w:left w:val="none" w:sz="0" w:space="0" w:color="auto"/>
        <w:bottom w:val="none" w:sz="0" w:space="0" w:color="auto"/>
        <w:right w:val="none" w:sz="0" w:space="0" w:color="auto"/>
      </w:divBdr>
    </w:div>
    <w:div w:id="458299727">
      <w:bodyDiv w:val="1"/>
      <w:marLeft w:val="0"/>
      <w:marRight w:val="0"/>
      <w:marTop w:val="0"/>
      <w:marBottom w:val="0"/>
      <w:divBdr>
        <w:top w:val="none" w:sz="0" w:space="0" w:color="auto"/>
        <w:left w:val="none" w:sz="0" w:space="0" w:color="auto"/>
        <w:bottom w:val="none" w:sz="0" w:space="0" w:color="auto"/>
        <w:right w:val="none" w:sz="0" w:space="0" w:color="auto"/>
      </w:divBdr>
    </w:div>
    <w:div w:id="464854312">
      <w:bodyDiv w:val="1"/>
      <w:marLeft w:val="0"/>
      <w:marRight w:val="0"/>
      <w:marTop w:val="0"/>
      <w:marBottom w:val="0"/>
      <w:divBdr>
        <w:top w:val="none" w:sz="0" w:space="0" w:color="auto"/>
        <w:left w:val="none" w:sz="0" w:space="0" w:color="auto"/>
        <w:bottom w:val="none" w:sz="0" w:space="0" w:color="auto"/>
        <w:right w:val="none" w:sz="0" w:space="0" w:color="auto"/>
      </w:divBdr>
    </w:div>
    <w:div w:id="473329369">
      <w:bodyDiv w:val="1"/>
      <w:marLeft w:val="0"/>
      <w:marRight w:val="0"/>
      <w:marTop w:val="0"/>
      <w:marBottom w:val="0"/>
      <w:divBdr>
        <w:top w:val="none" w:sz="0" w:space="0" w:color="auto"/>
        <w:left w:val="none" w:sz="0" w:space="0" w:color="auto"/>
        <w:bottom w:val="none" w:sz="0" w:space="0" w:color="auto"/>
        <w:right w:val="none" w:sz="0" w:space="0" w:color="auto"/>
      </w:divBdr>
    </w:div>
    <w:div w:id="484585535">
      <w:bodyDiv w:val="1"/>
      <w:marLeft w:val="0"/>
      <w:marRight w:val="0"/>
      <w:marTop w:val="0"/>
      <w:marBottom w:val="0"/>
      <w:divBdr>
        <w:top w:val="none" w:sz="0" w:space="0" w:color="auto"/>
        <w:left w:val="none" w:sz="0" w:space="0" w:color="auto"/>
        <w:bottom w:val="none" w:sz="0" w:space="0" w:color="auto"/>
        <w:right w:val="none" w:sz="0" w:space="0" w:color="auto"/>
      </w:divBdr>
    </w:div>
    <w:div w:id="529294480">
      <w:bodyDiv w:val="1"/>
      <w:marLeft w:val="0"/>
      <w:marRight w:val="0"/>
      <w:marTop w:val="0"/>
      <w:marBottom w:val="0"/>
      <w:divBdr>
        <w:top w:val="none" w:sz="0" w:space="0" w:color="auto"/>
        <w:left w:val="none" w:sz="0" w:space="0" w:color="auto"/>
        <w:bottom w:val="none" w:sz="0" w:space="0" w:color="auto"/>
        <w:right w:val="none" w:sz="0" w:space="0" w:color="auto"/>
      </w:divBdr>
    </w:div>
    <w:div w:id="530412421">
      <w:bodyDiv w:val="1"/>
      <w:marLeft w:val="0"/>
      <w:marRight w:val="0"/>
      <w:marTop w:val="0"/>
      <w:marBottom w:val="0"/>
      <w:divBdr>
        <w:top w:val="none" w:sz="0" w:space="0" w:color="auto"/>
        <w:left w:val="none" w:sz="0" w:space="0" w:color="auto"/>
        <w:bottom w:val="none" w:sz="0" w:space="0" w:color="auto"/>
        <w:right w:val="none" w:sz="0" w:space="0" w:color="auto"/>
      </w:divBdr>
    </w:div>
    <w:div w:id="556430897">
      <w:bodyDiv w:val="1"/>
      <w:marLeft w:val="0"/>
      <w:marRight w:val="0"/>
      <w:marTop w:val="0"/>
      <w:marBottom w:val="0"/>
      <w:divBdr>
        <w:top w:val="none" w:sz="0" w:space="0" w:color="auto"/>
        <w:left w:val="none" w:sz="0" w:space="0" w:color="auto"/>
        <w:bottom w:val="none" w:sz="0" w:space="0" w:color="auto"/>
        <w:right w:val="none" w:sz="0" w:space="0" w:color="auto"/>
      </w:divBdr>
    </w:div>
    <w:div w:id="557858852">
      <w:bodyDiv w:val="1"/>
      <w:marLeft w:val="0"/>
      <w:marRight w:val="0"/>
      <w:marTop w:val="0"/>
      <w:marBottom w:val="0"/>
      <w:divBdr>
        <w:top w:val="none" w:sz="0" w:space="0" w:color="auto"/>
        <w:left w:val="none" w:sz="0" w:space="0" w:color="auto"/>
        <w:bottom w:val="none" w:sz="0" w:space="0" w:color="auto"/>
        <w:right w:val="none" w:sz="0" w:space="0" w:color="auto"/>
      </w:divBdr>
    </w:div>
    <w:div w:id="577327824">
      <w:bodyDiv w:val="1"/>
      <w:marLeft w:val="0"/>
      <w:marRight w:val="0"/>
      <w:marTop w:val="0"/>
      <w:marBottom w:val="0"/>
      <w:divBdr>
        <w:top w:val="none" w:sz="0" w:space="0" w:color="auto"/>
        <w:left w:val="none" w:sz="0" w:space="0" w:color="auto"/>
        <w:bottom w:val="none" w:sz="0" w:space="0" w:color="auto"/>
        <w:right w:val="none" w:sz="0" w:space="0" w:color="auto"/>
      </w:divBdr>
    </w:div>
    <w:div w:id="584345928">
      <w:bodyDiv w:val="1"/>
      <w:marLeft w:val="0"/>
      <w:marRight w:val="0"/>
      <w:marTop w:val="0"/>
      <w:marBottom w:val="0"/>
      <w:divBdr>
        <w:top w:val="none" w:sz="0" w:space="0" w:color="auto"/>
        <w:left w:val="none" w:sz="0" w:space="0" w:color="auto"/>
        <w:bottom w:val="none" w:sz="0" w:space="0" w:color="auto"/>
        <w:right w:val="none" w:sz="0" w:space="0" w:color="auto"/>
      </w:divBdr>
    </w:div>
    <w:div w:id="586110441">
      <w:bodyDiv w:val="1"/>
      <w:marLeft w:val="0"/>
      <w:marRight w:val="0"/>
      <w:marTop w:val="0"/>
      <w:marBottom w:val="0"/>
      <w:divBdr>
        <w:top w:val="none" w:sz="0" w:space="0" w:color="auto"/>
        <w:left w:val="none" w:sz="0" w:space="0" w:color="auto"/>
        <w:bottom w:val="none" w:sz="0" w:space="0" w:color="auto"/>
        <w:right w:val="none" w:sz="0" w:space="0" w:color="auto"/>
      </w:divBdr>
    </w:div>
    <w:div w:id="591013060">
      <w:bodyDiv w:val="1"/>
      <w:marLeft w:val="0"/>
      <w:marRight w:val="0"/>
      <w:marTop w:val="0"/>
      <w:marBottom w:val="0"/>
      <w:divBdr>
        <w:top w:val="none" w:sz="0" w:space="0" w:color="auto"/>
        <w:left w:val="none" w:sz="0" w:space="0" w:color="auto"/>
        <w:bottom w:val="none" w:sz="0" w:space="0" w:color="auto"/>
        <w:right w:val="none" w:sz="0" w:space="0" w:color="auto"/>
      </w:divBdr>
    </w:div>
    <w:div w:id="594948148">
      <w:bodyDiv w:val="1"/>
      <w:marLeft w:val="0"/>
      <w:marRight w:val="0"/>
      <w:marTop w:val="0"/>
      <w:marBottom w:val="0"/>
      <w:divBdr>
        <w:top w:val="none" w:sz="0" w:space="0" w:color="auto"/>
        <w:left w:val="none" w:sz="0" w:space="0" w:color="auto"/>
        <w:bottom w:val="none" w:sz="0" w:space="0" w:color="auto"/>
        <w:right w:val="none" w:sz="0" w:space="0" w:color="auto"/>
      </w:divBdr>
    </w:div>
    <w:div w:id="613563220">
      <w:bodyDiv w:val="1"/>
      <w:marLeft w:val="0"/>
      <w:marRight w:val="0"/>
      <w:marTop w:val="0"/>
      <w:marBottom w:val="0"/>
      <w:divBdr>
        <w:top w:val="none" w:sz="0" w:space="0" w:color="auto"/>
        <w:left w:val="none" w:sz="0" w:space="0" w:color="auto"/>
        <w:bottom w:val="none" w:sz="0" w:space="0" w:color="auto"/>
        <w:right w:val="none" w:sz="0" w:space="0" w:color="auto"/>
      </w:divBdr>
    </w:div>
    <w:div w:id="657072816">
      <w:bodyDiv w:val="1"/>
      <w:marLeft w:val="0"/>
      <w:marRight w:val="0"/>
      <w:marTop w:val="0"/>
      <w:marBottom w:val="0"/>
      <w:divBdr>
        <w:top w:val="none" w:sz="0" w:space="0" w:color="auto"/>
        <w:left w:val="none" w:sz="0" w:space="0" w:color="auto"/>
        <w:bottom w:val="none" w:sz="0" w:space="0" w:color="auto"/>
        <w:right w:val="none" w:sz="0" w:space="0" w:color="auto"/>
      </w:divBdr>
    </w:div>
    <w:div w:id="676352412">
      <w:bodyDiv w:val="1"/>
      <w:marLeft w:val="0"/>
      <w:marRight w:val="0"/>
      <w:marTop w:val="0"/>
      <w:marBottom w:val="0"/>
      <w:divBdr>
        <w:top w:val="none" w:sz="0" w:space="0" w:color="auto"/>
        <w:left w:val="none" w:sz="0" w:space="0" w:color="auto"/>
        <w:bottom w:val="none" w:sz="0" w:space="0" w:color="auto"/>
        <w:right w:val="none" w:sz="0" w:space="0" w:color="auto"/>
      </w:divBdr>
    </w:div>
    <w:div w:id="692267826">
      <w:bodyDiv w:val="1"/>
      <w:marLeft w:val="0"/>
      <w:marRight w:val="0"/>
      <w:marTop w:val="0"/>
      <w:marBottom w:val="0"/>
      <w:divBdr>
        <w:top w:val="none" w:sz="0" w:space="0" w:color="auto"/>
        <w:left w:val="none" w:sz="0" w:space="0" w:color="auto"/>
        <w:bottom w:val="none" w:sz="0" w:space="0" w:color="auto"/>
        <w:right w:val="none" w:sz="0" w:space="0" w:color="auto"/>
      </w:divBdr>
    </w:div>
    <w:div w:id="696590392">
      <w:bodyDiv w:val="1"/>
      <w:marLeft w:val="0"/>
      <w:marRight w:val="0"/>
      <w:marTop w:val="0"/>
      <w:marBottom w:val="0"/>
      <w:divBdr>
        <w:top w:val="none" w:sz="0" w:space="0" w:color="auto"/>
        <w:left w:val="none" w:sz="0" w:space="0" w:color="auto"/>
        <w:bottom w:val="none" w:sz="0" w:space="0" w:color="auto"/>
        <w:right w:val="none" w:sz="0" w:space="0" w:color="auto"/>
      </w:divBdr>
    </w:div>
    <w:div w:id="708068190">
      <w:bodyDiv w:val="1"/>
      <w:marLeft w:val="0"/>
      <w:marRight w:val="0"/>
      <w:marTop w:val="0"/>
      <w:marBottom w:val="0"/>
      <w:divBdr>
        <w:top w:val="none" w:sz="0" w:space="0" w:color="auto"/>
        <w:left w:val="none" w:sz="0" w:space="0" w:color="auto"/>
        <w:bottom w:val="none" w:sz="0" w:space="0" w:color="auto"/>
        <w:right w:val="none" w:sz="0" w:space="0" w:color="auto"/>
      </w:divBdr>
    </w:div>
    <w:div w:id="716396082">
      <w:bodyDiv w:val="1"/>
      <w:marLeft w:val="0"/>
      <w:marRight w:val="0"/>
      <w:marTop w:val="0"/>
      <w:marBottom w:val="0"/>
      <w:divBdr>
        <w:top w:val="none" w:sz="0" w:space="0" w:color="auto"/>
        <w:left w:val="none" w:sz="0" w:space="0" w:color="auto"/>
        <w:bottom w:val="none" w:sz="0" w:space="0" w:color="auto"/>
        <w:right w:val="none" w:sz="0" w:space="0" w:color="auto"/>
      </w:divBdr>
    </w:div>
    <w:div w:id="753162434">
      <w:bodyDiv w:val="1"/>
      <w:marLeft w:val="0"/>
      <w:marRight w:val="0"/>
      <w:marTop w:val="0"/>
      <w:marBottom w:val="0"/>
      <w:divBdr>
        <w:top w:val="none" w:sz="0" w:space="0" w:color="auto"/>
        <w:left w:val="none" w:sz="0" w:space="0" w:color="auto"/>
        <w:bottom w:val="none" w:sz="0" w:space="0" w:color="auto"/>
        <w:right w:val="none" w:sz="0" w:space="0" w:color="auto"/>
      </w:divBdr>
    </w:div>
    <w:div w:id="761411165">
      <w:bodyDiv w:val="1"/>
      <w:marLeft w:val="0"/>
      <w:marRight w:val="0"/>
      <w:marTop w:val="0"/>
      <w:marBottom w:val="0"/>
      <w:divBdr>
        <w:top w:val="none" w:sz="0" w:space="0" w:color="auto"/>
        <w:left w:val="none" w:sz="0" w:space="0" w:color="auto"/>
        <w:bottom w:val="none" w:sz="0" w:space="0" w:color="auto"/>
        <w:right w:val="none" w:sz="0" w:space="0" w:color="auto"/>
      </w:divBdr>
    </w:div>
    <w:div w:id="839391098">
      <w:bodyDiv w:val="1"/>
      <w:marLeft w:val="0"/>
      <w:marRight w:val="0"/>
      <w:marTop w:val="0"/>
      <w:marBottom w:val="0"/>
      <w:divBdr>
        <w:top w:val="none" w:sz="0" w:space="0" w:color="auto"/>
        <w:left w:val="none" w:sz="0" w:space="0" w:color="auto"/>
        <w:bottom w:val="none" w:sz="0" w:space="0" w:color="auto"/>
        <w:right w:val="none" w:sz="0" w:space="0" w:color="auto"/>
      </w:divBdr>
    </w:div>
    <w:div w:id="847016433">
      <w:bodyDiv w:val="1"/>
      <w:marLeft w:val="0"/>
      <w:marRight w:val="0"/>
      <w:marTop w:val="0"/>
      <w:marBottom w:val="0"/>
      <w:divBdr>
        <w:top w:val="none" w:sz="0" w:space="0" w:color="auto"/>
        <w:left w:val="none" w:sz="0" w:space="0" w:color="auto"/>
        <w:bottom w:val="none" w:sz="0" w:space="0" w:color="auto"/>
        <w:right w:val="none" w:sz="0" w:space="0" w:color="auto"/>
      </w:divBdr>
    </w:div>
    <w:div w:id="873037180">
      <w:bodyDiv w:val="1"/>
      <w:marLeft w:val="0"/>
      <w:marRight w:val="0"/>
      <w:marTop w:val="0"/>
      <w:marBottom w:val="0"/>
      <w:divBdr>
        <w:top w:val="none" w:sz="0" w:space="0" w:color="auto"/>
        <w:left w:val="none" w:sz="0" w:space="0" w:color="auto"/>
        <w:bottom w:val="none" w:sz="0" w:space="0" w:color="auto"/>
        <w:right w:val="none" w:sz="0" w:space="0" w:color="auto"/>
      </w:divBdr>
    </w:div>
    <w:div w:id="884803538">
      <w:bodyDiv w:val="1"/>
      <w:marLeft w:val="0"/>
      <w:marRight w:val="0"/>
      <w:marTop w:val="0"/>
      <w:marBottom w:val="0"/>
      <w:divBdr>
        <w:top w:val="none" w:sz="0" w:space="0" w:color="auto"/>
        <w:left w:val="none" w:sz="0" w:space="0" w:color="auto"/>
        <w:bottom w:val="none" w:sz="0" w:space="0" w:color="auto"/>
        <w:right w:val="none" w:sz="0" w:space="0" w:color="auto"/>
      </w:divBdr>
    </w:div>
    <w:div w:id="893005772">
      <w:bodyDiv w:val="1"/>
      <w:marLeft w:val="0"/>
      <w:marRight w:val="0"/>
      <w:marTop w:val="0"/>
      <w:marBottom w:val="0"/>
      <w:divBdr>
        <w:top w:val="none" w:sz="0" w:space="0" w:color="auto"/>
        <w:left w:val="none" w:sz="0" w:space="0" w:color="auto"/>
        <w:bottom w:val="none" w:sz="0" w:space="0" w:color="auto"/>
        <w:right w:val="none" w:sz="0" w:space="0" w:color="auto"/>
      </w:divBdr>
    </w:div>
    <w:div w:id="897860403">
      <w:bodyDiv w:val="1"/>
      <w:marLeft w:val="0"/>
      <w:marRight w:val="0"/>
      <w:marTop w:val="0"/>
      <w:marBottom w:val="0"/>
      <w:divBdr>
        <w:top w:val="none" w:sz="0" w:space="0" w:color="auto"/>
        <w:left w:val="none" w:sz="0" w:space="0" w:color="auto"/>
        <w:bottom w:val="none" w:sz="0" w:space="0" w:color="auto"/>
        <w:right w:val="none" w:sz="0" w:space="0" w:color="auto"/>
      </w:divBdr>
    </w:div>
    <w:div w:id="904679149">
      <w:bodyDiv w:val="1"/>
      <w:marLeft w:val="0"/>
      <w:marRight w:val="0"/>
      <w:marTop w:val="0"/>
      <w:marBottom w:val="0"/>
      <w:divBdr>
        <w:top w:val="none" w:sz="0" w:space="0" w:color="auto"/>
        <w:left w:val="none" w:sz="0" w:space="0" w:color="auto"/>
        <w:bottom w:val="none" w:sz="0" w:space="0" w:color="auto"/>
        <w:right w:val="none" w:sz="0" w:space="0" w:color="auto"/>
      </w:divBdr>
    </w:div>
    <w:div w:id="921262476">
      <w:bodyDiv w:val="1"/>
      <w:marLeft w:val="0"/>
      <w:marRight w:val="0"/>
      <w:marTop w:val="0"/>
      <w:marBottom w:val="0"/>
      <w:divBdr>
        <w:top w:val="none" w:sz="0" w:space="0" w:color="auto"/>
        <w:left w:val="none" w:sz="0" w:space="0" w:color="auto"/>
        <w:bottom w:val="none" w:sz="0" w:space="0" w:color="auto"/>
        <w:right w:val="none" w:sz="0" w:space="0" w:color="auto"/>
      </w:divBdr>
    </w:div>
    <w:div w:id="936716615">
      <w:bodyDiv w:val="1"/>
      <w:marLeft w:val="0"/>
      <w:marRight w:val="0"/>
      <w:marTop w:val="0"/>
      <w:marBottom w:val="0"/>
      <w:divBdr>
        <w:top w:val="none" w:sz="0" w:space="0" w:color="auto"/>
        <w:left w:val="none" w:sz="0" w:space="0" w:color="auto"/>
        <w:bottom w:val="none" w:sz="0" w:space="0" w:color="auto"/>
        <w:right w:val="none" w:sz="0" w:space="0" w:color="auto"/>
      </w:divBdr>
      <w:divsChild>
        <w:div w:id="1959487096">
          <w:marLeft w:val="0"/>
          <w:marRight w:val="0"/>
          <w:marTop w:val="0"/>
          <w:marBottom w:val="0"/>
          <w:divBdr>
            <w:top w:val="none" w:sz="0" w:space="0" w:color="auto"/>
            <w:left w:val="none" w:sz="0" w:space="0" w:color="auto"/>
            <w:bottom w:val="none" w:sz="0" w:space="0" w:color="auto"/>
            <w:right w:val="none" w:sz="0" w:space="0" w:color="auto"/>
          </w:divBdr>
          <w:divsChild>
            <w:div w:id="272053837">
              <w:marLeft w:val="0"/>
              <w:marRight w:val="0"/>
              <w:marTop w:val="0"/>
              <w:marBottom w:val="0"/>
              <w:divBdr>
                <w:top w:val="none" w:sz="0" w:space="0" w:color="auto"/>
                <w:left w:val="none" w:sz="0" w:space="0" w:color="auto"/>
                <w:bottom w:val="none" w:sz="0" w:space="0" w:color="auto"/>
                <w:right w:val="none" w:sz="0" w:space="0" w:color="auto"/>
              </w:divBdr>
            </w:div>
            <w:div w:id="877860909">
              <w:marLeft w:val="0"/>
              <w:marRight w:val="0"/>
              <w:marTop w:val="0"/>
              <w:marBottom w:val="0"/>
              <w:divBdr>
                <w:top w:val="none" w:sz="0" w:space="0" w:color="auto"/>
                <w:left w:val="none" w:sz="0" w:space="0" w:color="auto"/>
                <w:bottom w:val="none" w:sz="0" w:space="0" w:color="auto"/>
                <w:right w:val="none" w:sz="0" w:space="0" w:color="auto"/>
              </w:divBdr>
            </w:div>
            <w:div w:id="440682906">
              <w:marLeft w:val="0"/>
              <w:marRight w:val="0"/>
              <w:marTop w:val="0"/>
              <w:marBottom w:val="0"/>
              <w:divBdr>
                <w:top w:val="none" w:sz="0" w:space="0" w:color="auto"/>
                <w:left w:val="none" w:sz="0" w:space="0" w:color="auto"/>
                <w:bottom w:val="none" w:sz="0" w:space="0" w:color="auto"/>
                <w:right w:val="none" w:sz="0" w:space="0" w:color="auto"/>
              </w:divBdr>
            </w:div>
            <w:div w:id="991906577">
              <w:marLeft w:val="0"/>
              <w:marRight w:val="0"/>
              <w:marTop w:val="0"/>
              <w:marBottom w:val="0"/>
              <w:divBdr>
                <w:top w:val="none" w:sz="0" w:space="0" w:color="auto"/>
                <w:left w:val="none" w:sz="0" w:space="0" w:color="auto"/>
                <w:bottom w:val="none" w:sz="0" w:space="0" w:color="auto"/>
                <w:right w:val="none" w:sz="0" w:space="0" w:color="auto"/>
              </w:divBdr>
            </w:div>
            <w:div w:id="1488979153">
              <w:marLeft w:val="0"/>
              <w:marRight w:val="0"/>
              <w:marTop w:val="0"/>
              <w:marBottom w:val="0"/>
              <w:divBdr>
                <w:top w:val="none" w:sz="0" w:space="0" w:color="auto"/>
                <w:left w:val="none" w:sz="0" w:space="0" w:color="auto"/>
                <w:bottom w:val="none" w:sz="0" w:space="0" w:color="auto"/>
                <w:right w:val="none" w:sz="0" w:space="0" w:color="auto"/>
              </w:divBdr>
            </w:div>
            <w:div w:id="1347974828">
              <w:marLeft w:val="0"/>
              <w:marRight w:val="0"/>
              <w:marTop w:val="0"/>
              <w:marBottom w:val="0"/>
              <w:divBdr>
                <w:top w:val="none" w:sz="0" w:space="0" w:color="auto"/>
                <w:left w:val="none" w:sz="0" w:space="0" w:color="auto"/>
                <w:bottom w:val="none" w:sz="0" w:space="0" w:color="auto"/>
                <w:right w:val="none" w:sz="0" w:space="0" w:color="auto"/>
              </w:divBdr>
            </w:div>
            <w:div w:id="1488588974">
              <w:marLeft w:val="0"/>
              <w:marRight w:val="0"/>
              <w:marTop w:val="0"/>
              <w:marBottom w:val="0"/>
              <w:divBdr>
                <w:top w:val="none" w:sz="0" w:space="0" w:color="auto"/>
                <w:left w:val="none" w:sz="0" w:space="0" w:color="auto"/>
                <w:bottom w:val="none" w:sz="0" w:space="0" w:color="auto"/>
                <w:right w:val="none" w:sz="0" w:space="0" w:color="auto"/>
              </w:divBdr>
            </w:div>
            <w:div w:id="13962909">
              <w:marLeft w:val="0"/>
              <w:marRight w:val="0"/>
              <w:marTop w:val="0"/>
              <w:marBottom w:val="0"/>
              <w:divBdr>
                <w:top w:val="none" w:sz="0" w:space="0" w:color="auto"/>
                <w:left w:val="none" w:sz="0" w:space="0" w:color="auto"/>
                <w:bottom w:val="none" w:sz="0" w:space="0" w:color="auto"/>
                <w:right w:val="none" w:sz="0" w:space="0" w:color="auto"/>
              </w:divBdr>
            </w:div>
            <w:div w:id="564338352">
              <w:marLeft w:val="0"/>
              <w:marRight w:val="0"/>
              <w:marTop w:val="0"/>
              <w:marBottom w:val="0"/>
              <w:divBdr>
                <w:top w:val="none" w:sz="0" w:space="0" w:color="auto"/>
                <w:left w:val="none" w:sz="0" w:space="0" w:color="auto"/>
                <w:bottom w:val="none" w:sz="0" w:space="0" w:color="auto"/>
                <w:right w:val="none" w:sz="0" w:space="0" w:color="auto"/>
              </w:divBdr>
            </w:div>
            <w:div w:id="1263027648">
              <w:marLeft w:val="0"/>
              <w:marRight w:val="0"/>
              <w:marTop w:val="0"/>
              <w:marBottom w:val="0"/>
              <w:divBdr>
                <w:top w:val="none" w:sz="0" w:space="0" w:color="auto"/>
                <w:left w:val="none" w:sz="0" w:space="0" w:color="auto"/>
                <w:bottom w:val="none" w:sz="0" w:space="0" w:color="auto"/>
                <w:right w:val="none" w:sz="0" w:space="0" w:color="auto"/>
              </w:divBdr>
            </w:div>
            <w:div w:id="976691401">
              <w:marLeft w:val="0"/>
              <w:marRight w:val="0"/>
              <w:marTop w:val="0"/>
              <w:marBottom w:val="0"/>
              <w:divBdr>
                <w:top w:val="none" w:sz="0" w:space="0" w:color="auto"/>
                <w:left w:val="none" w:sz="0" w:space="0" w:color="auto"/>
                <w:bottom w:val="none" w:sz="0" w:space="0" w:color="auto"/>
                <w:right w:val="none" w:sz="0" w:space="0" w:color="auto"/>
              </w:divBdr>
            </w:div>
            <w:div w:id="1034504964">
              <w:marLeft w:val="0"/>
              <w:marRight w:val="0"/>
              <w:marTop w:val="0"/>
              <w:marBottom w:val="0"/>
              <w:divBdr>
                <w:top w:val="none" w:sz="0" w:space="0" w:color="auto"/>
                <w:left w:val="none" w:sz="0" w:space="0" w:color="auto"/>
                <w:bottom w:val="none" w:sz="0" w:space="0" w:color="auto"/>
                <w:right w:val="none" w:sz="0" w:space="0" w:color="auto"/>
              </w:divBdr>
            </w:div>
            <w:div w:id="84158076">
              <w:marLeft w:val="0"/>
              <w:marRight w:val="0"/>
              <w:marTop w:val="0"/>
              <w:marBottom w:val="0"/>
              <w:divBdr>
                <w:top w:val="none" w:sz="0" w:space="0" w:color="auto"/>
                <w:left w:val="none" w:sz="0" w:space="0" w:color="auto"/>
                <w:bottom w:val="none" w:sz="0" w:space="0" w:color="auto"/>
                <w:right w:val="none" w:sz="0" w:space="0" w:color="auto"/>
              </w:divBdr>
            </w:div>
            <w:div w:id="123819349">
              <w:marLeft w:val="0"/>
              <w:marRight w:val="0"/>
              <w:marTop w:val="0"/>
              <w:marBottom w:val="0"/>
              <w:divBdr>
                <w:top w:val="none" w:sz="0" w:space="0" w:color="auto"/>
                <w:left w:val="none" w:sz="0" w:space="0" w:color="auto"/>
                <w:bottom w:val="none" w:sz="0" w:space="0" w:color="auto"/>
                <w:right w:val="none" w:sz="0" w:space="0" w:color="auto"/>
              </w:divBdr>
            </w:div>
            <w:div w:id="1235899387">
              <w:marLeft w:val="0"/>
              <w:marRight w:val="0"/>
              <w:marTop w:val="0"/>
              <w:marBottom w:val="0"/>
              <w:divBdr>
                <w:top w:val="none" w:sz="0" w:space="0" w:color="auto"/>
                <w:left w:val="none" w:sz="0" w:space="0" w:color="auto"/>
                <w:bottom w:val="none" w:sz="0" w:space="0" w:color="auto"/>
                <w:right w:val="none" w:sz="0" w:space="0" w:color="auto"/>
              </w:divBdr>
            </w:div>
            <w:div w:id="1650354901">
              <w:marLeft w:val="0"/>
              <w:marRight w:val="0"/>
              <w:marTop w:val="0"/>
              <w:marBottom w:val="0"/>
              <w:divBdr>
                <w:top w:val="none" w:sz="0" w:space="0" w:color="auto"/>
                <w:left w:val="none" w:sz="0" w:space="0" w:color="auto"/>
                <w:bottom w:val="none" w:sz="0" w:space="0" w:color="auto"/>
                <w:right w:val="none" w:sz="0" w:space="0" w:color="auto"/>
              </w:divBdr>
            </w:div>
            <w:div w:id="103767271">
              <w:marLeft w:val="0"/>
              <w:marRight w:val="0"/>
              <w:marTop w:val="0"/>
              <w:marBottom w:val="0"/>
              <w:divBdr>
                <w:top w:val="none" w:sz="0" w:space="0" w:color="auto"/>
                <w:left w:val="none" w:sz="0" w:space="0" w:color="auto"/>
                <w:bottom w:val="none" w:sz="0" w:space="0" w:color="auto"/>
                <w:right w:val="none" w:sz="0" w:space="0" w:color="auto"/>
              </w:divBdr>
            </w:div>
            <w:div w:id="887645014">
              <w:marLeft w:val="0"/>
              <w:marRight w:val="0"/>
              <w:marTop w:val="0"/>
              <w:marBottom w:val="0"/>
              <w:divBdr>
                <w:top w:val="none" w:sz="0" w:space="0" w:color="auto"/>
                <w:left w:val="none" w:sz="0" w:space="0" w:color="auto"/>
                <w:bottom w:val="none" w:sz="0" w:space="0" w:color="auto"/>
                <w:right w:val="none" w:sz="0" w:space="0" w:color="auto"/>
              </w:divBdr>
            </w:div>
          </w:divsChild>
        </w:div>
        <w:div w:id="1859391836">
          <w:marLeft w:val="0"/>
          <w:marRight w:val="0"/>
          <w:marTop w:val="0"/>
          <w:marBottom w:val="0"/>
          <w:divBdr>
            <w:top w:val="none" w:sz="0" w:space="0" w:color="auto"/>
            <w:left w:val="none" w:sz="0" w:space="0" w:color="auto"/>
            <w:bottom w:val="none" w:sz="0" w:space="0" w:color="auto"/>
            <w:right w:val="none" w:sz="0" w:space="0" w:color="auto"/>
          </w:divBdr>
          <w:divsChild>
            <w:div w:id="923999774">
              <w:marLeft w:val="0"/>
              <w:marRight w:val="0"/>
              <w:marTop w:val="0"/>
              <w:marBottom w:val="0"/>
              <w:divBdr>
                <w:top w:val="none" w:sz="0" w:space="0" w:color="auto"/>
                <w:left w:val="none" w:sz="0" w:space="0" w:color="auto"/>
                <w:bottom w:val="none" w:sz="0" w:space="0" w:color="auto"/>
                <w:right w:val="none" w:sz="0" w:space="0" w:color="auto"/>
              </w:divBdr>
            </w:div>
            <w:div w:id="1821581148">
              <w:marLeft w:val="0"/>
              <w:marRight w:val="0"/>
              <w:marTop w:val="0"/>
              <w:marBottom w:val="0"/>
              <w:divBdr>
                <w:top w:val="none" w:sz="0" w:space="0" w:color="auto"/>
                <w:left w:val="none" w:sz="0" w:space="0" w:color="auto"/>
                <w:bottom w:val="none" w:sz="0" w:space="0" w:color="auto"/>
                <w:right w:val="none" w:sz="0" w:space="0" w:color="auto"/>
              </w:divBdr>
            </w:div>
            <w:div w:id="423768168">
              <w:marLeft w:val="0"/>
              <w:marRight w:val="0"/>
              <w:marTop w:val="0"/>
              <w:marBottom w:val="0"/>
              <w:divBdr>
                <w:top w:val="none" w:sz="0" w:space="0" w:color="auto"/>
                <w:left w:val="none" w:sz="0" w:space="0" w:color="auto"/>
                <w:bottom w:val="none" w:sz="0" w:space="0" w:color="auto"/>
                <w:right w:val="none" w:sz="0" w:space="0" w:color="auto"/>
              </w:divBdr>
            </w:div>
            <w:div w:id="379017787">
              <w:marLeft w:val="0"/>
              <w:marRight w:val="0"/>
              <w:marTop w:val="0"/>
              <w:marBottom w:val="0"/>
              <w:divBdr>
                <w:top w:val="none" w:sz="0" w:space="0" w:color="auto"/>
                <w:left w:val="none" w:sz="0" w:space="0" w:color="auto"/>
                <w:bottom w:val="none" w:sz="0" w:space="0" w:color="auto"/>
                <w:right w:val="none" w:sz="0" w:space="0" w:color="auto"/>
              </w:divBdr>
            </w:div>
            <w:div w:id="591668860">
              <w:marLeft w:val="0"/>
              <w:marRight w:val="0"/>
              <w:marTop w:val="0"/>
              <w:marBottom w:val="0"/>
              <w:divBdr>
                <w:top w:val="none" w:sz="0" w:space="0" w:color="auto"/>
                <w:left w:val="none" w:sz="0" w:space="0" w:color="auto"/>
                <w:bottom w:val="none" w:sz="0" w:space="0" w:color="auto"/>
                <w:right w:val="none" w:sz="0" w:space="0" w:color="auto"/>
              </w:divBdr>
            </w:div>
            <w:div w:id="1803961399">
              <w:marLeft w:val="0"/>
              <w:marRight w:val="0"/>
              <w:marTop w:val="0"/>
              <w:marBottom w:val="0"/>
              <w:divBdr>
                <w:top w:val="none" w:sz="0" w:space="0" w:color="auto"/>
                <w:left w:val="none" w:sz="0" w:space="0" w:color="auto"/>
                <w:bottom w:val="none" w:sz="0" w:space="0" w:color="auto"/>
                <w:right w:val="none" w:sz="0" w:space="0" w:color="auto"/>
              </w:divBdr>
            </w:div>
            <w:div w:id="259992384">
              <w:marLeft w:val="0"/>
              <w:marRight w:val="0"/>
              <w:marTop w:val="0"/>
              <w:marBottom w:val="0"/>
              <w:divBdr>
                <w:top w:val="none" w:sz="0" w:space="0" w:color="auto"/>
                <w:left w:val="none" w:sz="0" w:space="0" w:color="auto"/>
                <w:bottom w:val="none" w:sz="0" w:space="0" w:color="auto"/>
                <w:right w:val="none" w:sz="0" w:space="0" w:color="auto"/>
              </w:divBdr>
            </w:div>
            <w:div w:id="1403987055">
              <w:marLeft w:val="0"/>
              <w:marRight w:val="0"/>
              <w:marTop w:val="0"/>
              <w:marBottom w:val="0"/>
              <w:divBdr>
                <w:top w:val="none" w:sz="0" w:space="0" w:color="auto"/>
                <w:left w:val="none" w:sz="0" w:space="0" w:color="auto"/>
                <w:bottom w:val="none" w:sz="0" w:space="0" w:color="auto"/>
                <w:right w:val="none" w:sz="0" w:space="0" w:color="auto"/>
              </w:divBdr>
            </w:div>
            <w:div w:id="1474441177">
              <w:marLeft w:val="0"/>
              <w:marRight w:val="0"/>
              <w:marTop w:val="0"/>
              <w:marBottom w:val="0"/>
              <w:divBdr>
                <w:top w:val="none" w:sz="0" w:space="0" w:color="auto"/>
                <w:left w:val="none" w:sz="0" w:space="0" w:color="auto"/>
                <w:bottom w:val="none" w:sz="0" w:space="0" w:color="auto"/>
                <w:right w:val="none" w:sz="0" w:space="0" w:color="auto"/>
              </w:divBdr>
            </w:div>
            <w:div w:id="762653090">
              <w:marLeft w:val="0"/>
              <w:marRight w:val="0"/>
              <w:marTop w:val="0"/>
              <w:marBottom w:val="0"/>
              <w:divBdr>
                <w:top w:val="none" w:sz="0" w:space="0" w:color="auto"/>
                <w:left w:val="none" w:sz="0" w:space="0" w:color="auto"/>
                <w:bottom w:val="none" w:sz="0" w:space="0" w:color="auto"/>
                <w:right w:val="none" w:sz="0" w:space="0" w:color="auto"/>
              </w:divBdr>
            </w:div>
            <w:div w:id="1023635107">
              <w:marLeft w:val="0"/>
              <w:marRight w:val="0"/>
              <w:marTop w:val="0"/>
              <w:marBottom w:val="0"/>
              <w:divBdr>
                <w:top w:val="none" w:sz="0" w:space="0" w:color="auto"/>
                <w:left w:val="none" w:sz="0" w:space="0" w:color="auto"/>
                <w:bottom w:val="none" w:sz="0" w:space="0" w:color="auto"/>
                <w:right w:val="none" w:sz="0" w:space="0" w:color="auto"/>
              </w:divBdr>
            </w:div>
            <w:div w:id="440565589">
              <w:marLeft w:val="0"/>
              <w:marRight w:val="0"/>
              <w:marTop w:val="0"/>
              <w:marBottom w:val="0"/>
              <w:divBdr>
                <w:top w:val="none" w:sz="0" w:space="0" w:color="auto"/>
                <w:left w:val="none" w:sz="0" w:space="0" w:color="auto"/>
                <w:bottom w:val="none" w:sz="0" w:space="0" w:color="auto"/>
                <w:right w:val="none" w:sz="0" w:space="0" w:color="auto"/>
              </w:divBdr>
            </w:div>
            <w:div w:id="444692693">
              <w:marLeft w:val="0"/>
              <w:marRight w:val="0"/>
              <w:marTop w:val="0"/>
              <w:marBottom w:val="0"/>
              <w:divBdr>
                <w:top w:val="none" w:sz="0" w:space="0" w:color="auto"/>
                <w:left w:val="none" w:sz="0" w:space="0" w:color="auto"/>
                <w:bottom w:val="none" w:sz="0" w:space="0" w:color="auto"/>
                <w:right w:val="none" w:sz="0" w:space="0" w:color="auto"/>
              </w:divBdr>
            </w:div>
            <w:div w:id="510919353">
              <w:marLeft w:val="0"/>
              <w:marRight w:val="0"/>
              <w:marTop w:val="0"/>
              <w:marBottom w:val="0"/>
              <w:divBdr>
                <w:top w:val="none" w:sz="0" w:space="0" w:color="auto"/>
                <w:left w:val="none" w:sz="0" w:space="0" w:color="auto"/>
                <w:bottom w:val="none" w:sz="0" w:space="0" w:color="auto"/>
                <w:right w:val="none" w:sz="0" w:space="0" w:color="auto"/>
              </w:divBdr>
            </w:div>
            <w:div w:id="6100115">
              <w:marLeft w:val="0"/>
              <w:marRight w:val="0"/>
              <w:marTop w:val="0"/>
              <w:marBottom w:val="0"/>
              <w:divBdr>
                <w:top w:val="none" w:sz="0" w:space="0" w:color="auto"/>
                <w:left w:val="none" w:sz="0" w:space="0" w:color="auto"/>
                <w:bottom w:val="none" w:sz="0" w:space="0" w:color="auto"/>
                <w:right w:val="none" w:sz="0" w:space="0" w:color="auto"/>
              </w:divBdr>
            </w:div>
            <w:div w:id="1342464874">
              <w:marLeft w:val="0"/>
              <w:marRight w:val="0"/>
              <w:marTop w:val="0"/>
              <w:marBottom w:val="0"/>
              <w:divBdr>
                <w:top w:val="none" w:sz="0" w:space="0" w:color="auto"/>
                <w:left w:val="none" w:sz="0" w:space="0" w:color="auto"/>
                <w:bottom w:val="none" w:sz="0" w:space="0" w:color="auto"/>
                <w:right w:val="none" w:sz="0" w:space="0" w:color="auto"/>
              </w:divBdr>
            </w:div>
            <w:div w:id="49959458">
              <w:marLeft w:val="0"/>
              <w:marRight w:val="0"/>
              <w:marTop w:val="0"/>
              <w:marBottom w:val="0"/>
              <w:divBdr>
                <w:top w:val="none" w:sz="0" w:space="0" w:color="auto"/>
                <w:left w:val="none" w:sz="0" w:space="0" w:color="auto"/>
                <w:bottom w:val="none" w:sz="0" w:space="0" w:color="auto"/>
                <w:right w:val="none" w:sz="0" w:space="0" w:color="auto"/>
              </w:divBdr>
            </w:div>
            <w:div w:id="154230934">
              <w:marLeft w:val="0"/>
              <w:marRight w:val="0"/>
              <w:marTop w:val="0"/>
              <w:marBottom w:val="0"/>
              <w:divBdr>
                <w:top w:val="none" w:sz="0" w:space="0" w:color="auto"/>
                <w:left w:val="none" w:sz="0" w:space="0" w:color="auto"/>
                <w:bottom w:val="none" w:sz="0" w:space="0" w:color="auto"/>
                <w:right w:val="none" w:sz="0" w:space="0" w:color="auto"/>
              </w:divBdr>
            </w:div>
            <w:div w:id="2095010914">
              <w:marLeft w:val="0"/>
              <w:marRight w:val="0"/>
              <w:marTop w:val="0"/>
              <w:marBottom w:val="0"/>
              <w:divBdr>
                <w:top w:val="none" w:sz="0" w:space="0" w:color="auto"/>
                <w:left w:val="none" w:sz="0" w:space="0" w:color="auto"/>
                <w:bottom w:val="none" w:sz="0" w:space="0" w:color="auto"/>
                <w:right w:val="none" w:sz="0" w:space="0" w:color="auto"/>
              </w:divBdr>
            </w:div>
            <w:div w:id="2130124905">
              <w:marLeft w:val="0"/>
              <w:marRight w:val="0"/>
              <w:marTop w:val="0"/>
              <w:marBottom w:val="0"/>
              <w:divBdr>
                <w:top w:val="none" w:sz="0" w:space="0" w:color="auto"/>
                <w:left w:val="none" w:sz="0" w:space="0" w:color="auto"/>
                <w:bottom w:val="none" w:sz="0" w:space="0" w:color="auto"/>
                <w:right w:val="none" w:sz="0" w:space="0" w:color="auto"/>
              </w:divBdr>
            </w:div>
          </w:divsChild>
        </w:div>
        <w:div w:id="1687366802">
          <w:marLeft w:val="0"/>
          <w:marRight w:val="0"/>
          <w:marTop w:val="0"/>
          <w:marBottom w:val="0"/>
          <w:divBdr>
            <w:top w:val="none" w:sz="0" w:space="0" w:color="auto"/>
            <w:left w:val="none" w:sz="0" w:space="0" w:color="auto"/>
            <w:bottom w:val="none" w:sz="0" w:space="0" w:color="auto"/>
            <w:right w:val="none" w:sz="0" w:space="0" w:color="auto"/>
          </w:divBdr>
          <w:divsChild>
            <w:div w:id="310671575">
              <w:marLeft w:val="0"/>
              <w:marRight w:val="0"/>
              <w:marTop w:val="0"/>
              <w:marBottom w:val="0"/>
              <w:divBdr>
                <w:top w:val="none" w:sz="0" w:space="0" w:color="auto"/>
                <w:left w:val="none" w:sz="0" w:space="0" w:color="auto"/>
                <w:bottom w:val="none" w:sz="0" w:space="0" w:color="auto"/>
                <w:right w:val="none" w:sz="0" w:space="0" w:color="auto"/>
              </w:divBdr>
            </w:div>
            <w:div w:id="126244203">
              <w:marLeft w:val="0"/>
              <w:marRight w:val="0"/>
              <w:marTop w:val="0"/>
              <w:marBottom w:val="0"/>
              <w:divBdr>
                <w:top w:val="none" w:sz="0" w:space="0" w:color="auto"/>
                <w:left w:val="none" w:sz="0" w:space="0" w:color="auto"/>
                <w:bottom w:val="none" w:sz="0" w:space="0" w:color="auto"/>
                <w:right w:val="none" w:sz="0" w:space="0" w:color="auto"/>
              </w:divBdr>
            </w:div>
            <w:div w:id="394354463">
              <w:marLeft w:val="0"/>
              <w:marRight w:val="0"/>
              <w:marTop w:val="0"/>
              <w:marBottom w:val="0"/>
              <w:divBdr>
                <w:top w:val="none" w:sz="0" w:space="0" w:color="auto"/>
                <w:left w:val="none" w:sz="0" w:space="0" w:color="auto"/>
                <w:bottom w:val="none" w:sz="0" w:space="0" w:color="auto"/>
                <w:right w:val="none" w:sz="0" w:space="0" w:color="auto"/>
              </w:divBdr>
            </w:div>
            <w:div w:id="1463235348">
              <w:marLeft w:val="0"/>
              <w:marRight w:val="0"/>
              <w:marTop w:val="0"/>
              <w:marBottom w:val="0"/>
              <w:divBdr>
                <w:top w:val="none" w:sz="0" w:space="0" w:color="auto"/>
                <w:left w:val="none" w:sz="0" w:space="0" w:color="auto"/>
                <w:bottom w:val="none" w:sz="0" w:space="0" w:color="auto"/>
                <w:right w:val="none" w:sz="0" w:space="0" w:color="auto"/>
              </w:divBdr>
            </w:div>
            <w:div w:id="530143756">
              <w:marLeft w:val="0"/>
              <w:marRight w:val="0"/>
              <w:marTop w:val="0"/>
              <w:marBottom w:val="0"/>
              <w:divBdr>
                <w:top w:val="none" w:sz="0" w:space="0" w:color="auto"/>
                <w:left w:val="none" w:sz="0" w:space="0" w:color="auto"/>
                <w:bottom w:val="none" w:sz="0" w:space="0" w:color="auto"/>
                <w:right w:val="none" w:sz="0" w:space="0" w:color="auto"/>
              </w:divBdr>
            </w:div>
            <w:div w:id="1044251188">
              <w:marLeft w:val="0"/>
              <w:marRight w:val="0"/>
              <w:marTop w:val="0"/>
              <w:marBottom w:val="0"/>
              <w:divBdr>
                <w:top w:val="none" w:sz="0" w:space="0" w:color="auto"/>
                <w:left w:val="none" w:sz="0" w:space="0" w:color="auto"/>
                <w:bottom w:val="none" w:sz="0" w:space="0" w:color="auto"/>
                <w:right w:val="none" w:sz="0" w:space="0" w:color="auto"/>
              </w:divBdr>
            </w:div>
            <w:div w:id="326906674">
              <w:marLeft w:val="0"/>
              <w:marRight w:val="0"/>
              <w:marTop w:val="0"/>
              <w:marBottom w:val="0"/>
              <w:divBdr>
                <w:top w:val="none" w:sz="0" w:space="0" w:color="auto"/>
                <w:left w:val="none" w:sz="0" w:space="0" w:color="auto"/>
                <w:bottom w:val="none" w:sz="0" w:space="0" w:color="auto"/>
                <w:right w:val="none" w:sz="0" w:space="0" w:color="auto"/>
              </w:divBdr>
            </w:div>
            <w:div w:id="169028999">
              <w:marLeft w:val="0"/>
              <w:marRight w:val="0"/>
              <w:marTop w:val="0"/>
              <w:marBottom w:val="0"/>
              <w:divBdr>
                <w:top w:val="none" w:sz="0" w:space="0" w:color="auto"/>
                <w:left w:val="none" w:sz="0" w:space="0" w:color="auto"/>
                <w:bottom w:val="none" w:sz="0" w:space="0" w:color="auto"/>
                <w:right w:val="none" w:sz="0" w:space="0" w:color="auto"/>
              </w:divBdr>
            </w:div>
            <w:div w:id="625159022">
              <w:marLeft w:val="0"/>
              <w:marRight w:val="0"/>
              <w:marTop w:val="0"/>
              <w:marBottom w:val="0"/>
              <w:divBdr>
                <w:top w:val="none" w:sz="0" w:space="0" w:color="auto"/>
                <w:left w:val="none" w:sz="0" w:space="0" w:color="auto"/>
                <w:bottom w:val="none" w:sz="0" w:space="0" w:color="auto"/>
                <w:right w:val="none" w:sz="0" w:space="0" w:color="auto"/>
              </w:divBdr>
            </w:div>
            <w:div w:id="953824662">
              <w:marLeft w:val="0"/>
              <w:marRight w:val="0"/>
              <w:marTop w:val="0"/>
              <w:marBottom w:val="0"/>
              <w:divBdr>
                <w:top w:val="none" w:sz="0" w:space="0" w:color="auto"/>
                <w:left w:val="none" w:sz="0" w:space="0" w:color="auto"/>
                <w:bottom w:val="none" w:sz="0" w:space="0" w:color="auto"/>
                <w:right w:val="none" w:sz="0" w:space="0" w:color="auto"/>
              </w:divBdr>
            </w:div>
            <w:div w:id="1201088275">
              <w:marLeft w:val="0"/>
              <w:marRight w:val="0"/>
              <w:marTop w:val="0"/>
              <w:marBottom w:val="0"/>
              <w:divBdr>
                <w:top w:val="none" w:sz="0" w:space="0" w:color="auto"/>
                <w:left w:val="none" w:sz="0" w:space="0" w:color="auto"/>
                <w:bottom w:val="none" w:sz="0" w:space="0" w:color="auto"/>
                <w:right w:val="none" w:sz="0" w:space="0" w:color="auto"/>
              </w:divBdr>
            </w:div>
            <w:div w:id="374932639">
              <w:marLeft w:val="0"/>
              <w:marRight w:val="0"/>
              <w:marTop w:val="0"/>
              <w:marBottom w:val="0"/>
              <w:divBdr>
                <w:top w:val="none" w:sz="0" w:space="0" w:color="auto"/>
                <w:left w:val="none" w:sz="0" w:space="0" w:color="auto"/>
                <w:bottom w:val="none" w:sz="0" w:space="0" w:color="auto"/>
                <w:right w:val="none" w:sz="0" w:space="0" w:color="auto"/>
              </w:divBdr>
            </w:div>
            <w:div w:id="1191190448">
              <w:marLeft w:val="0"/>
              <w:marRight w:val="0"/>
              <w:marTop w:val="0"/>
              <w:marBottom w:val="0"/>
              <w:divBdr>
                <w:top w:val="none" w:sz="0" w:space="0" w:color="auto"/>
                <w:left w:val="none" w:sz="0" w:space="0" w:color="auto"/>
                <w:bottom w:val="none" w:sz="0" w:space="0" w:color="auto"/>
                <w:right w:val="none" w:sz="0" w:space="0" w:color="auto"/>
              </w:divBdr>
            </w:div>
            <w:div w:id="1920409658">
              <w:marLeft w:val="0"/>
              <w:marRight w:val="0"/>
              <w:marTop w:val="0"/>
              <w:marBottom w:val="0"/>
              <w:divBdr>
                <w:top w:val="none" w:sz="0" w:space="0" w:color="auto"/>
                <w:left w:val="none" w:sz="0" w:space="0" w:color="auto"/>
                <w:bottom w:val="none" w:sz="0" w:space="0" w:color="auto"/>
                <w:right w:val="none" w:sz="0" w:space="0" w:color="auto"/>
              </w:divBdr>
            </w:div>
            <w:div w:id="1732657951">
              <w:marLeft w:val="0"/>
              <w:marRight w:val="0"/>
              <w:marTop w:val="0"/>
              <w:marBottom w:val="0"/>
              <w:divBdr>
                <w:top w:val="none" w:sz="0" w:space="0" w:color="auto"/>
                <w:left w:val="none" w:sz="0" w:space="0" w:color="auto"/>
                <w:bottom w:val="none" w:sz="0" w:space="0" w:color="auto"/>
                <w:right w:val="none" w:sz="0" w:space="0" w:color="auto"/>
              </w:divBdr>
            </w:div>
            <w:div w:id="204372821">
              <w:marLeft w:val="0"/>
              <w:marRight w:val="0"/>
              <w:marTop w:val="0"/>
              <w:marBottom w:val="0"/>
              <w:divBdr>
                <w:top w:val="none" w:sz="0" w:space="0" w:color="auto"/>
                <w:left w:val="none" w:sz="0" w:space="0" w:color="auto"/>
                <w:bottom w:val="none" w:sz="0" w:space="0" w:color="auto"/>
                <w:right w:val="none" w:sz="0" w:space="0" w:color="auto"/>
              </w:divBdr>
            </w:div>
            <w:div w:id="135028843">
              <w:marLeft w:val="0"/>
              <w:marRight w:val="0"/>
              <w:marTop w:val="0"/>
              <w:marBottom w:val="0"/>
              <w:divBdr>
                <w:top w:val="none" w:sz="0" w:space="0" w:color="auto"/>
                <w:left w:val="none" w:sz="0" w:space="0" w:color="auto"/>
                <w:bottom w:val="none" w:sz="0" w:space="0" w:color="auto"/>
                <w:right w:val="none" w:sz="0" w:space="0" w:color="auto"/>
              </w:divBdr>
            </w:div>
            <w:div w:id="524826493">
              <w:marLeft w:val="0"/>
              <w:marRight w:val="0"/>
              <w:marTop w:val="0"/>
              <w:marBottom w:val="0"/>
              <w:divBdr>
                <w:top w:val="none" w:sz="0" w:space="0" w:color="auto"/>
                <w:left w:val="none" w:sz="0" w:space="0" w:color="auto"/>
                <w:bottom w:val="none" w:sz="0" w:space="0" w:color="auto"/>
                <w:right w:val="none" w:sz="0" w:space="0" w:color="auto"/>
              </w:divBdr>
            </w:div>
            <w:div w:id="1160192969">
              <w:marLeft w:val="0"/>
              <w:marRight w:val="0"/>
              <w:marTop w:val="0"/>
              <w:marBottom w:val="0"/>
              <w:divBdr>
                <w:top w:val="none" w:sz="0" w:space="0" w:color="auto"/>
                <w:left w:val="none" w:sz="0" w:space="0" w:color="auto"/>
                <w:bottom w:val="none" w:sz="0" w:space="0" w:color="auto"/>
                <w:right w:val="none" w:sz="0" w:space="0" w:color="auto"/>
              </w:divBdr>
            </w:div>
            <w:div w:id="2012096577">
              <w:marLeft w:val="0"/>
              <w:marRight w:val="0"/>
              <w:marTop w:val="0"/>
              <w:marBottom w:val="0"/>
              <w:divBdr>
                <w:top w:val="none" w:sz="0" w:space="0" w:color="auto"/>
                <w:left w:val="none" w:sz="0" w:space="0" w:color="auto"/>
                <w:bottom w:val="none" w:sz="0" w:space="0" w:color="auto"/>
                <w:right w:val="none" w:sz="0" w:space="0" w:color="auto"/>
              </w:divBdr>
            </w:div>
          </w:divsChild>
        </w:div>
        <w:div w:id="1528830511">
          <w:marLeft w:val="0"/>
          <w:marRight w:val="0"/>
          <w:marTop w:val="0"/>
          <w:marBottom w:val="0"/>
          <w:divBdr>
            <w:top w:val="none" w:sz="0" w:space="0" w:color="auto"/>
            <w:left w:val="none" w:sz="0" w:space="0" w:color="auto"/>
            <w:bottom w:val="none" w:sz="0" w:space="0" w:color="auto"/>
            <w:right w:val="none" w:sz="0" w:space="0" w:color="auto"/>
          </w:divBdr>
          <w:divsChild>
            <w:div w:id="357737">
              <w:marLeft w:val="0"/>
              <w:marRight w:val="0"/>
              <w:marTop w:val="0"/>
              <w:marBottom w:val="0"/>
              <w:divBdr>
                <w:top w:val="none" w:sz="0" w:space="0" w:color="auto"/>
                <w:left w:val="none" w:sz="0" w:space="0" w:color="auto"/>
                <w:bottom w:val="none" w:sz="0" w:space="0" w:color="auto"/>
                <w:right w:val="none" w:sz="0" w:space="0" w:color="auto"/>
              </w:divBdr>
            </w:div>
            <w:div w:id="1574971644">
              <w:marLeft w:val="0"/>
              <w:marRight w:val="0"/>
              <w:marTop w:val="0"/>
              <w:marBottom w:val="0"/>
              <w:divBdr>
                <w:top w:val="none" w:sz="0" w:space="0" w:color="auto"/>
                <w:left w:val="none" w:sz="0" w:space="0" w:color="auto"/>
                <w:bottom w:val="none" w:sz="0" w:space="0" w:color="auto"/>
                <w:right w:val="none" w:sz="0" w:space="0" w:color="auto"/>
              </w:divBdr>
            </w:div>
            <w:div w:id="1721393524">
              <w:marLeft w:val="0"/>
              <w:marRight w:val="0"/>
              <w:marTop w:val="0"/>
              <w:marBottom w:val="0"/>
              <w:divBdr>
                <w:top w:val="none" w:sz="0" w:space="0" w:color="auto"/>
                <w:left w:val="none" w:sz="0" w:space="0" w:color="auto"/>
                <w:bottom w:val="none" w:sz="0" w:space="0" w:color="auto"/>
                <w:right w:val="none" w:sz="0" w:space="0" w:color="auto"/>
              </w:divBdr>
            </w:div>
            <w:div w:id="1376275154">
              <w:marLeft w:val="0"/>
              <w:marRight w:val="0"/>
              <w:marTop w:val="0"/>
              <w:marBottom w:val="0"/>
              <w:divBdr>
                <w:top w:val="none" w:sz="0" w:space="0" w:color="auto"/>
                <w:left w:val="none" w:sz="0" w:space="0" w:color="auto"/>
                <w:bottom w:val="none" w:sz="0" w:space="0" w:color="auto"/>
                <w:right w:val="none" w:sz="0" w:space="0" w:color="auto"/>
              </w:divBdr>
            </w:div>
            <w:div w:id="1775589706">
              <w:marLeft w:val="0"/>
              <w:marRight w:val="0"/>
              <w:marTop w:val="0"/>
              <w:marBottom w:val="0"/>
              <w:divBdr>
                <w:top w:val="none" w:sz="0" w:space="0" w:color="auto"/>
                <w:left w:val="none" w:sz="0" w:space="0" w:color="auto"/>
                <w:bottom w:val="none" w:sz="0" w:space="0" w:color="auto"/>
                <w:right w:val="none" w:sz="0" w:space="0" w:color="auto"/>
              </w:divBdr>
            </w:div>
            <w:div w:id="249395307">
              <w:marLeft w:val="0"/>
              <w:marRight w:val="0"/>
              <w:marTop w:val="0"/>
              <w:marBottom w:val="0"/>
              <w:divBdr>
                <w:top w:val="none" w:sz="0" w:space="0" w:color="auto"/>
                <w:left w:val="none" w:sz="0" w:space="0" w:color="auto"/>
                <w:bottom w:val="none" w:sz="0" w:space="0" w:color="auto"/>
                <w:right w:val="none" w:sz="0" w:space="0" w:color="auto"/>
              </w:divBdr>
            </w:div>
            <w:div w:id="1403675197">
              <w:marLeft w:val="0"/>
              <w:marRight w:val="0"/>
              <w:marTop w:val="0"/>
              <w:marBottom w:val="0"/>
              <w:divBdr>
                <w:top w:val="none" w:sz="0" w:space="0" w:color="auto"/>
                <w:left w:val="none" w:sz="0" w:space="0" w:color="auto"/>
                <w:bottom w:val="none" w:sz="0" w:space="0" w:color="auto"/>
                <w:right w:val="none" w:sz="0" w:space="0" w:color="auto"/>
              </w:divBdr>
            </w:div>
            <w:div w:id="1920945110">
              <w:marLeft w:val="0"/>
              <w:marRight w:val="0"/>
              <w:marTop w:val="0"/>
              <w:marBottom w:val="0"/>
              <w:divBdr>
                <w:top w:val="none" w:sz="0" w:space="0" w:color="auto"/>
                <w:left w:val="none" w:sz="0" w:space="0" w:color="auto"/>
                <w:bottom w:val="none" w:sz="0" w:space="0" w:color="auto"/>
                <w:right w:val="none" w:sz="0" w:space="0" w:color="auto"/>
              </w:divBdr>
            </w:div>
            <w:div w:id="1435053008">
              <w:marLeft w:val="0"/>
              <w:marRight w:val="0"/>
              <w:marTop w:val="0"/>
              <w:marBottom w:val="0"/>
              <w:divBdr>
                <w:top w:val="none" w:sz="0" w:space="0" w:color="auto"/>
                <w:left w:val="none" w:sz="0" w:space="0" w:color="auto"/>
                <w:bottom w:val="none" w:sz="0" w:space="0" w:color="auto"/>
                <w:right w:val="none" w:sz="0" w:space="0" w:color="auto"/>
              </w:divBdr>
            </w:div>
            <w:div w:id="1470052825">
              <w:marLeft w:val="0"/>
              <w:marRight w:val="0"/>
              <w:marTop w:val="0"/>
              <w:marBottom w:val="0"/>
              <w:divBdr>
                <w:top w:val="none" w:sz="0" w:space="0" w:color="auto"/>
                <w:left w:val="none" w:sz="0" w:space="0" w:color="auto"/>
                <w:bottom w:val="none" w:sz="0" w:space="0" w:color="auto"/>
                <w:right w:val="none" w:sz="0" w:space="0" w:color="auto"/>
              </w:divBdr>
            </w:div>
            <w:div w:id="1644114804">
              <w:marLeft w:val="0"/>
              <w:marRight w:val="0"/>
              <w:marTop w:val="0"/>
              <w:marBottom w:val="0"/>
              <w:divBdr>
                <w:top w:val="none" w:sz="0" w:space="0" w:color="auto"/>
                <w:left w:val="none" w:sz="0" w:space="0" w:color="auto"/>
                <w:bottom w:val="none" w:sz="0" w:space="0" w:color="auto"/>
                <w:right w:val="none" w:sz="0" w:space="0" w:color="auto"/>
              </w:divBdr>
            </w:div>
            <w:div w:id="17170993">
              <w:marLeft w:val="0"/>
              <w:marRight w:val="0"/>
              <w:marTop w:val="0"/>
              <w:marBottom w:val="0"/>
              <w:divBdr>
                <w:top w:val="none" w:sz="0" w:space="0" w:color="auto"/>
                <w:left w:val="none" w:sz="0" w:space="0" w:color="auto"/>
                <w:bottom w:val="none" w:sz="0" w:space="0" w:color="auto"/>
                <w:right w:val="none" w:sz="0" w:space="0" w:color="auto"/>
              </w:divBdr>
            </w:div>
            <w:div w:id="528643108">
              <w:marLeft w:val="0"/>
              <w:marRight w:val="0"/>
              <w:marTop w:val="0"/>
              <w:marBottom w:val="0"/>
              <w:divBdr>
                <w:top w:val="none" w:sz="0" w:space="0" w:color="auto"/>
                <w:left w:val="none" w:sz="0" w:space="0" w:color="auto"/>
                <w:bottom w:val="none" w:sz="0" w:space="0" w:color="auto"/>
                <w:right w:val="none" w:sz="0" w:space="0" w:color="auto"/>
              </w:divBdr>
            </w:div>
            <w:div w:id="653875129">
              <w:marLeft w:val="0"/>
              <w:marRight w:val="0"/>
              <w:marTop w:val="0"/>
              <w:marBottom w:val="0"/>
              <w:divBdr>
                <w:top w:val="none" w:sz="0" w:space="0" w:color="auto"/>
                <w:left w:val="none" w:sz="0" w:space="0" w:color="auto"/>
                <w:bottom w:val="none" w:sz="0" w:space="0" w:color="auto"/>
                <w:right w:val="none" w:sz="0" w:space="0" w:color="auto"/>
              </w:divBdr>
            </w:div>
            <w:div w:id="219293512">
              <w:marLeft w:val="0"/>
              <w:marRight w:val="0"/>
              <w:marTop w:val="0"/>
              <w:marBottom w:val="0"/>
              <w:divBdr>
                <w:top w:val="none" w:sz="0" w:space="0" w:color="auto"/>
                <w:left w:val="none" w:sz="0" w:space="0" w:color="auto"/>
                <w:bottom w:val="none" w:sz="0" w:space="0" w:color="auto"/>
                <w:right w:val="none" w:sz="0" w:space="0" w:color="auto"/>
              </w:divBdr>
            </w:div>
            <w:div w:id="373502266">
              <w:marLeft w:val="0"/>
              <w:marRight w:val="0"/>
              <w:marTop w:val="0"/>
              <w:marBottom w:val="0"/>
              <w:divBdr>
                <w:top w:val="none" w:sz="0" w:space="0" w:color="auto"/>
                <w:left w:val="none" w:sz="0" w:space="0" w:color="auto"/>
                <w:bottom w:val="none" w:sz="0" w:space="0" w:color="auto"/>
                <w:right w:val="none" w:sz="0" w:space="0" w:color="auto"/>
              </w:divBdr>
            </w:div>
            <w:div w:id="226915234">
              <w:marLeft w:val="0"/>
              <w:marRight w:val="0"/>
              <w:marTop w:val="0"/>
              <w:marBottom w:val="0"/>
              <w:divBdr>
                <w:top w:val="none" w:sz="0" w:space="0" w:color="auto"/>
                <w:left w:val="none" w:sz="0" w:space="0" w:color="auto"/>
                <w:bottom w:val="none" w:sz="0" w:space="0" w:color="auto"/>
                <w:right w:val="none" w:sz="0" w:space="0" w:color="auto"/>
              </w:divBdr>
            </w:div>
            <w:div w:id="913009957">
              <w:marLeft w:val="0"/>
              <w:marRight w:val="0"/>
              <w:marTop w:val="0"/>
              <w:marBottom w:val="0"/>
              <w:divBdr>
                <w:top w:val="none" w:sz="0" w:space="0" w:color="auto"/>
                <w:left w:val="none" w:sz="0" w:space="0" w:color="auto"/>
                <w:bottom w:val="none" w:sz="0" w:space="0" w:color="auto"/>
                <w:right w:val="none" w:sz="0" w:space="0" w:color="auto"/>
              </w:divBdr>
            </w:div>
            <w:div w:id="1209802475">
              <w:marLeft w:val="0"/>
              <w:marRight w:val="0"/>
              <w:marTop w:val="0"/>
              <w:marBottom w:val="0"/>
              <w:divBdr>
                <w:top w:val="none" w:sz="0" w:space="0" w:color="auto"/>
                <w:left w:val="none" w:sz="0" w:space="0" w:color="auto"/>
                <w:bottom w:val="none" w:sz="0" w:space="0" w:color="auto"/>
                <w:right w:val="none" w:sz="0" w:space="0" w:color="auto"/>
              </w:divBdr>
            </w:div>
            <w:div w:id="828716812">
              <w:marLeft w:val="0"/>
              <w:marRight w:val="0"/>
              <w:marTop w:val="0"/>
              <w:marBottom w:val="0"/>
              <w:divBdr>
                <w:top w:val="none" w:sz="0" w:space="0" w:color="auto"/>
                <w:left w:val="none" w:sz="0" w:space="0" w:color="auto"/>
                <w:bottom w:val="none" w:sz="0" w:space="0" w:color="auto"/>
                <w:right w:val="none" w:sz="0" w:space="0" w:color="auto"/>
              </w:divBdr>
            </w:div>
          </w:divsChild>
        </w:div>
        <w:div w:id="966084314">
          <w:marLeft w:val="0"/>
          <w:marRight w:val="0"/>
          <w:marTop w:val="0"/>
          <w:marBottom w:val="0"/>
          <w:divBdr>
            <w:top w:val="none" w:sz="0" w:space="0" w:color="auto"/>
            <w:left w:val="none" w:sz="0" w:space="0" w:color="auto"/>
            <w:bottom w:val="none" w:sz="0" w:space="0" w:color="auto"/>
            <w:right w:val="none" w:sz="0" w:space="0" w:color="auto"/>
          </w:divBdr>
          <w:divsChild>
            <w:div w:id="293144361">
              <w:marLeft w:val="0"/>
              <w:marRight w:val="0"/>
              <w:marTop w:val="0"/>
              <w:marBottom w:val="0"/>
              <w:divBdr>
                <w:top w:val="none" w:sz="0" w:space="0" w:color="auto"/>
                <w:left w:val="none" w:sz="0" w:space="0" w:color="auto"/>
                <w:bottom w:val="none" w:sz="0" w:space="0" w:color="auto"/>
                <w:right w:val="none" w:sz="0" w:space="0" w:color="auto"/>
              </w:divBdr>
            </w:div>
            <w:div w:id="804540642">
              <w:marLeft w:val="0"/>
              <w:marRight w:val="0"/>
              <w:marTop w:val="0"/>
              <w:marBottom w:val="0"/>
              <w:divBdr>
                <w:top w:val="none" w:sz="0" w:space="0" w:color="auto"/>
                <w:left w:val="none" w:sz="0" w:space="0" w:color="auto"/>
                <w:bottom w:val="none" w:sz="0" w:space="0" w:color="auto"/>
                <w:right w:val="none" w:sz="0" w:space="0" w:color="auto"/>
              </w:divBdr>
            </w:div>
            <w:div w:id="22946174">
              <w:marLeft w:val="0"/>
              <w:marRight w:val="0"/>
              <w:marTop w:val="0"/>
              <w:marBottom w:val="0"/>
              <w:divBdr>
                <w:top w:val="none" w:sz="0" w:space="0" w:color="auto"/>
                <w:left w:val="none" w:sz="0" w:space="0" w:color="auto"/>
                <w:bottom w:val="none" w:sz="0" w:space="0" w:color="auto"/>
                <w:right w:val="none" w:sz="0" w:space="0" w:color="auto"/>
              </w:divBdr>
            </w:div>
            <w:div w:id="1901286355">
              <w:marLeft w:val="0"/>
              <w:marRight w:val="0"/>
              <w:marTop w:val="0"/>
              <w:marBottom w:val="0"/>
              <w:divBdr>
                <w:top w:val="none" w:sz="0" w:space="0" w:color="auto"/>
                <w:left w:val="none" w:sz="0" w:space="0" w:color="auto"/>
                <w:bottom w:val="none" w:sz="0" w:space="0" w:color="auto"/>
                <w:right w:val="none" w:sz="0" w:space="0" w:color="auto"/>
              </w:divBdr>
            </w:div>
            <w:div w:id="495877842">
              <w:marLeft w:val="0"/>
              <w:marRight w:val="0"/>
              <w:marTop w:val="0"/>
              <w:marBottom w:val="0"/>
              <w:divBdr>
                <w:top w:val="none" w:sz="0" w:space="0" w:color="auto"/>
                <w:left w:val="none" w:sz="0" w:space="0" w:color="auto"/>
                <w:bottom w:val="none" w:sz="0" w:space="0" w:color="auto"/>
                <w:right w:val="none" w:sz="0" w:space="0" w:color="auto"/>
              </w:divBdr>
            </w:div>
            <w:div w:id="2038579721">
              <w:marLeft w:val="0"/>
              <w:marRight w:val="0"/>
              <w:marTop w:val="0"/>
              <w:marBottom w:val="0"/>
              <w:divBdr>
                <w:top w:val="none" w:sz="0" w:space="0" w:color="auto"/>
                <w:left w:val="none" w:sz="0" w:space="0" w:color="auto"/>
                <w:bottom w:val="none" w:sz="0" w:space="0" w:color="auto"/>
                <w:right w:val="none" w:sz="0" w:space="0" w:color="auto"/>
              </w:divBdr>
            </w:div>
            <w:div w:id="2061974690">
              <w:marLeft w:val="0"/>
              <w:marRight w:val="0"/>
              <w:marTop w:val="0"/>
              <w:marBottom w:val="0"/>
              <w:divBdr>
                <w:top w:val="none" w:sz="0" w:space="0" w:color="auto"/>
                <w:left w:val="none" w:sz="0" w:space="0" w:color="auto"/>
                <w:bottom w:val="none" w:sz="0" w:space="0" w:color="auto"/>
                <w:right w:val="none" w:sz="0" w:space="0" w:color="auto"/>
              </w:divBdr>
            </w:div>
            <w:div w:id="575407847">
              <w:marLeft w:val="0"/>
              <w:marRight w:val="0"/>
              <w:marTop w:val="0"/>
              <w:marBottom w:val="0"/>
              <w:divBdr>
                <w:top w:val="none" w:sz="0" w:space="0" w:color="auto"/>
                <w:left w:val="none" w:sz="0" w:space="0" w:color="auto"/>
                <w:bottom w:val="none" w:sz="0" w:space="0" w:color="auto"/>
                <w:right w:val="none" w:sz="0" w:space="0" w:color="auto"/>
              </w:divBdr>
            </w:div>
            <w:div w:id="1704597571">
              <w:marLeft w:val="0"/>
              <w:marRight w:val="0"/>
              <w:marTop w:val="0"/>
              <w:marBottom w:val="0"/>
              <w:divBdr>
                <w:top w:val="none" w:sz="0" w:space="0" w:color="auto"/>
                <w:left w:val="none" w:sz="0" w:space="0" w:color="auto"/>
                <w:bottom w:val="none" w:sz="0" w:space="0" w:color="auto"/>
                <w:right w:val="none" w:sz="0" w:space="0" w:color="auto"/>
              </w:divBdr>
            </w:div>
            <w:div w:id="1199856997">
              <w:marLeft w:val="0"/>
              <w:marRight w:val="0"/>
              <w:marTop w:val="0"/>
              <w:marBottom w:val="0"/>
              <w:divBdr>
                <w:top w:val="none" w:sz="0" w:space="0" w:color="auto"/>
                <w:left w:val="none" w:sz="0" w:space="0" w:color="auto"/>
                <w:bottom w:val="none" w:sz="0" w:space="0" w:color="auto"/>
                <w:right w:val="none" w:sz="0" w:space="0" w:color="auto"/>
              </w:divBdr>
            </w:div>
            <w:div w:id="148208786">
              <w:marLeft w:val="0"/>
              <w:marRight w:val="0"/>
              <w:marTop w:val="0"/>
              <w:marBottom w:val="0"/>
              <w:divBdr>
                <w:top w:val="none" w:sz="0" w:space="0" w:color="auto"/>
                <w:left w:val="none" w:sz="0" w:space="0" w:color="auto"/>
                <w:bottom w:val="none" w:sz="0" w:space="0" w:color="auto"/>
                <w:right w:val="none" w:sz="0" w:space="0" w:color="auto"/>
              </w:divBdr>
            </w:div>
            <w:div w:id="341125310">
              <w:marLeft w:val="0"/>
              <w:marRight w:val="0"/>
              <w:marTop w:val="0"/>
              <w:marBottom w:val="0"/>
              <w:divBdr>
                <w:top w:val="none" w:sz="0" w:space="0" w:color="auto"/>
                <w:left w:val="none" w:sz="0" w:space="0" w:color="auto"/>
                <w:bottom w:val="none" w:sz="0" w:space="0" w:color="auto"/>
                <w:right w:val="none" w:sz="0" w:space="0" w:color="auto"/>
              </w:divBdr>
            </w:div>
            <w:div w:id="643047830">
              <w:marLeft w:val="0"/>
              <w:marRight w:val="0"/>
              <w:marTop w:val="0"/>
              <w:marBottom w:val="0"/>
              <w:divBdr>
                <w:top w:val="none" w:sz="0" w:space="0" w:color="auto"/>
                <w:left w:val="none" w:sz="0" w:space="0" w:color="auto"/>
                <w:bottom w:val="none" w:sz="0" w:space="0" w:color="auto"/>
                <w:right w:val="none" w:sz="0" w:space="0" w:color="auto"/>
              </w:divBdr>
            </w:div>
            <w:div w:id="275597207">
              <w:marLeft w:val="0"/>
              <w:marRight w:val="0"/>
              <w:marTop w:val="0"/>
              <w:marBottom w:val="0"/>
              <w:divBdr>
                <w:top w:val="none" w:sz="0" w:space="0" w:color="auto"/>
                <w:left w:val="none" w:sz="0" w:space="0" w:color="auto"/>
                <w:bottom w:val="none" w:sz="0" w:space="0" w:color="auto"/>
                <w:right w:val="none" w:sz="0" w:space="0" w:color="auto"/>
              </w:divBdr>
            </w:div>
            <w:div w:id="266348713">
              <w:marLeft w:val="0"/>
              <w:marRight w:val="0"/>
              <w:marTop w:val="0"/>
              <w:marBottom w:val="0"/>
              <w:divBdr>
                <w:top w:val="none" w:sz="0" w:space="0" w:color="auto"/>
                <w:left w:val="none" w:sz="0" w:space="0" w:color="auto"/>
                <w:bottom w:val="none" w:sz="0" w:space="0" w:color="auto"/>
                <w:right w:val="none" w:sz="0" w:space="0" w:color="auto"/>
              </w:divBdr>
            </w:div>
            <w:div w:id="1705398875">
              <w:marLeft w:val="0"/>
              <w:marRight w:val="0"/>
              <w:marTop w:val="0"/>
              <w:marBottom w:val="0"/>
              <w:divBdr>
                <w:top w:val="none" w:sz="0" w:space="0" w:color="auto"/>
                <w:left w:val="none" w:sz="0" w:space="0" w:color="auto"/>
                <w:bottom w:val="none" w:sz="0" w:space="0" w:color="auto"/>
                <w:right w:val="none" w:sz="0" w:space="0" w:color="auto"/>
              </w:divBdr>
            </w:div>
            <w:div w:id="2079549002">
              <w:marLeft w:val="0"/>
              <w:marRight w:val="0"/>
              <w:marTop w:val="0"/>
              <w:marBottom w:val="0"/>
              <w:divBdr>
                <w:top w:val="none" w:sz="0" w:space="0" w:color="auto"/>
                <w:left w:val="none" w:sz="0" w:space="0" w:color="auto"/>
                <w:bottom w:val="none" w:sz="0" w:space="0" w:color="auto"/>
                <w:right w:val="none" w:sz="0" w:space="0" w:color="auto"/>
              </w:divBdr>
            </w:div>
            <w:div w:id="1498497722">
              <w:marLeft w:val="0"/>
              <w:marRight w:val="0"/>
              <w:marTop w:val="0"/>
              <w:marBottom w:val="0"/>
              <w:divBdr>
                <w:top w:val="none" w:sz="0" w:space="0" w:color="auto"/>
                <w:left w:val="none" w:sz="0" w:space="0" w:color="auto"/>
                <w:bottom w:val="none" w:sz="0" w:space="0" w:color="auto"/>
                <w:right w:val="none" w:sz="0" w:space="0" w:color="auto"/>
              </w:divBdr>
            </w:div>
            <w:div w:id="1702390366">
              <w:marLeft w:val="0"/>
              <w:marRight w:val="0"/>
              <w:marTop w:val="0"/>
              <w:marBottom w:val="0"/>
              <w:divBdr>
                <w:top w:val="none" w:sz="0" w:space="0" w:color="auto"/>
                <w:left w:val="none" w:sz="0" w:space="0" w:color="auto"/>
                <w:bottom w:val="none" w:sz="0" w:space="0" w:color="auto"/>
                <w:right w:val="none" w:sz="0" w:space="0" w:color="auto"/>
              </w:divBdr>
            </w:div>
            <w:div w:id="898518823">
              <w:marLeft w:val="0"/>
              <w:marRight w:val="0"/>
              <w:marTop w:val="0"/>
              <w:marBottom w:val="0"/>
              <w:divBdr>
                <w:top w:val="none" w:sz="0" w:space="0" w:color="auto"/>
                <w:left w:val="none" w:sz="0" w:space="0" w:color="auto"/>
                <w:bottom w:val="none" w:sz="0" w:space="0" w:color="auto"/>
                <w:right w:val="none" w:sz="0" w:space="0" w:color="auto"/>
              </w:divBdr>
            </w:div>
          </w:divsChild>
        </w:div>
        <w:div w:id="338772974">
          <w:marLeft w:val="0"/>
          <w:marRight w:val="0"/>
          <w:marTop w:val="0"/>
          <w:marBottom w:val="0"/>
          <w:divBdr>
            <w:top w:val="none" w:sz="0" w:space="0" w:color="auto"/>
            <w:left w:val="none" w:sz="0" w:space="0" w:color="auto"/>
            <w:bottom w:val="none" w:sz="0" w:space="0" w:color="auto"/>
            <w:right w:val="none" w:sz="0" w:space="0" w:color="auto"/>
          </w:divBdr>
          <w:divsChild>
            <w:div w:id="663628386">
              <w:marLeft w:val="0"/>
              <w:marRight w:val="0"/>
              <w:marTop w:val="0"/>
              <w:marBottom w:val="0"/>
              <w:divBdr>
                <w:top w:val="none" w:sz="0" w:space="0" w:color="auto"/>
                <w:left w:val="none" w:sz="0" w:space="0" w:color="auto"/>
                <w:bottom w:val="none" w:sz="0" w:space="0" w:color="auto"/>
                <w:right w:val="none" w:sz="0" w:space="0" w:color="auto"/>
              </w:divBdr>
            </w:div>
            <w:div w:id="343096789">
              <w:marLeft w:val="0"/>
              <w:marRight w:val="0"/>
              <w:marTop w:val="0"/>
              <w:marBottom w:val="0"/>
              <w:divBdr>
                <w:top w:val="none" w:sz="0" w:space="0" w:color="auto"/>
                <w:left w:val="none" w:sz="0" w:space="0" w:color="auto"/>
                <w:bottom w:val="none" w:sz="0" w:space="0" w:color="auto"/>
                <w:right w:val="none" w:sz="0" w:space="0" w:color="auto"/>
              </w:divBdr>
            </w:div>
            <w:div w:id="683946731">
              <w:marLeft w:val="0"/>
              <w:marRight w:val="0"/>
              <w:marTop w:val="0"/>
              <w:marBottom w:val="0"/>
              <w:divBdr>
                <w:top w:val="none" w:sz="0" w:space="0" w:color="auto"/>
                <w:left w:val="none" w:sz="0" w:space="0" w:color="auto"/>
                <w:bottom w:val="none" w:sz="0" w:space="0" w:color="auto"/>
                <w:right w:val="none" w:sz="0" w:space="0" w:color="auto"/>
              </w:divBdr>
            </w:div>
            <w:div w:id="1685277296">
              <w:marLeft w:val="0"/>
              <w:marRight w:val="0"/>
              <w:marTop w:val="0"/>
              <w:marBottom w:val="0"/>
              <w:divBdr>
                <w:top w:val="none" w:sz="0" w:space="0" w:color="auto"/>
                <w:left w:val="none" w:sz="0" w:space="0" w:color="auto"/>
                <w:bottom w:val="none" w:sz="0" w:space="0" w:color="auto"/>
                <w:right w:val="none" w:sz="0" w:space="0" w:color="auto"/>
              </w:divBdr>
            </w:div>
            <w:div w:id="1344673532">
              <w:marLeft w:val="0"/>
              <w:marRight w:val="0"/>
              <w:marTop w:val="0"/>
              <w:marBottom w:val="0"/>
              <w:divBdr>
                <w:top w:val="none" w:sz="0" w:space="0" w:color="auto"/>
                <w:left w:val="none" w:sz="0" w:space="0" w:color="auto"/>
                <w:bottom w:val="none" w:sz="0" w:space="0" w:color="auto"/>
                <w:right w:val="none" w:sz="0" w:space="0" w:color="auto"/>
              </w:divBdr>
            </w:div>
            <w:div w:id="1212496727">
              <w:marLeft w:val="0"/>
              <w:marRight w:val="0"/>
              <w:marTop w:val="0"/>
              <w:marBottom w:val="0"/>
              <w:divBdr>
                <w:top w:val="none" w:sz="0" w:space="0" w:color="auto"/>
                <w:left w:val="none" w:sz="0" w:space="0" w:color="auto"/>
                <w:bottom w:val="none" w:sz="0" w:space="0" w:color="auto"/>
                <w:right w:val="none" w:sz="0" w:space="0" w:color="auto"/>
              </w:divBdr>
            </w:div>
            <w:div w:id="457064532">
              <w:marLeft w:val="0"/>
              <w:marRight w:val="0"/>
              <w:marTop w:val="0"/>
              <w:marBottom w:val="0"/>
              <w:divBdr>
                <w:top w:val="none" w:sz="0" w:space="0" w:color="auto"/>
                <w:left w:val="none" w:sz="0" w:space="0" w:color="auto"/>
                <w:bottom w:val="none" w:sz="0" w:space="0" w:color="auto"/>
                <w:right w:val="none" w:sz="0" w:space="0" w:color="auto"/>
              </w:divBdr>
            </w:div>
            <w:div w:id="1873807754">
              <w:marLeft w:val="0"/>
              <w:marRight w:val="0"/>
              <w:marTop w:val="0"/>
              <w:marBottom w:val="0"/>
              <w:divBdr>
                <w:top w:val="none" w:sz="0" w:space="0" w:color="auto"/>
                <w:left w:val="none" w:sz="0" w:space="0" w:color="auto"/>
                <w:bottom w:val="none" w:sz="0" w:space="0" w:color="auto"/>
                <w:right w:val="none" w:sz="0" w:space="0" w:color="auto"/>
              </w:divBdr>
            </w:div>
            <w:div w:id="4599342">
              <w:marLeft w:val="0"/>
              <w:marRight w:val="0"/>
              <w:marTop w:val="0"/>
              <w:marBottom w:val="0"/>
              <w:divBdr>
                <w:top w:val="none" w:sz="0" w:space="0" w:color="auto"/>
                <w:left w:val="none" w:sz="0" w:space="0" w:color="auto"/>
                <w:bottom w:val="none" w:sz="0" w:space="0" w:color="auto"/>
                <w:right w:val="none" w:sz="0" w:space="0" w:color="auto"/>
              </w:divBdr>
            </w:div>
            <w:div w:id="248774770">
              <w:marLeft w:val="0"/>
              <w:marRight w:val="0"/>
              <w:marTop w:val="0"/>
              <w:marBottom w:val="0"/>
              <w:divBdr>
                <w:top w:val="none" w:sz="0" w:space="0" w:color="auto"/>
                <w:left w:val="none" w:sz="0" w:space="0" w:color="auto"/>
                <w:bottom w:val="none" w:sz="0" w:space="0" w:color="auto"/>
                <w:right w:val="none" w:sz="0" w:space="0" w:color="auto"/>
              </w:divBdr>
            </w:div>
            <w:div w:id="192621695">
              <w:marLeft w:val="0"/>
              <w:marRight w:val="0"/>
              <w:marTop w:val="0"/>
              <w:marBottom w:val="0"/>
              <w:divBdr>
                <w:top w:val="none" w:sz="0" w:space="0" w:color="auto"/>
                <w:left w:val="none" w:sz="0" w:space="0" w:color="auto"/>
                <w:bottom w:val="none" w:sz="0" w:space="0" w:color="auto"/>
                <w:right w:val="none" w:sz="0" w:space="0" w:color="auto"/>
              </w:divBdr>
            </w:div>
            <w:div w:id="187063555">
              <w:marLeft w:val="0"/>
              <w:marRight w:val="0"/>
              <w:marTop w:val="0"/>
              <w:marBottom w:val="0"/>
              <w:divBdr>
                <w:top w:val="none" w:sz="0" w:space="0" w:color="auto"/>
                <w:left w:val="none" w:sz="0" w:space="0" w:color="auto"/>
                <w:bottom w:val="none" w:sz="0" w:space="0" w:color="auto"/>
                <w:right w:val="none" w:sz="0" w:space="0" w:color="auto"/>
              </w:divBdr>
            </w:div>
            <w:div w:id="1468011282">
              <w:marLeft w:val="0"/>
              <w:marRight w:val="0"/>
              <w:marTop w:val="0"/>
              <w:marBottom w:val="0"/>
              <w:divBdr>
                <w:top w:val="none" w:sz="0" w:space="0" w:color="auto"/>
                <w:left w:val="none" w:sz="0" w:space="0" w:color="auto"/>
                <w:bottom w:val="none" w:sz="0" w:space="0" w:color="auto"/>
                <w:right w:val="none" w:sz="0" w:space="0" w:color="auto"/>
              </w:divBdr>
            </w:div>
            <w:div w:id="560412509">
              <w:marLeft w:val="0"/>
              <w:marRight w:val="0"/>
              <w:marTop w:val="0"/>
              <w:marBottom w:val="0"/>
              <w:divBdr>
                <w:top w:val="none" w:sz="0" w:space="0" w:color="auto"/>
                <w:left w:val="none" w:sz="0" w:space="0" w:color="auto"/>
                <w:bottom w:val="none" w:sz="0" w:space="0" w:color="auto"/>
                <w:right w:val="none" w:sz="0" w:space="0" w:color="auto"/>
              </w:divBdr>
            </w:div>
            <w:div w:id="1897735840">
              <w:marLeft w:val="0"/>
              <w:marRight w:val="0"/>
              <w:marTop w:val="0"/>
              <w:marBottom w:val="0"/>
              <w:divBdr>
                <w:top w:val="none" w:sz="0" w:space="0" w:color="auto"/>
                <w:left w:val="none" w:sz="0" w:space="0" w:color="auto"/>
                <w:bottom w:val="none" w:sz="0" w:space="0" w:color="auto"/>
                <w:right w:val="none" w:sz="0" w:space="0" w:color="auto"/>
              </w:divBdr>
            </w:div>
            <w:div w:id="1217661796">
              <w:marLeft w:val="0"/>
              <w:marRight w:val="0"/>
              <w:marTop w:val="0"/>
              <w:marBottom w:val="0"/>
              <w:divBdr>
                <w:top w:val="none" w:sz="0" w:space="0" w:color="auto"/>
                <w:left w:val="none" w:sz="0" w:space="0" w:color="auto"/>
                <w:bottom w:val="none" w:sz="0" w:space="0" w:color="auto"/>
                <w:right w:val="none" w:sz="0" w:space="0" w:color="auto"/>
              </w:divBdr>
            </w:div>
            <w:div w:id="2020540689">
              <w:marLeft w:val="0"/>
              <w:marRight w:val="0"/>
              <w:marTop w:val="0"/>
              <w:marBottom w:val="0"/>
              <w:divBdr>
                <w:top w:val="none" w:sz="0" w:space="0" w:color="auto"/>
                <w:left w:val="none" w:sz="0" w:space="0" w:color="auto"/>
                <w:bottom w:val="none" w:sz="0" w:space="0" w:color="auto"/>
                <w:right w:val="none" w:sz="0" w:space="0" w:color="auto"/>
              </w:divBdr>
            </w:div>
            <w:div w:id="2009016586">
              <w:marLeft w:val="0"/>
              <w:marRight w:val="0"/>
              <w:marTop w:val="0"/>
              <w:marBottom w:val="0"/>
              <w:divBdr>
                <w:top w:val="none" w:sz="0" w:space="0" w:color="auto"/>
                <w:left w:val="none" w:sz="0" w:space="0" w:color="auto"/>
                <w:bottom w:val="none" w:sz="0" w:space="0" w:color="auto"/>
                <w:right w:val="none" w:sz="0" w:space="0" w:color="auto"/>
              </w:divBdr>
            </w:div>
            <w:div w:id="1883668096">
              <w:marLeft w:val="0"/>
              <w:marRight w:val="0"/>
              <w:marTop w:val="0"/>
              <w:marBottom w:val="0"/>
              <w:divBdr>
                <w:top w:val="none" w:sz="0" w:space="0" w:color="auto"/>
                <w:left w:val="none" w:sz="0" w:space="0" w:color="auto"/>
                <w:bottom w:val="none" w:sz="0" w:space="0" w:color="auto"/>
                <w:right w:val="none" w:sz="0" w:space="0" w:color="auto"/>
              </w:divBdr>
            </w:div>
            <w:div w:id="411439062">
              <w:marLeft w:val="0"/>
              <w:marRight w:val="0"/>
              <w:marTop w:val="0"/>
              <w:marBottom w:val="0"/>
              <w:divBdr>
                <w:top w:val="none" w:sz="0" w:space="0" w:color="auto"/>
                <w:left w:val="none" w:sz="0" w:space="0" w:color="auto"/>
                <w:bottom w:val="none" w:sz="0" w:space="0" w:color="auto"/>
                <w:right w:val="none" w:sz="0" w:space="0" w:color="auto"/>
              </w:divBdr>
            </w:div>
          </w:divsChild>
        </w:div>
        <w:div w:id="385378491">
          <w:marLeft w:val="0"/>
          <w:marRight w:val="0"/>
          <w:marTop w:val="0"/>
          <w:marBottom w:val="0"/>
          <w:divBdr>
            <w:top w:val="none" w:sz="0" w:space="0" w:color="auto"/>
            <w:left w:val="none" w:sz="0" w:space="0" w:color="auto"/>
            <w:bottom w:val="none" w:sz="0" w:space="0" w:color="auto"/>
            <w:right w:val="none" w:sz="0" w:space="0" w:color="auto"/>
          </w:divBdr>
        </w:div>
        <w:div w:id="2072850028">
          <w:marLeft w:val="0"/>
          <w:marRight w:val="0"/>
          <w:marTop w:val="0"/>
          <w:marBottom w:val="0"/>
          <w:divBdr>
            <w:top w:val="none" w:sz="0" w:space="0" w:color="auto"/>
            <w:left w:val="none" w:sz="0" w:space="0" w:color="auto"/>
            <w:bottom w:val="none" w:sz="0" w:space="0" w:color="auto"/>
            <w:right w:val="none" w:sz="0" w:space="0" w:color="auto"/>
          </w:divBdr>
        </w:div>
        <w:div w:id="44069283">
          <w:marLeft w:val="0"/>
          <w:marRight w:val="0"/>
          <w:marTop w:val="0"/>
          <w:marBottom w:val="0"/>
          <w:divBdr>
            <w:top w:val="none" w:sz="0" w:space="0" w:color="auto"/>
            <w:left w:val="none" w:sz="0" w:space="0" w:color="auto"/>
            <w:bottom w:val="none" w:sz="0" w:space="0" w:color="auto"/>
            <w:right w:val="none" w:sz="0" w:space="0" w:color="auto"/>
          </w:divBdr>
        </w:div>
        <w:div w:id="318964454">
          <w:marLeft w:val="0"/>
          <w:marRight w:val="0"/>
          <w:marTop w:val="0"/>
          <w:marBottom w:val="0"/>
          <w:divBdr>
            <w:top w:val="none" w:sz="0" w:space="0" w:color="auto"/>
            <w:left w:val="none" w:sz="0" w:space="0" w:color="auto"/>
            <w:bottom w:val="none" w:sz="0" w:space="0" w:color="auto"/>
            <w:right w:val="none" w:sz="0" w:space="0" w:color="auto"/>
          </w:divBdr>
        </w:div>
        <w:div w:id="952520916">
          <w:marLeft w:val="0"/>
          <w:marRight w:val="0"/>
          <w:marTop w:val="0"/>
          <w:marBottom w:val="0"/>
          <w:divBdr>
            <w:top w:val="none" w:sz="0" w:space="0" w:color="auto"/>
            <w:left w:val="none" w:sz="0" w:space="0" w:color="auto"/>
            <w:bottom w:val="none" w:sz="0" w:space="0" w:color="auto"/>
            <w:right w:val="none" w:sz="0" w:space="0" w:color="auto"/>
          </w:divBdr>
        </w:div>
        <w:div w:id="133838784">
          <w:marLeft w:val="0"/>
          <w:marRight w:val="0"/>
          <w:marTop w:val="0"/>
          <w:marBottom w:val="0"/>
          <w:divBdr>
            <w:top w:val="none" w:sz="0" w:space="0" w:color="auto"/>
            <w:left w:val="none" w:sz="0" w:space="0" w:color="auto"/>
            <w:bottom w:val="none" w:sz="0" w:space="0" w:color="auto"/>
            <w:right w:val="none" w:sz="0" w:space="0" w:color="auto"/>
          </w:divBdr>
        </w:div>
        <w:div w:id="1756508084">
          <w:marLeft w:val="0"/>
          <w:marRight w:val="0"/>
          <w:marTop w:val="0"/>
          <w:marBottom w:val="0"/>
          <w:divBdr>
            <w:top w:val="none" w:sz="0" w:space="0" w:color="auto"/>
            <w:left w:val="none" w:sz="0" w:space="0" w:color="auto"/>
            <w:bottom w:val="none" w:sz="0" w:space="0" w:color="auto"/>
            <w:right w:val="none" w:sz="0" w:space="0" w:color="auto"/>
          </w:divBdr>
        </w:div>
        <w:div w:id="766661080">
          <w:marLeft w:val="0"/>
          <w:marRight w:val="0"/>
          <w:marTop w:val="0"/>
          <w:marBottom w:val="0"/>
          <w:divBdr>
            <w:top w:val="none" w:sz="0" w:space="0" w:color="auto"/>
            <w:left w:val="none" w:sz="0" w:space="0" w:color="auto"/>
            <w:bottom w:val="none" w:sz="0" w:space="0" w:color="auto"/>
            <w:right w:val="none" w:sz="0" w:space="0" w:color="auto"/>
          </w:divBdr>
        </w:div>
        <w:div w:id="1934893453">
          <w:marLeft w:val="0"/>
          <w:marRight w:val="0"/>
          <w:marTop w:val="0"/>
          <w:marBottom w:val="0"/>
          <w:divBdr>
            <w:top w:val="none" w:sz="0" w:space="0" w:color="auto"/>
            <w:left w:val="none" w:sz="0" w:space="0" w:color="auto"/>
            <w:bottom w:val="none" w:sz="0" w:space="0" w:color="auto"/>
            <w:right w:val="none" w:sz="0" w:space="0" w:color="auto"/>
          </w:divBdr>
        </w:div>
        <w:div w:id="1109080996">
          <w:marLeft w:val="0"/>
          <w:marRight w:val="0"/>
          <w:marTop w:val="0"/>
          <w:marBottom w:val="0"/>
          <w:divBdr>
            <w:top w:val="none" w:sz="0" w:space="0" w:color="auto"/>
            <w:left w:val="none" w:sz="0" w:space="0" w:color="auto"/>
            <w:bottom w:val="none" w:sz="0" w:space="0" w:color="auto"/>
            <w:right w:val="none" w:sz="0" w:space="0" w:color="auto"/>
          </w:divBdr>
        </w:div>
        <w:div w:id="775441194">
          <w:marLeft w:val="0"/>
          <w:marRight w:val="0"/>
          <w:marTop w:val="0"/>
          <w:marBottom w:val="0"/>
          <w:divBdr>
            <w:top w:val="none" w:sz="0" w:space="0" w:color="auto"/>
            <w:left w:val="none" w:sz="0" w:space="0" w:color="auto"/>
            <w:bottom w:val="none" w:sz="0" w:space="0" w:color="auto"/>
            <w:right w:val="none" w:sz="0" w:space="0" w:color="auto"/>
          </w:divBdr>
        </w:div>
        <w:div w:id="1000036360">
          <w:marLeft w:val="0"/>
          <w:marRight w:val="0"/>
          <w:marTop w:val="0"/>
          <w:marBottom w:val="0"/>
          <w:divBdr>
            <w:top w:val="none" w:sz="0" w:space="0" w:color="auto"/>
            <w:left w:val="none" w:sz="0" w:space="0" w:color="auto"/>
            <w:bottom w:val="none" w:sz="0" w:space="0" w:color="auto"/>
            <w:right w:val="none" w:sz="0" w:space="0" w:color="auto"/>
          </w:divBdr>
        </w:div>
        <w:div w:id="1010596464">
          <w:marLeft w:val="0"/>
          <w:marRight w:val="0"/>
          <w:marTop w:val="0"/>
          <w:marBottom w:val="0"/>
          <w:divBdr>
            <w:top w:val="none" w:sz="0" w:space="0" w:color="auto"/>
            <w:left w:val="none" w:sz="0" w:space="0" w:color="auto"/>
            <w:bottom w:val="none" w:sz="0" w:space="0" w:color="auto"/>
            <w:right w:val="none" w:sz="0" w:space="0" w:color="auto"/>
          </w:divBdr>
        </w:div>
        <w:div w:id="1155025306">
          <w:marLeft w:val="0"/>
          <w:marRight w:val="0"/>
          <w:marTop w:val="0"/>
          <w:marBottom w:val="0"/>
          <w:divBdr>
            <w:top w:val="none" w:sz="0" w:space="0" w:color="auto"/>
            <w:left w:val="none" w:sz="0" w:space="0" w:color="auto"/>
            <w:bottom w:val="none" w:sz="0" w:space="0" w:color="auto"/>
            <w:right w:val="none" w:sz="0" w:space="0" w:color="auto"/>
          </w:divBdr>
        </w:div>
        <w:div w:id="1146355797">
          <w:marLeft w:val="0"/>
          <w:marRight w:val="0"/>
          <w:marTop w:val="0"/>
          <w:marBottom w:val="0"/>
          <w:divBdr>
            <w:top w:val="none" w:sz="0" w:space="0" w:color="auto"/>
            <w:left w:val="none" w:sz="0" w:space="0" w:color="auto"/>
            <w:bottom w:val="none" w:sz="0" w:space="0" w:color="auto"/>
            <w:right w:val="none" w:sz="0" w:space="0" w:color="auto"/>
          </w:divBdr>
        </w:div>
        <w:div w:id="1248155503">
          <w:marLeft w:val="0"/>
          <w:marRight w:val="0"/>
          <w:marTop w:val="0"/>
          <w:marBottom w:val="0"/>
          <w:divBdr>
            <w:top w:val="none" w:sz="0" w:space="0" w:color="auto"/>
            <w:left w:val="none" w:sz="0" w:space="0" w:color="auto"/>
            <w:bottom w:val="none" w:sz="0" w:space="0" w:color="auto"/>
            <w:right w:val="none" w:sz="0" w:space="0" w:color="auto"/>
          </w:divBdr>
        </w:div>
        <w:div w:id="1518696218">
          <w:marLeft w:val="0"/>
          <w:marRight w:val="0"/>
          <w:marTop w:val="0"/>
          <w:marBottom w:val="0"/>
          <w:divBdr>
            <w:top w:val="none" w:sz="0" w:space="0" w:color="auto"/>
            <w:left w:val="none" w:sz="0" w:space="0" w:color="auto"/>
            <w:bottom w:val="none" w:sz="0" w:space="0" w:color="auto"/>
            <w:right w:val="none" w:sz="0" w:space="0" w:color="auto"/>
          </w:divBdr>
        </w:div>
        <w:div w:id="1306352934">
          <w:marLeft w:val="0"/>
          <w:marRight w:val="0"/>
          <w:marTop w:val="0"/>
          <w:marBottom w:val="0"/>
          <w:divBdr>
            <w:top w:val="none" w:sz="0" w:space="0" w:color="auto"/>
            <w:left w:val="none" w:sz="0" w:space="0" w:color="auto"/>
            <w:bottom w:val="none" w:sz="0" w:space="0" w:color="auto"/>
            <w:right w:val="none" w:sz="0" w:space="0" w:color="auto"/>
          </w:divBdr>
        </w:div>
        <w:div w:id="322707298">
          <w:marLeft w:val="0"/>
          <w:marRight w:val="0"/>
          <w:marTop w:val="0"/>
          <w:marBottom w:val="0"/>
          <w:divBdr>
            <w:top w:val="none" w:sz="0" w:space="0" w:color="auto"/>
            <w:left w:val="none" w:sz="0" w:space="0" w:color="auto"/>
            <w:bottom w:val="none" w:sz="0" w:space="0" w:color="auto"/>
            <w:right w:val="none" w:sz="0" w:space="0" w:color="auto"/>
          </w:divBdr>
        </w:div>
        <w:div w:id="204562641">
          <w:marLeft w:val="0"/>
          <w:marRight w:val="0"/>
          <w:marTop w:val="0"/>
          <w:marBottom w:val="0"/>
          <w:divBdr>
            <w:top w:val="none" w:sz="0" w:space="0" w:color="auto"/>
            <w:left w:val="none" w:sz="0" w:space="0" w:color="auto"/>
            <w:bottom w:val="none" w:sz="0" w:space="0" w:color="auto"/>
            <w:right w:val="none" w:sz="0" w:space="0" w:color="auto"/>
          </w:divBdr>
        </w:div>
        <w:div w:id="1091511609">
          <w:marLeft w:val="0"/>
          <w:marRight w:val="0"/>
          <w:marTop w:val="0"/>
          <w:marBottom w:val="0"/>
          <w:divBdr>
            <w:top w:val="none" w:sz="0" w:space="0" w:color="auto"/>
            <w:left w:val="none" w:sz="0" w:space="0" w:color="auto"/>
            <w:bottom w:val="none" w:sz="0" w:space="0" w:color="auto"/>
            <w:right w:val="none" w:sz="0" w:space="0" w:color="auto"/>
          </w:divBdr>
          <w:divsChild>
            <w:div w:id="1743093630">
              <w:marLeft w:val="0"/>
              <w:marRight w:val="0"/>
              <w:marTop w:val="0"/>
              <w:marBottom w:val="0"/>
              <w:divBdr>
                <w:top w:val="none" w:sz="0" w:space="0" w:color="auto"/>
                <w:left w:val="none" w:sz="0" w:space="0" w:color="auto"/>
                <w:bottom w:val="none" w:sz="0" w:space="0" w:color="auto"/>
                <w:right w:val="none" w:sz="0" w:space="0" w:color="auto"/>
              </w:divBdr>
            </w:div>
            <w:div w:id="593904445">
              <w:marLeft w:val="0"/>
              <w:marRight w:val="0"/>
              <w:marTop w:val="0"/>
              <w:marBottom w:val="0"/>
              <w:divBdr>
                <w:top w:val="none" w:sz="0" w:space="0" w:color="auto"/>
                <w:left w:val="none" w:sz="0" w:space="0" w:color="auto"/>
                <w:bottom w:val="none" w:sz="0" w:space="0" w:color="auto"/>
                <w:right w:val="none" w:sz="0" w:space="0" w:color="auto"/>
              </w:divBdr>
            </w:div>
            <w:div w:id="627785038">
              <w:marLeft w:val="0"/>
              <w:marRight w:val="0"/>
              <w:marTop w:val="0"/>
              <w:marBottom w:val="0"/>
              <w:divBdr>
                <w:top w:val="none" w:sz="0" w:space="0" w:color="auto"/>
                <w:left w:val="none" w:sz="0" w:space="0" w:color="auto"/>
                <w:bottom w:val="none" w:sz="0" w:space="0" w:color="auto"/>
                <w:right w:val="none" w:sz="0" w:space="0" w:color="auto"/>
              </w:divBdr>
            </w:div>
            <w:div w:id="2030569613">
              <w:marLeft w:val="0"/>
              <w:marRight w:val="0"/>
              <w:marTop w:val="0"/>
              <w:marBottom w:val="0"/>
              <w:divBdr>
                <w:top w:val="none" w:sz="0" w:space="0" w:color="auto"/>
                <w:left w:val="none" w:sz="0" w:space="0" w:color="auto"/>
                <w:bottom w:val="none" w:sz="0" w:space="0" w:color="auto"/>
                <w:right w:val="none" w:sz="0" w:space="0" w:color="auto"/>
              </w:divBdr>
            </w:div>
            <w:div w:id="382289647">
              <w:marLeft w:val="0"/>
              <w:marRight w:val="0"/>
              <w:marTop w:val="0"/>
              <w:marBottom w:val="0"/>
              <w:divBdr>
                <w:top w:val="none" w:sz="0" w:space="0" w:color="auto"/>
                <w:left w:val="none" w:sz="0" w:space="0" w:color="auto"/>
                <w:bottom w:val="none" w:sz="0" w:space="0" w:color="auto"/>
                <w:right w:val="none" w:sz="0" w:space="0" w:color="auto"/>
              </w:divBdr>
            </w:div>
            <w:div w:id="1382944137">
              <w:marLeft w:val="0"/>
              <w:marRight w:val="0"/>
              <w:marTop w:val="0"/>
              <w:marBottom w:val="0"/>
              <w:divBdr>
                <w:top w:val="none" w:sz="0" w:space="0" w:color="auto"/>
                <w:left w:val="none" w:sz="0" w:space="0" w:color="auto"/>
                <w:bottom w:val="none" w:sz="0" w:space="0" w:color="auto"/>
                <w:right w:val="none" w:sz="0" w:space="0" w:color="auto"/>
              </w:divBdr>
            </w:div>
            <w:div w:id="1165512957">
              <w:marLeft w:val="0"/>
              <w:marRight w:val="0"/>
              <w:marTop w:val="0"/>
              <w:marBottom w:val="0"/>
              <w:divBdr>
                <w:top w:val="none" w:sz="0" w:space="0" w:color="auto"/>
                <w:left w:val="none" w:sz="0" w:space="0" w:color="auto"/>
                <w:bottom w:val="none" w:sz="0" w:space="0" w:color="auto"/>
                <w:right w:val="none" w:sz="0" w:space="0" w:color="auto"/>
              </w:divBdr>
            </w:div>
            <w:div w:id="144708740">
              <w:marLeft w:val="0"/>
              <w:marRight w:val="0"/>
              <w:marTop w:val="0"/>
              <w:marBottom w:val="0"/>
              <w:divBdr>
                <w:top w:val="none" w:sz="0" w:space="0" w:color="auto"/>
                <w:left w:val="none" w:sz="0" w:space="0" w:color="auto"/>
                <w:bottom w:val="none" w:sz="0" w:space="0" w:color="auto"/>
                <w:right w:val="none" w:sz="0" w:space="0" w:color="auto"/>
              </w:divBdr>
            </w:div>
            <w:div w:id="497380074">
              <w:marLeft w:val="0"/>
              <w:marRight w:val="0"/>
              <w:marTop w:val="0"/>
              <w:marBottom w:val="0"/>
              <w:divBdr>
                <w:top w:val="none" w:sz="0" w:space="0" w:color="auto"/>
                <w:left w:val="none" w:sz="0" w:space="0" w:color="auto"/>
                <w:bottom w:val="none" w:sz="0" w:space="0" w:color="auto"/>
                <w:right w:val="none" w:sz="0" w:space="0" w:color="auto"/>
              </w:divBdr>
            </w:div>
            <w:div w:id="1265773519">
              <w:marLeft w:val="0"/>
              <w:marRight w:val="0"/>
              <w:marTop w:val="0"/>
              <w:marBottom w:val="0"/>
              <w:divBdr>
                <w:top w:val="none" w:sz="0" w:space="0" w:color="auto"/>
                <w:left w:val="none" w:sz="0" w:space="0" w:color="auto"/>
                <w:bottom w:val="none" w:sz="0" w:space="0" w:color="auto"/>
                <w:right w:val="none" w:sz="0" w:space="0" w:color="auto"/>
              </w:divBdr>
            </w:div>
            <w:div w:id="1212621203">
              <w:marLeft w:val="0"/>
              <w:marRight w:val="0"/>
              <w:marTop w:val="0"/>
              <w:marBottom w:val="0"/>
              <w:divBdr>
                <w:top w:val="none" w:sz="0" w:space="0" w:color="auto"/>
                <w:left w:val="none" w:sz="0" w:space="0" w:color="auto"/>
                <w:bottom w:val="none" w:sz="0" w:space="0" w:color="auto"/>
                <w:right w:val="none" w:sz="0" w:space="0" w:color="auto"/>
              </w:divBdr>
            </w:div>
            <w:div w:id="90322524">
              <w:marLeft w:val="0"/>
              <w:marRight w:val="0"/>
              <w:marTop w:val="0"/>
              <w:marBottom w:val="0"/>
              <w:divBdr>
                <w:top w:val="none" w:sz="0" w:space="0" w:color="auto"/>
                <w:left w:val="none" w:sz="0" w:space="0" w:color="auto"/>
                <w:bottom w:val="none" w:sz="0" w:space="0" w:color="auto"/>
                <w:right w:val="none" w:sz="0" w:space="0" w:color="auto"/>
              </w:divBdr>
            </w:div>
            <w:div w:id="1917980779">
              <w:marLeft w:val="0"/>
              <w:marRight w:val="0"/>
              <w:marTop w:val="0"/>
              <w:marBottom w:val="0"/>
              <w:divBdr>
                <w:top w:val="none" w:sz="0" w:space="0" w:color="auto"/>
                <w:left w:val="none" w:sz="0" w:space="0" w:color="auto"/>
                <w:bottom w:val="none" w:sz="0" w:space="0" w:color="auto"/>
                <w:right w:val="none" w:sz="0" w:space="0" w:color="auto"/>
              </w:divBdr>
            </w:div>
            <w:div w:id="1480196477">
              <w:marLeft w:val="0"/>
              <w:marRight w:val="0"/>
              <w:marTop w:val="0"/>
              <w:marBottom w:val="0"/>
              <w:divBdr>
                <w:top w:val="none" w:sz="0" w:space="0" w:color="auto"/>
                <w:left w:val="none" w:sz="0" w:space="0" w:color="auto"/>
                <w:bottom w:val="none" w:sz="0" w:space="0" w:color="auto"/>
                <w:right w:val="none" w:sz="0" w:space="0" w:color="auto"/>
              </w:divBdr>
            </w:div>
            <w:div w:id="482821217">
              <w:marLeft w:val="0"/>
              <w:marRight w:val="0"/>
              <w:marTop w:val="0"/>
              <w:marBottom w:val="0"/>
              <w:divBdr>
                <w:top w:val="none" w:sz="0" w:space="0" w:color="auto"/>
                <w:left w:val="none" w:sz="0" w:space="0" w:color="auto"/>
                <w:bottom w:val="none" w:sz="0" w:space="0" w:color="auto"/>
                <w:right w:val="none" w:sz="0" w:space="0" w:color="auto"/>
              </w:divBdr>
            </w:div>
            <w:div w:id="1823229641">
              <w:marLeft w:val="0"/>
              <w:marRight w:val="0"/>
              <w:marTop w:val="0"/>
              <w:marBottom w:val="0"/>
              <w:divBdr>
                <w:top w:val="none" w:sz="0" w:space="0" w:color="auto"/>
                <w:left w:val="none" w:sz="0" w:space="0" w:color="auto"/>
                <w:bottom w:val="none" w:sz="0" w:space="0" w:color="auto"/>
                <w:right w:val="none" w:sz="0" w:space="0" w:color="auto"/>
              </w:divBdr>
            </w:div>
            <w:div w:id="399447666">
              <w:marLeft w:val="0"/>
              <w:marRight w:val="0"/>
              <w:marTop w:val="0"/>
              <w:marBottom w:val="0"/>
              <w:divBdr>
                <w:top w:val="none" w:sz="0" w:space="0" w:color="auto"/>
                <w:left w:val="none" w:sz="0" w:space="0" w:color="auto"/>
                <w:bottom w:val="none" w:sz="0" w:space="0" w:color="auto"/>
                <w:right w:val="none" w:sz="0" w:space="0" w:color="auto"/>
              </w:divBdr>
            </w:div>
            <w:div w:id="591545329">
              <w:marLeft w:val="0"/>
              <w:marRight w:val="0"/>
              <w:marTop w:val="0"/>
              <w:marBottom w:val="0"/>
              <w:divBdr>
                <w:top w:val="none" w:sz="0" w:space="0" w:color="auto"/>
                <w:left w:val="none" w:sz="0" w:space="0" w:color="auto"/>
                <w:bottom w:val="none" w:sz="0" w:space="0" w:color="auto"/>
                <w:right w:val="none" w:sz="0" w:space="0" w:color="auto"/>
              </w:divBdr>
            </w:div>
            <w:div w:id="15546417">
              <w:marLeft w:val="0"/>
              <w:marRight w:val="0"/>
              <w:marTop w:val="0"/>
              <w:marBottom w:val="0"/>
              <w:divBdr>
                <w:top w:val="none" w:sz="0" w:space="0" w:color="auto"/>
                <w:left w:val="none" w:sz="0" w:space="0" w:color="auto"/>
                <w:bottom w:val="none" w:sz="0" w:space="0" w:color="auto"/>
                <w:right w:val="none" w:sz="0" w:space="0" w:color="auto"/>
              </w:divBdr>
            </w:div>
            <w:div w:id="966548768">
              <w:marLeft w:val="0"/>
              <w:marRight w:val="0"/>
              <w:marTop w:val="0"/>
              <w:marBottom w:val="0"/>
              <w:divBdr>
                <w:top w:val="none" w:sz="0" w:space="0" w:color="auto"/>
                <w:left w:val="none" w:sz="0" w:space="0" w:color="auto"/>
                <w:bottom w:val="none" w:sz="0" w:space="0" w:color="auto"/>
                <w:right w:val="none" w:sz="0" w:space="0" w:color="auto"/>
              </w:divBdr>
            </w:div>
          </w:divsChild>
        </w:div>
        <w:div w:id="543716222">
          <w:marLeft w:val="0"/>
          <w:marRight w:val="0"/>
          <w:marTop w:val="0"/>
          <w:marBottom w:val="0"/>
          <w:divBdr>
            <w:top w:val="none" w:sz="0" w:space="0" w:color="auto"/>
            <w:left w:val="none" w:sz="0" w:space="0" w:color="auto"/>
            <w:bottom w:val="none" w:sz="0" w:space="0" w:color="auto"/>
            <w:right w:val="none" w:sz="0" w:space="0" w:color="auto"/>
          </w:divBdr>
        </w:div>
        <w:div w:id="1118570487">
          <w:marLeft w:val="0"/>
          <w:marRight w:val="0"/>
          <w:marTop w:val="0"/>
          <w:marBottom w:val="0"/>
          <w:divBdr>
            <w:top w:val="none" w:sz="0" w:space="0" w:color="auto"/>
            <w:left w:val="none" w:sz="0" w:space="0" w:color="auto"/>
            <w:bottom w:val="none" w:sz="0" w:space="0" w:color="auto"/>
            <w:right w:val="none" w:sz="0" w:space="0" w:color="auto"/>
          </w:divBdr>
        </w:div>
        <w:div w:id="480582942">
          <w:marLeft w:val="0"/>
          <w:marRight w:val="0"/>
          <w:marTop w:val="0"/>
          <w:marBottom w:val="0"/>
          <w:divBdr>
            <w:top w:val="none" w:sz="0" w:space="0" w:color="auto"/>
            <w:left w:val="none" w:sz="0" w:space="0" w:color="auto"/>
            <w:bottom w:val="none" w:sz="0" w:space="0" w:color="auto"/>
            <w:right w:val="none" w:sz="0" w:space="0" w:color="auto"/>
          </w:divBdr>
        </w:div>
        <w:div w:id="261190071">
          <w:marLeft w:val="0"/>
          <w:marRight w:val="0"/>
          <w:marTop w:val="0"/>
          <w:marBottom w:val="0"/>
          <w:divBdr>
            <w:top w:val="none" w:sz="0" w:space="0" w:color="auto"/>
            <w:left w:val="none" w:sz="0" w:space="0" w:color="auto"/>
            <w:bottom w:val="none" w:sz="0" w:space="0" w:color="auto"/>
            <w:right w:val="none" w:sz="0" w:space="0" w:color="auto"/>
          </w:divBdr>
        </w:div>
        <w:div w:id="687171206">
          <w:marLeft w:val="0"/>
          <w:marRight w:val="0"/>
          <w:marTop w:val="0"/>
          <w:marBottom w:val="0"/>
          <w:divBdr>
            <w:top w:val="none" w:sz="0" w:space="0" w:color="auto"/>
            <w:left w:val="none" w:sz="0" w:space="0" w:color="auto"/>
            <w:bottom w:val="none" w:sz="0" w:space="0" w:color="auto"/>
            <w:right w:val="none" w:sz="0" w:space="0" w:color="auto"/>
          </w:divBdr>
        </w:div>
        <w:div w:id="1002128087">
          <w:marLeft w:val="0"/>
          <w:marRight w:val="0"/>
          <w:marTop w:val="0"/>
          <w:marBottom w:val="0"/>
          <w:divBdr>
            <w:top w:val="none" w:sz="0" w:space="0" w:color="auto"/>
            <w:left w:val="none" w:sz="0" w:space="0" w:color="auto"/>
            <w:bottom w:val="none" w:sz="0" w:space="0" w:color="auto"/>
            <w:right w:val="none" w:sz="0" w:space="0" w:color="auto"/>
          </w:divBdr>
        </w:div>
        <w:div w:id="1075280925">
          <w:marLeft w:val="0"/>
          <w:marRight w:val="0"/>
          <w:marTop w:val="0"/>
          <w:marBottom w:val="0"/>
          <w:divBdr>
            <w:top w:val="none" w:sz="0" w:space="0" w:color="auto"/>
            <w:left w:val="none" w:sz="0" w:space="0" w:color="auto"/>
            <w:bottom w:val="none" w:sz="0" w:space="0" w:color="auto"/>
            <w:right w:val="none" w:sz="0" w:space="0" w:color="auto"/>
          </w:divBdr>
        </w:div>
        <w:div w:id="212353721">
          <w:marLeft w:val="0"/>
          <w:marRight w:val="0"/>
          <w:marTop w:val="0"/>
          <w:marBottom w:val="0"/>
          <w:divBdr>
            <w:top w:val="none" w:sz="0" w:space="0" w:color="auto"/>
            <w:left w:val="none" w:sz="0" w:space="0" w:color="auto"/>
            <w:bottom w:val="none" w:sz="0" w:space="0" w:color="auto"/>
            <w:right w:val="none" w:sz="0" w:space="0" w:color="auto"/>
          </w:divBdr>
        </w:div>
        <w:div w:id="1428430425">
          <w:marLeft w:val="0"/>
          <w:marRight w:val="0"/>
          <w:marTop w:val="0"/>
          <w:marBottom w:val="0"/>
          <w:divBdr>
            <w:top w:val="none" w:sz="0" w:space="0" w:color="auto"/>
            <w:left w:val="none" w:sz="0" w:space="0" w:color="auto"/>
            <w:bottom w:val="none" w:sz="0" w:space="0" w:color="auto"/>
            <w:right w:val="none" w:sz="0" w:space="0" w:color="auto"/>
          </w:divBdr>
        </w:div>
        <w:div w:id="1002584957">
          <w:marLeft w:val="0"/>
          <w:marRight w:val="0"/>
          <w:marTop w:val="0"/>
          <w:marBottom w:val="0"/>
          <w:divBdr>
            <w:top w:val="none" w:sz="0" w:space="0" w:color="auto"/>
            <w:left w:val="none" w:sz="0" w:space="0" w:color="auto"/>
            <w:bottom w:val="none" w:sz="0" w:space="0" w:color="auto"/>
            <w:right w:val="none" w:sz="0" w:space="0" w:color="auto"/>
          </w:divBdr>
        </w:div>
        <w:div w:id="1058361398">
          <w:marLeft w:val="0"/>
          <w:marRight w:val="0"/>
          <w:marTop w:val="0"/>
          <w:marBottom w:val="0"/>
          <w:divBdr>
            <w:top w:val="none" w:sz="0" w:space="0" w:color="auto"/>
            <w:left w:val="none" w:sz="0" w:space="0" w:color="auto"/>
            <w:bottom w:val="none" w:sz="0" w:space="0" w:color="auto"/>
            <w:right w:val="none" w:sz="0" w:space="0" w:color="auto"/>
          </w:divBdr>
        </w:div>
        <w:div w:id="1301689821">
          <w:marLeft w:val="0"/>
          <w:marRight w:val="0"/>
          <w:marTop w:val="0"/>
          <w:marBottom w:val="0"/>
          <w:divBdr>
            <w:top w:val="none" w:sz="0" w:space="0" w:color="auto"/>
            <w:left w:val="none" w:sz="0" w:space="0" w:color="auto"/>
            <w:bottom w:val="none" w:sz="0" w:space="0" w:color="auto"/>
            <w:right w:val="none" w:sz="0" w:space="0" w:color="auto"/>
          </w:divBdr>
        </w:div>
        <w:div w:id="1770468516">
          <w:marLeft w:val="0"/>
          <w:marRight w:val="0"/>
          <w:marTop w:val="0"/>
          <w:marBottom w:val="0"/>
          <w:divBdr>
            <w:top w:val="none" w:sz="0" w:space="0" w:color="auto"/>
            <w:left w:val="none" w:sz="0" w:space="0" w:color="auto"/>
            <w:bottom w:val="none" w:sz="0" w:space="0" w:color="auto"/>
            <w:right w:val="none" w:sz="0" w:space="0" w:color="auto"/>
          </w:divBdr>
        </w:div>
        <w:div w:id="59406904">
          <w:marLeft w:val="0"/>
          <w:marRight w:val="0"/>
          <w:marTop w:val="0"/>
          <w:marBottom w:val="0"/>
          <w:divBdr>
            <w:top w:val="none" w:sz="0" w:space="0" w:color="auto"/>
            <w:left w:val="none" w:sz="0" w:space="0" w:color="auto"/>
            <w:bottom w:val="none" w:sz="0" w:space="0" w:color="auto"/>
            <w:right w:val="none" w:sz="0" w:space="0" w:color="auto"/>
          </w:divBdr>
        </w:div>
        <w:div w:id="1582056021">
          <w:marLeft w:val="0"/>
          <w:marRight w:val="0"/>
          <w:marTop w:val="0"/>
          <w:marBottom w:val="0"/>
          <w:divBdr>
            <w:top w:val="none" w:sz="0" w:space="0" w:color="auto"/>
            <w:left w:val="none" w:sz="0" w:space="0" w:color="auto"/>
            <w:bottom w:val="none" w:sz="0" w:space="0" w:color="auto"/>
            <w:right w:val="none" w:sz="0" w:space="0" w:color="auto"/>
          </w:divBdr>
        </w:div>
        <w:div w:id="1658264286">
          <w:marLeft w:val="0"/>
          <w:marRight w:val="0"/>
          <w:marTop w:val="0"/>
          <w:marBottom w:val="0"/>
          <w:divBdr>
            <w:top w:val="none" w:sz="0" w:space="0" w:color="auto"/>
            <w:left w:val="none" w:sz="0" w:space="0" w:color="auto"/>
            <w:bottom w:val="none" w:sz="0" w:space="0" w:color="auto"/>
            <w:right w:val="none" w:sz="0" w:space="0" w:color="auto"/>
          </w:divBdr>
        </w:div>
        <w:div w:id="950819773">
          <w:marLeft w:val="0"/>
          <w:marRight w:val="0"/>
          <w:marTop w:val="0"/>
          <w:marBottom w:val="0"/>
          <w:divBdr>
            <w:top w:val="none" w:sz="0" w:space="0" w:color="auto"/>
            <w:left w:val="none" w:sz="0" w:space="0" w:color="auto"/>
            <w:bottom w:val="none" w:sz="0" w:space="0" w:color="auto"/>
            <w:right w:val="none" w:sz="0" w:space="0" w:color="auto"/>
          </w:divBdr>
        </w:div>
        <w:div w:id="2028557833">
          <w:marLeft w:val="0"/>
          <w:marRight w:val="0"/>
          <w:marTop w:val="0"/>
          <w:marBottom w:val="0"/>
          <w:divBdr>
            <w:top w:val="none" w:sz="0" w:space="0" w:color="auto"/>
            <w:left w:val="none" w:sz="0" w:space="0" w:color="auto"/>
            <w:bottom w:val="none" w:sz="0" w:space="0" w:color="auto"/>
            <w:right w:val="none" w:sz="0" w:space="0" w:color="auto"/>
          </w:divBdr>
        </w:div>
        <w:div w:id="1228104549">
          <w:marLeft w:val="0"/>
          <w:marRight w:val="0"/>
          <w:marTop w:val="0"/>
          <w:marBottom w:val="0"/>
          <w:divBdr>
            <w:top w:val="none" w:sz="0" w:space="0" w:color="auto"/>
            <w:left w:val="none" w:sz="0" w:space="0" w:color="auto"/>
            <w:bottom w:val="none" w:sz="0" w:space="0" w:color="auto"/>
            <w:right w:val="none" w:sz="0" w:space="0" w:color="auto"/>
          </w:divBdr>
        </w:div>
        <w:div w:id="770202511">
          <w:marLeft w:val="0"/>
          <w:marRight w:val="0"/>
          <w:marTop w:val="0"/>
          <w:marBottom w:val="0"/>
          <w:divBdr>
            <w:top w:val="none" w:sz="0" w:space="0" w:color="auto"/>
            <w:left w:val="none" w:sz="0" w:space="0" w:color="auto"/>
            <w:bottom w:val="none" w:sz="0" w:space="0" w:color="auto"/>
            <w:right w:val="none" w:sz="0" w:space="0" w:color="auto"/>
          </w:divBdr>
        </w:div>
        <w:div w:id="869300289">
          <w:marLeft w:val="0"/>
          <w:marRight w:val="0"/>
          <w:marTop w:val="0"/>
          <w:marBottom w:val="0"/>
          <w:divBdr>
            <w:top w:val="none" w:sz="0" w:space="0" w:color="auto"/>
            <w:left w:val="none" w:sz="0" w:space="0" w:color="auto"/>
            <w:bottom w:val="none" w:sz="0" w:space="0" w:color="auto"/>
            <w:right w:val="none" w:sz="0" w:space="0" w:color="auto"/>
          </w:divBdr>
          <w:divsChild>
            <w:div w:id="415399816">
              <w:marLeft w:val="0"/>
              <w:marRight w:val="0"/>
              <w:marTop w:val="0"/>
              <w:marBottom w:val="0"/>
              <w:divBdr>
                <w:top w:val="none" w:sz="0" w:space="0" w:color="auto"/>
                <w:left w:val="none" w:sz="0" w:space="0" w:color="auto"/>
                <w:bottom w:val="none" w:sz="0" w:space="0" w:color="auto"/>
                <w:right w:val="none" w:sz="0" w:space="0" w:color="auto"/>
              </w:divBdr>
            </w:div>
            <w:div w:id="1074624215">
              <w:marLeft w:val="0"/>
              <w:marRight w:val="0"/>
              <w:marTop w:val="0"/>
              <w:marBottom w:val="0"/>
              <w:divBdr>
                <w:top w:val="none" w:sz="0" w:space="0" w:color="auto"/>
                <w:left w:val="none" w:sz="0" w:space="0" w:color="auto"/>
                <w:bottom w:val="none" w:sz="0" w:space="0" w:color="auto"/>
                <w:right w:val="none" w:sz="0" w:space="0" w:color="auto"/>
              </w:divBdr>
            </w:div>
            <w:div w:id="863709312">
              <w:marLeft w:val="0"/>
              <w:marRight w:val="0"/>
              <w:marTop w:val="0"/>
              <w:marBottom w:val="0"/>
              <w:divBdr>
                <w:top w:val="none" w:sz="0" w:space="0" w:color="auto"/>
                <w:left w:val="none" w:sz="0" w:space="0" w:color="auto"/>
                <w:bottom w:val="none" w:sz="0" w:space="0" w:color="auto"/>
                <w:right w:val="none" w:sz="0" w:space="0" w:color="auto"/>
              </w:divBdr>
            </w:div>
            <w:div w:id="1176384741">
              <w:marLeft w:val="0"/>
              <w:marRight w:val="0"/>
              <w:marTop w:val="0"/>
              <w:marBottom w:val="0"/>
              <w:divBdr>
                <w:top w:val="none" w:sz="0" w:space="0" w:color="auto"/>
                <w:left w:val="none" w:sz="0" w:space="0" w:color="auto"/>
                <w:bottom w:val="none" w:sz="0" w:space="0" w:color="auto"/>
                <w:right w:val="none" w:sz="0" w:space="0" w:color="auto"/>
              </w:divBdr>
            </w:div>
            <w:div w:id="1477524074">
              <w:marLeft w:val="0"/>
              <w:marRight w:val="0"/>
              <w:marTop w:val="0"/>
              <w:marBottom w:val="0"/>
              <w:divBdr>
                <w:top w:val="none" w:sz="0" w:space="0" w:color="auto"/>
                <w:left w:val="none" w:sz="0" w:space="0" w:color="auto"/>
                <w:bottom w:val="none" w:sz="0" w:space="0" w:color="auto"/>
                <w:right w:val="none" w:sz="0" w:space="0" w:color="auto"/>
              </w:divBdr>
            </w:div>
            <w:div w:id="1057464">
              <w:marLeft w:val="0"/>
              <w:marRight w:val="0"/>
              <w:marTop w:val="0"/>
              <w:marBottom w:val="0"/>
              <w:divBdr>
                <w:top w:val="none" w:sz="0" w:space="0" w:color="auto"/>
                <w:left w:val="none" w:sz="0" w:space="0" w:color="auto"/>
                <w:bottom w:val="none" w:sz="0" w:space="0" w:color="auto"/>
                <w:right w:val="none" w:sz="0" w:space="0" w:color="auto"/>
              </w:divBdr>
            </w:div>
            <w:div w:id="285695540">
              <w:marLeft w:val="0"/>
              <w:marRight w:val="0"/>
              <w:marTop w:val="0"/>
              <w:marBottom w:val="0"/>
              <w:divBdr>
                <w:top w:val="none" w:sz="0" w:space="0" w:color="auto"/>
                <w:left w:val="none" w:sz="0" w:space="0" w:color="auto"/>
                <w:bottom w:val="none" w:sz="0" w:space="0" w:color="auto"/>
                <w:right w:val="none" w:sz="0" w:space="0" w:color="auto"/>
              </w:divBdr>
            </w:div>
            <w:div w:id="860045651">
              <w:marLeft w:val="0"/>
              <w:marRight w:val="0"/>
              <w:marTop w:val="0"/>
              <w:marBottom w:val="0"/>
              <w:divBdr>
                <w:top w:val="none" w:sz="0" w:space="0" w:color="auto"/>
                <w:left w:val="none" w:sz="0" w:space="0" w:color="auto"/>
                <w:bottom w:val="none" w:sz="0" w:space="0" w:color="auto"/>
                <w:right w:val="none" w:sz="0" w:space="0" w:color="auto"/>
              </w:divBdr>
            </w:div>
            <w:div w:id="971790151">
              <w:marLeft w:val="0"/>
              <w:marRight w:val="0"/>
              <w:marTop w:val="0"/>
              <w:marBottom w:val="0"/>
              <w:divBdr>
                <w:top w:val="none" w:sz="0" w:space="0" w:color="auto"/>
                <w:left w:val="none" w:sz="0" w:space="0" w:color="auto"/>
                <w:bottom w:val="none" w:sz="0" w:space="0" w:color="auto"/>
                <w:right w:val="none" w:sz="0" w:space="0" w:color="auto"/>
              </w:divBdr>
            </w:div>
            <w:div w:id="1913543813">
              <w:marLeft w:val="0"/>
              <w:marRight w:val="0"/>
              <w:marTop w:val="0"/>
              <w:marBottom w:val="0"/>
              <w:divBdr>
                <w:top w:val="none" w:sz="0" w:space="0" w:color="auto"/>
                <w:left w:val="none" w:sz="0" w:space="0" w:color="auto"/>
                <w:bottom w:val="none" w:sz="0" w:space="0" w:color="auto"/>
                <w:right w:val="none" w:sz="0" w:space="0" w:color="auto"/>
              </w:divBdr>
            </w:div>
            <w:div w:id="1864318570">
              <w:marLeft w:val="0"/>
              <w:marRight w:val="0"/>
              <w:marTop w:val="0"/>
              <w:marBottom w:val="0"/>
              <w:divBdr>
                <w:top w:val="none" w:sz="0" w:space="0" w:color="auto"/>
                <w:left w:val="none" w:sz="0" w:space="0" w:color="auto"/>
                <w:bottom w:val="none" w:sz="0" w:space="0" w:color="auto"/>
                <w:right w:val="none" w:sz="0" w:space="0" w:color="auto"/>
              </w:divBdr>
            </w:div>
            <w:div w:id="85545704">
              <w:marLeft w:val="0"/>
              <w:marRight w:val="0"/>
              <w:marTop w:val="0"/>
              <w:marBottom w:val="0"/>
              <w:divBdr>
                <w:top w:val="none" w:sz="0" w:space="0" w:color="auto"/>
                <w:left w:val="none" w:sz="0" w:space="0" w:color="auto"/>
                <w:bottom w:val="none" w:sz="0" w:space="0" w:color="auto"/>
                <w:right w:val="none" w:sz="0" w:space="0" w:color="auto"/>
              </w:divBdr>
            </w:div>
            <w:div w:id="552692985">
              <w:marLeft w:val="0"/>
              <w:marRight w:val="0"/>
              <w:marTop w:val="0"/>
              <w:marBottom w:val="0"/>
              <w:divBdr>
                <w:top w:val="none" w:sz="0" w:space="0" w:color="auto"/>
                <w:left w:val="none" w:sz="0" w:space="0" w:color="auto"/>
                <w:bottom w:val="none" w:sz="0" w:space="0" w:color="auto"/>
                <w:right w:val="none" w:sz="0" w:space="0" w:color="auto"/>
              </w:divBdr>
            </w:div>
            <w:div w:id="1834637711">
              <w:marLeft w:val="0"/>
              <w:marRight w:val="0"/>
              <w:marTop w:val="0"/>
              <w:marBottom w:val="0"/>
              <w:divBdr>
                <w:top w:val="none" w:sz="0" w:space="0" w:color="auto"/>
                <w:left w:val="none" w:sz="0" w:space="0" w:color="auto"/>
                <w:bottom w:val="none" w:sz="0" w:space="0" w:color="auto"/>
                <w:right w:val="none" w:sz="0" w:space="0" w:color="auto"/>
              </w:divBdr>
            </w:div>
            <w:div w:id="935207830">
              <w:marLeft w:val="0"/>
              <w:marRight w:val="0"/>
              <w:marTop w:val="0"/>
              <w:marBottom w:val="0"/>
              <w:divBdr>
                <w:top w:val="none" w:sz="0" w:space="0" w:color="auto"/>
                <w:left w:val="none" w:sz="0" w:space="0" w:color="auto"/>
                <w:bottom w:val="none" w:sz="0" w:space="0" w:color="auto"/>
                <w:right w:val="none" w:sz="0" w:space="0" w:color="auto"/>
              </w:divBdr>
            </w:div>
            <w:div w:id="907572672">
              <w:marLeft w:val="0"/>
              <w:marRight w:val="0"/>
              <w:marTop w:val="0"/>
              <w:marBottom w:val="0"/>
              <w:divBdr>
                <w:top w:val="none" w:sz="0" w:space="0" w:color="auto"/>
                <w:left w:val="none" w:sz="0" w:space="0" w:color="auto"/>
                <w:bottom w:val="none" w:sz="0" w:space="0" w:color="auto"/>
                <w:right w:val="none" w:sz="0" w:space="0" w:color="auto"/>
              </w:divBdr>
            </w:div>
            <w:div w:id="1397238741">
              <w:marLeft w:val="0"/>
              <w:marRight w:val="0"/>
              <w:marTop w:val="0"/>
              <w:marBottom w:val="0"/>
              <w:divBdr>
                <w:top w:val="none" w:sz="0" w:space="0" w:color="auto"/>
                <w:left w:val="none" w:sz="0" w:space="0" w:color="auto"/>
                <w:bottom w:val="none" w:sz="0" w:space="0" w:color="auto"/>
                <w:right w:val="none" w:sz="0" w:space="0" w:color="auto"/>
              </w:divBdr>
            </w:div>
            <w:div w:id="2061661005">
              <w:marLeft w:val="0"/>
              <w:marRight w:val="0"/>
              <w:marTop w:val="0"/>
              <w:marBottom w:val="0"/>
              <w:divBdr>
                <w:top w:val="none" w:sz="0" w:space="0" w:color="auto"/>
                <w:left w:val="none" w:sz="0" w:space="0" w:color="auto"/>
                <w:bottom w:val="none" w:sz="0" w:space="0" w:color="auto"/>
                <w:right w:val="none" w:sz="0" w:space="0" w:color="auto"/>
              </w:divBdr>
            </w:div>
            <w:div w:id="110712481">
              <w:marLeft w:val="0"/>
              <w:marRight w:val="0"/>
              <w:marTop w:val="0"/>
              <w:marBottom w:val="0"/>
              <w:divBdr>
                <w:top w:val="none" w:sz="0" w:space="0" w:color="auto"/>
                <w:left w:val="none" w:sz="0" w:space="0" w:color="auto"/>
                <w:bottom w:val="none" w:sz="0" w:space="0" w:color="auto"/>
                <w:right w:val="none" w:sz="0" w:space="0" w:color="auto"/>
              </w:divBdr>
            </w:div>
            <w:div w:id="1937324304">
              <w:marLeft w:val="0"/>
              <w:marRight w:val="0"/>
              <w:marTop w:val="0"/>
              <w:marBottom w:val="0"/>
              <w:divBdr>
                <w:top w:val="none" w:sz="0" w:space="0" w:color="auto"/>
                <w:left w:val="none" w:sz="0" w:space="0" w:color="auto"/>
                <w:bottom w:val="none" w:sz="0" w:space="0" w:color="auto"/>
                <w:right w:val="none" w:sz="0" w:space="0" w:color="auto"/>
              </w:divBdr>
            </w:div>
          </w:divsChild>
        </w:div>
        <w:div w:id="210460637">
          <w:marLeft w:val="0"/>
          <w:marRight w:val="0"/>
          <w:marTop w:val="0"/>
          <w:marBottom w:val="0"/>
          <w:divBdr>
            <w:top w:val="none" w:sz="0" w:space="0" w:color="auto"/>
            <w:left w:val="none" w:sz="0" w:space="0" w:color="auto"/>
            <w:bottom w:val="none" w:sz="0" w:space="0" w:color="auto"/>
            <w:right w:val="none" w:sz="0" w:space="0" w:color="auto"/>
          </w:divBdr>
          <w:divsChild>
            <w:div w:id="284508547">
              <w:marLeft w:val="0"/>
              <w:marRight w:val="0"/>
              <w:marTop w:val="0"/>
              <w:marBottom w:val="0"/>
              <w:divBdr>
                <w:top w:val="none" w:sz="0" w:space="0" w:color="auto"/>
                <w:left w:val="none" w:sz="0" w:space="0" w:color="auto"/>
                <w:bottom w:val="none" w:sz="0" w:space="0" w:color="auto"/>
                <w:right w:val="none" w:sz="0" w:space="0" w:color="auto"/>
              </w:divBdr>
            </w:div>
            <w:div w:id="1596937760">
              <w:marLeft w:val="0"/>
              <w:marRight w:val="0"/>
              <w:marTop w:val="0"/>
              <w:marBottom w:val="0"/>
              <w:divBdr>
                <w:top w:val="none" w:sz="0" w:space="0" w:color="auto"/>
                <w:left w:val="none" w:sz="0" w:space="0" w:color="auto"/>
                <w:bottom w:val="none" w:sz="0" w:space="0" w:color="auto"/>
                <w:right w:val="none" w:sz="0" w:space="0" w:color="auto"/>
              </w:divBdr>
            </w:div>
            <w:div w:id="792865730">
              <w:marLeft w:val="0"/>
              <w:marRight w:val="0"/>
              <w:marTop w:val="0"/>
              <w:marBottom w:val="0"/>
              <w:divBdr>
                <w:top w:val="none" w:sz="0" w:space="0" w:color="auto"/>
                <w:left w:val="none" w:sz="0" w:space="0" w:color="auto"/>
                <w:bottom w:val="none" w:sz="0" w:space="0" w:color="auto"/>
                <w:right w:val="none" w:sz="0" w:space="0" w:color="auto"/>
              </w:divBdr>
            </w:div>
            <w:div w:id="776145657">
              <w:marLeft w:val="0"/>
              <w:marRight w:val="0"/>
              <w:marTop w:val="0"/>
              <w:marBottom w:val="0"/>
              <w:divBdr>
                <w:top w:val="none" w:sz="0" w:space="0" w:color="auto"/>
                <w:left w:val="none" w:sz="0" w:space="0" w:color="auto"/>
                <w:bottom w:val="none" w:sz="0" w:space="0" w:color="auto"/>
                <w:right w:val="none" w:sz="0" w:space="0" w:color="auto"/>
              </w:divBdr>
            </w:div>
            <w:div w:id="1864243287">
              <w:marLeft w:val="0"/>
              <w:marRight w:val="0"/>
              <w:marTop w:val="0"/>
              <w:marBottom w:val="0"/>
              <w:divBdr>
                <w:top w:val="none" w:sz="0" w:space="0" w:color="auto"/>
                <w:left w:val="none" w:sz="0" w:space="0" w:color="auto"/>
                <w:bottom w:val="none" w:sz="0" w:space="0" w:color="auto"/>
                <w:right w:val="none" w:sz="0" w:space="0" w:color="auto"/>
              </w:divBdr>
            </w:div>
            <w:div w:id="15732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096">
      <w:bodyDiv w:val="1"/>
      <w:marLeft w:val="0"/>
      <w:marRight w:val="0"/>
      <w:marTop w:val="0"/>
      <w:marBottom w:val="0"/>
      <w:divBdr>
        <w:top w:val="none" w:sz="0" w:space="0" w:color="auto"/>
        <w:left w:val="none" w:sz="0" w:space="0" w:color="auto"/>
        <w:bottom w:val="none" w:sz="0" w:space="0" w:color="auto"/>
        <w:right w:val="none" w:sz="0" w:space="0" w:color="auto"/>
      </w:divBdr>
    </w:div>
    <w:div w:id="979268205">
      <w:bodyDiv w:val="1"/>
      <w:marLeft w:val="0"/>
      <w:marRight w:val="0"/>
      <w:marTop w:val="0"/>
      <w:marBottom w:val="0"/>
      <w:divBdr>
        <w:top w:val="none" w:sz="0" w:space="0" w:color="auto"/>
        <w:left w:val="none" w:sz="0" w:space="0" w:color="auto"/>
        <w:bottom w:val="none" w:sz="0" w:space="0" w:color="auto"/>
        <w:right w:val="none" w:sz="0" w:space="0" w:color="auto"/>
      </w:divBdr>
    </w:div>
    <w:div w:id="980772881">
      <w:bodyDiv w:val="1"/>
      <w:marLeft w:val="0"/>
      <w:marRight w:val="0"/>
      <w:marTop w:val="0"/>
      <w:marBottom w:val="0"/>
      <w:divBdr>
        <w:top w:val="none" w:sz="0" w:space="0" w:color="auto"/>
        <w:left w:val="none" w:sz="0" w:space="0" w:color="auto"/>
        <w:bottom w:val="none" w:sz="0" w:space="0" w:color="auto"/>
        <w:right w:val="none" w:sz="0" w:space="0" w:color="auto"/>
      </w:divBdr>
    </w:div>
    <w:div w:id="989528468">
      <w:bodyDiv w:val="1"/>
      <w:marLeft w:val="0"/>
      <w:marRight w:val="0"/>
      <w:marTop w:val="0"/>
      <w:marBottom w:val="0"/>
      <w:divBdr>
        <w:top w:val="none" w:sz="0" w:space="0" w:color="auto"/>
        <w:left w:val="none" w:sz="0" w:space="0" w:color="auto"/>
        <w:bottom w:val="none" w:sz="0" w:space="0" w:color="auto"/>
        <w:right w:val="none" w:sz="0" w:space="0" w:color="auto"/>
      </w:divBdr>
    </w:div>
    <w:div w:id="1003583769">
      <w:bodyDiv w:val="1"/>
      <w:marLeft w:val="0"/>
      <w:marRight w:val="0"/>
      <w:marTop w:val="0"/>
      <w:marBottom w:val="0"/>
      <w:divBdr>
        <w:top w:val="none" w:sz="0" w:space="0" w:color="auto"/>
        <w:left w:val="none" w:sz="0" w:space="0" w:color="auto"/>
        <w:bottom w:val="none" w:sz="0" w:space="0" w:color="auto"/>
        <w:right w:val="none" w:sz="0" w:space="0" w:color="auto"/>
      </w:divBdr>
    </w:div>
    <w:div w:id="1005742506">
      <w:bodyDiv w:val="1"/>
      <w:marLeft w:val="0"/>
      <w:marRight w:val="0"/>
      <w:marTop w:val="0"/>
      <w:marBottom w:val="0"/>
      <w:divBdr>
        <w:top w:val="none" w:sz="0" w:space="0" w:color="auto"/>
        <w:left w:val="none" w:sz="0" w:space="0" w:color="auto"/>
        <w:bottom w:val="none" w:sz="0" w:space="0" w:color="auto"/>
        <w:right w:val="none" w:sz="0" w:space="0" w:color="auto"/>
      </w:divBdr>
    </w:div>
    <w:div w:id="1020472537">
      <w:bodyDiv w:val="1"/>
      <w:marLeft w:val="0"/>
      <w:marRight w:val="0"/>
      <w:marTop w:val="0"/>
      <w:marBottom w:val="0"/>
      <w:divBdr>
        <w:top w:val="none" w:sz="0" w:space="0" w:color="auto"/>
        <w:left w:val="none" w:sz="0" w:space="0" w:color="auto"/>
        <w:bottom w:val="none" w:sz="0" w:space="0" w:color="auto"/>
        <w:right w:val="none" w:sz="0" w:space="0" w:color="auto"/>
      </w:divBdr>
    </w:div>
    <w:div w:id="1026633342">
      <w:bodyDiv w:val="1"/>
      <w:marLeft w:val="0"/>
      <w:marRight w:val="0"/>
      <w:marTop w:val="0"/>
      <w:marBottom w:val="0"/>
      <w:divBdr>
        <w:top w:val="none" w:sz="0" w:space="0" w:color="auto"/>
        <w:left w:val="none" w:sz="0" w:space="0" w:color="auto"/>
        <w:bottom w:val="none" w:sz="0" w:space="0" w:color="auto"/>
        <w:right w:val="none" w:sz="0" w:space="0" w:color="auto"/>
      </w:divBdr>
    </w:div>
    <w:div w:id="1032027226">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049454656">
      <w:bodyDiv w:val="1"/>
      <w:marLeft w:val="0"/>
      <w:marRight w:val="0"/>
      <w:marTop w:val="0"/>
      <w:marBottom w:val="0"/>
      <w:divBdr>
        <w:top w:val="none" w:sz="0" w:space="0" w:color="auto"/>
        <w:left w:val="none" w:sz="0" w:space="0" w:color="auto"/>
        <w:bottom w:val="none" w:sz="0" w:space="0" w:color="auto"/>
        <w:right w:val="none" w:sz="0" w:space="0" w:color="auto"/>
      </w:divBdr>
    </w:div>
    <w:div w:id="1053850534">
      <w:bodyDiv w:val="1"/>
      <w:marLeft w:val="0"/>
      <w:marRight w:val="0"/>
      <w:marTop w:val="0"/>
      <w:marBottom w:val="0"/>
      <w:divBdr>
        <w:top w:val="none" w:sz="0" w:space="0" w:color="auto"/>
        <w:left w:val="none" w:sz="0" w:space="0" w:color="auto"/>
        <w:bottom w:val="none" w:sz="0" w:space="0" w:color="auto"/>
        <w:right w:val="none" w:sz="0" w:space="0" w:color="auto"/>
      </w:divBdr>
    </w:div>
    <w:div w:id="1073623425">
      <w:bodyDiv w:val="1"/>
      <w:marLeft w:val="0"/>
      <w:marRight w:val="0"/>
      <w:marTop w:val="0"/>
      <w:marBottom w:val="0"/>
      <w:divBdr>
        <w:top w:val="none" w:sz="0" w:space="0" w:color="auto"/>
        <w:left w:val="none" w:sz="0" w:space="0" w:color="auto"/>
        <w:bottom w:val="none" w:sz="0" w:space="0" w:color="auto"/>
        <w:right w:val="none" w:sz="0" w:space="0" w:color="auto"/>
      </w:divBdr>
    </w:div>
    <w:div w:id="1083456134">
      <w:bodyDiv w:val="1"/>
      <w:marLeft w:val="0"/>
      <w:marRight w:val="0"/>
      <w:marTop w:val="0"/>
      <w:marBottom w:val="0"/>
      <w:divBdr>
        <w:top w:val="none" w:sz="0" w:space="0" w:color="auto"/>
        <w:left w:val="none" w:sz="0" w:space="0" w:color="auto"/>
        <w:bottom w:val="none" w:sz="0" w:space="0" w:color="auto"/>
        <w:right w:val="none" w:sz="0" w:space="0" w:color="auto"/>
      </w:divBdr>
    </w:div>
    <w:div w:id="1089615326">
      <w:bodyDiv w:val="1"/>
      <w:marLeft w:val="0"/>
      <w:marRight w:val="0"/>
      <w:marTop w:val="0"/>
      <w:marBottom w:val="0"/>
      <w:divBdr>
        <w:top w:val="none" w:sz="0" w:space="0" w:color="auto"/>
        <w:left w:val="none" w:sz="0" w:space="0" w:color="auto"/>
        <w:bottom w:val="none" w:sz="0" w:space="0" w:color="auto"/>
        <w:right w:val="none" w:sz="0" w:space="0" w:color="auto"/>
      </w:divBdr>
    </w:div>
    <w:div w:id="1109085396">
      <w:bodyDiv w:val="1"/>
      <w:marLeft w:val="0"/>
      <w:marRight w:val="0"/>
      <w:marTop w:val="0"/>
      <w:marBottom w:val="0"/>
      <w:divBdr>
        <w:top w:val="none" w:sz="0" w:space="0" w:color="auto"/>
        <w:left w:val="none" w:sz="0" w:space="0" w:color="auto"/>
        <w:bottom w:val="none" w:sz="0" w:space="0" w:color="auto"/>
        <w:right w:val="none" w:sz="0" w:space="0" w:color="auto"/>
      </w:divBdr>
    </w:div>
    <w:div w:id="1109932222">
      <w:bodyDiv w:val="1"/>
      <w:marLeft w:val="0"/>
      <w:marRight w:val="0"/>
      <w:marTop w:val="0"/>
      <w:marBottom w:val="0"/>
      <w:divBdr>
        <w:top w:val="none" w:sz="0" w:space="0" w:color="auto"/>
        <w:left w:val="none" w:sz="0" w:space="0" w:color="auto"/>
        <w:bottom w:val="none" w:sz="0" w:space="0" w:color="auto"/>
        <w:right w:val="none" w:sz="0" w:space="0" w:color="auto"/>
      </w:divBdr>
    </w:div>
    <w:div w:id="1159464706">
      <w:bodyDiv w:val="1"/>
      <w:marLeft w:val="0"/>
      <w:marRight w:val="0"/>
      <w:marTop w:val="0"/>
      <w:marBottom w:val="0"/>
      <w:divBdr>
        <w:top w:val="none" w:sz="0" w:space="0" w:color="auto"/>
        <w:left w:val="none" w:sz="0" w:space="0" w:color="auto"/>
        <w:bottom w:val="none" w:sz="0" w:space="0" w:color="auto"/>
        <w:right w:val="none" w:sz="0" w:space="0" w:color="auto"/>
      </w:divBdr>
    </w:div>
    <w:div w:id="1172186984">
      <w:bodyDiv w:val="1"/>
      <w:marLeft w:val="0"/>
      <w:marRight w:val="0"/>
      <w:marTop w:val="0"/>
      <w:marBottom w:val="0"/>
      <w:divBdr>
        <w:top w:val="none" w:sz="0" w:space="0" w:color="auto"/>
        <w:left w:val="none" w:sz="0" w:space="0" w:color="auto"/>
        <w:bottom w:val="none" w:sz="0" w:space="0" w:color="auto"/>
        <w:right w:val="none" w:sz="0" w:space="0" w:color="auto"/>
      </w:divBdr>
    </w:div>
    <w:div w:id="1188250164">
      <w:bodyDiv w:val="1"/>
      <w:marLeft w:val="0"/>
      <w:marRight w:val="0"/>
      <w:marTop w:val="0"/>
      <w:marBottom w:val="0"/>
      <w:divBdr>
        <w:top w:val="none" w:sz="0" w:space="0" w:color="auto"/>
        <w:left w:val="none" w:sz="0" w:space="0" w:color="auto"/>
        <w:bottom w:val="none" w:sz="0" w:space="0" w:color="auto"/>
        <w:right w:val="none" w:sz="0" w:space="0" w:color="auto"/>
      </w:divBdr>
    </w:div>
    <w:div w:id="1190677531">
      <w:bodyDiv w:val="1"/>
      <w:marLeft w:val="0"/>
      <w:marRight w:val="0"/>
      <w:marTop w:val="0"/>
      <w:marBottom w:val="0"/>
      <w:divBdr>
        <w:top w:val="none" w:sz="0" w:space="0" w:color="auto"/>
        <w:left w:val="none" w:sz="0" w:space="0" w:color="auto"/>
        <w:bottom w:val="none" w:sz="0" w:space="0" w:color="auto"/>
        <w:right w:val="none" w:sz="0" w:space="0" w:color="auto"/>
      </w:divBdr>
    </w:div>
    <w:div w:id="1194418220">
      <w:bodyDiv w:val="1"/>
      <w:marLeft w:val="0"/>
      <w:marRight w:val="0"/>
      <w:marTop w:val="0"/>
      <w:marBottom w:val="0"/>
      <w:divBdr>
        <w:top w:val="none" w:sz="0" w:space="0" w:color="auto"/>
        <w:left w:val="none" w:sz="0" w:space="0" w:color="auto"/>
        <w:bottom w:val="none" w:sz="0" w:space="0" w:color="auto"/>
        <w:right w:val="none" w:sz="0" w:space="0" w:color="auto"/>
      </w:divBdr>
    </w:div>
    <w:div w:id="1226601321">
      <w:bodyDiv w:val="1"/>
      <w:marLeft w:val="0"/>
      <w:marRight w:val="0"/>
      <w:marTop w:val="0"/>
      <w:marBottom w:val="0"/>
      <w:divBdr>
        <w:top w:val="none" w:sz="0" w:space="0" w:color="auto"/>
        <w:left w:val="none" w:sz="0" w:space="0" w:color="auto"/>
        <w:bottom w:val="none" w:sz="0" w:space="0" w:color="auto"/>
        <w:right w:val="none" w:sz="0" w:space="0" w:color="auto"/>
      </w:divBdr>
    </w:div>
    <w:div w:id="1228568955">
      <w:bodyDiv w:val="1"/>
      <w:marLeft w:val="0"/>
      <w:marRight w:val="0"/>
      <w:marTop w:val="0"/>
      <w:marBottom w:val="0"/>
      <w:divBdr>
        <w:top w:val="none" w:sz="0" w:space="0" w:color="auto"/>
        <w:left w:val="none" w:sz="0" w:space="0" w:color="auto"/>
        <w:bottom w:val="none" w:sz="0" w:space="0" w:color="auto"/>
        <w:right w:val="none" w:sz="0" w:space="0" w:color="auto"/>
      </w:divBdr>
    </w:div>
    <w:div w:id="1273364952">
      <w:bodyDiv w:val="1"/>
      <w:marLeft w:val="0"/>
      <w:marRight w:val="0"/>
      <w:marTop w:val="0"/>
      <w:marBottom w:val="0"/>
      <w:divBdr>
        <w:top w:val="none" w:sz="0" w:space="0" w:color="auto"/>
        <w:left w:val="none" w:sz="0" w:space="0" w:color="auto"/>
        <w:bottom w:val="none" w:sz="0" w:space="0" w:color="auto"/>
        <w:right w:val="none" w:sz="0" w:space="0" w:color="auto"/>
      </w:divBdr>
    </w:div>
    <w:div w:id="1277523805">
      <w:bodyDiv w:val="1"/>
      <w:marLeft w:val="0"/>
      <w:marRight w:val="0"/>
      <w:marTop w:val="0"/>
      <w:marBottom w:val="0"/>
      <w:divBdr>
        <w:top w:val="none" w:sz="0" w:space="0" w:color="auto"/>
        <w:left w:val="none" w:sz="0" w:space="0" w:color="auto"/>
        <w:bottom w:val="none" w:sz="0" w:space="0" w:color="auto"/>
        <w:right w:val="none" w:sz="0" w:space="0" w:color="auto"/>
      </w:divBdr>
    </w:div>
    <w:div w:id="1278678301">
      <w:bodyDiv w:val="1"/>
      <w:marLeft w:val="0"/>
      <w:marRight w:val="0"/>
      <w:marTop w:val="0"/>
      <w:marBottom w:val="0"/>
      <w:divBdr>
        <w:top w:val="none" w:sz="0" w:space="0" w:color="auto"/>
        <w:left w:val="none" w:sz="0" w:space="0" w:color="auto"/>
        <w:bottom w:val="none" w:sz="0" w:space="0" w:color="auto"/>
        <w:right w:val="none" w:sz="0" w:space="0" w:color="auto"/>
      </w:divBdr>
    </w:div>
    <w:div w:id="1314336612">
      <w:bodyDiv w:val="1"/>
      <w:marLeft w:val="0"/>
      <w:marRight w:val="0"/>
      <w:marTop w:val="0"/>
      <w:marBottom w:val="0"/>
      <w:divBdr>
        <w:top w:val="none" w:sz="0" w:space="0" w:color="auto"/>
        <w:left w:val="none" w:sz="0" w:space="0" w:color="auto"/>
        <w:bottom w:val="none" w:sz="0" w:space="0" w:color="auto"/>
        <w:right w:val="none" w:sz="0" w:space="0" w:color="auto"/>
      </w:divBdr>
    </w:div>
    <w:div w:id="1328753853">
      <w:bodyDiv w:val="1"/>
      <w:marLeft w:val="0"/>
      <w:marRight w:val="0"/>
      <w:marTop w:val="0"/>
      <w:marBottom w:val="0"/>
      <w:divBdr>
        <w:top w:val="none" w:sz="0" w:space="0" w:color="auto"/>
        <w:left w:val="none" w:sz="0" w:space="0" w:color="auto"/>
        <w:bottom w:val="none" w:sz="0" w:space="0" w:color="auto"/>
        <w:right w:val="none" w:sz="0" w:space="0" w:color="auto"/>
      </w:divBdr>
    </w:div>
    <w:div w:id="1331450707">
      <w:bodyDiv w:val="1"/>
      <w:marLeft w:val="0"/>
      <w:marRight w:val="0"/>
      <w:marTop w:val="0"/>
      <w:marBottom w:val="0"/>
      <w:divBdr>
        <w:top w:val="none" w:sz="0" w:space="0" w:color="auto"/>
        <w:left w:val="none" w:sz="0" w:space="0" w:color="auto"/>
        <w:bottom w:val="none" w:sz="0" w:space="0" w:color="auto"/>
        <w:right w:val="none" w:sz="0" w:space="0" w:color="auto"/>
      </w:divBdr>
    </w:div>
    <w:div w:id="1334340959">
      <w:bodyDiv w:val="1"/>
      <w:marLeft w:val="0"/>
      <w:marRight w:val="0"/>
      <w:marTop w:val="0"/>
      <w:marBottom w:val="0"/>
      <w:divBdr>
        <w:top w:val="none" w:sz="0" w:space="0" w:color="auto"/>
        <w:left w:val="none" w:sz="0" w:space="0" w:color="auto"/>
        <w:bottom w:val="none" w:sz="0" w:space="0" w:color="auto"/>
        <w:right w:val="none" w:sz="0" w:space="0" w:color="auto"/>
      </w:divBdr>
    </w:div>
    <w:div w:id="1359358898">
      <w:bodyDiv w:val="1"/>
      <w:marLeft w:val="0"/>
      <w:marRight w:val="0"/>
      <w:marTop w:val="0"/>
      <w:marBottom w:val="0"/>
      <w:divBdr>
        <w:top w:val="none" w:sz="0" w:space="0" w:color="auto"/>
        <w:left w:val="none" w:sz="0" w:space="0" w:color="auto"/>
        <w:bottom w:val="none" w:sz="0" w:space="0" w:color="auto"/>
        <w:right w:val="none" w:sz="0" w:space="0" w:color="auto"/>
      </w:divBdr>
      <w:divsChild>
        <w:div w:id="1387804097">
          <w:marLeft w:val="274"/>
          <w:marRight w:val="144"/>
          <w:marTop w:val="80"/>
          <w:marBottom w:val="0"/>
          <w:divBdr>
            <w:top w:val="none" w:sz="0" w:space="0" w:color="auto"/>
            <w:left w:val="none" w:sz="0" w:space="0" w:color="auto"/>
            <w:bottom w:val="none" w:sz="0" w:space="0" w:color="auto"/>
            <w:right w:val="none" w:sz="0" w:space="0" w:color="auto"/>
          </w:divBdr>
        </w:div>
      </w:divsChild>
    </w:div>
    <w:div w:id="1369069934">
      <w:bodyDiv w:val="1"/>
      <w:marLeft w:val="0"/>
      <w:marRight w:val="0"/>
      <w:marTop w:val="0"/>
      <w:marBottom w:val="0"/>
      <w:divBdr>
        <w:top w:val="none" w:sz="0" w:space="0" w:color="auto"/>
        <w:left w:val="none" w:sz="0" w:space="0" w:color="auto"/>
        <w:bottom w:val="none" w:sz="0" w:space="0" w:color="auto"/>
        <w:right w:val="none" w:sz="0" w:space="0" w:color="auto"/>
      </w:divBdr>
    </w:div>
    <w:div w:id="1375082676">
      <w:bodyDiv w:val="1"/>
      <w:marLeft w:val="0"/>
      <w:marRight w:val="0"/>
      <w:marTop w:val="0"/>
      <w:marBottom w:val="0"/>
      <w:divBdr>
        <w:top w:val="none" w:sz="0" w:space="0" w:color="auto"/>
        <w:left w:val="none" w:sz="0" w:space="0" w:color="auto"/>
        <w:bottom w:val="none" w:sz="0" w:space="0" w:color="auto"/>
        <w:right w:val="none" w:sz="0" w:space="0" w:color="auto"/>
      </w:divBdr>
    </w:div>
    <w:div w:id="1379478490">
      <w:bodyDiv w:val="1"/>
      <w:marLeft w:val="0"/>
      <w:marRight w:val="0"/>
      <w:marTop w:val="0"/>
      <w:marBottom w:val="0"/>
      <w:divBdr>
        <w:top w:val="none" w:sz="0" w:space="0" w:color="auto"/>
        <w:left w:val="none" w:sz="0" w:space="0" w:color="auto"/>
        <w:bottom w:val="none" w:sz="0" w:space="0" w:color="auto"/>
        <w:right w:val="none" w:sz="0" w:space="0" w:color="auto"/>
      </w:divBdr>
    </w:div>
    <w:div w:id="1384451328">
      <w:bodyDiv w:val="1"/>
      <w:marLeft w:val="0"/>
      <w:marRight w:val="0"/>
      <w:marTop w:val="0"/>
      <w:marBottom w:val="0"/>
      <w:divBdr>
        <w:top w:val="none" w:sz="0" w:space="0" w:color="auto"/>
        <w:left w:val="none" w:sz="0" w:space="0" w:color="auto"/>
        <w:bottom w:val="none" w:sz="0" w:space="0" w:color="auto"/>
        <w:right w:val="none" w:sz="0" w:space="0" w:color="auto"/>
      </w:divBdr>
    </w:div>
    <w:div w:id="1409109825">
      <w:bodyDiv w:val="1"/>
      <w:marLeft w:val="0"/>
      <w:marRight w:val="0"/>
      <w:marTop w:val="0"/>
      <w:marBottom w:val="0"/>
      <w:divBdr>
        <w:top w:val="none" w:sz="0" w:space="0" w:color="auto"/>
        <w:left w:val="none" w:sz="0" w:space="0" w:color="auto"/>
        <w:bottom w:val="none" w:sz="0" w:space="0" w:color="auto"/>
        <w:right w:val="none" w:sz="0" w:space="0" w:color="auto"/>
      </w:divBdr>
    </w:div>
    <w:div w:id="1409158535">
      <w:bodyDiv w:val="1"/>
      <w:marLeft w:val="0"/>
      <w:marRight w:val="0"/>
      <w:marTop w:val="0"/>
      <w:marBottom w:val="0"/>
      <w:divBdr>
        <w:top w:val="none" w:sz="0" w:space="0" w:color="auto"/>
        <w:left w:val="none" w:sz="0" w:space="0" w:color="auto"/>
        <w:bottom w:val="none" w:sz="0" w:space="0" w:color="auto"/>
        <w:right w:val="none" w:sz="0" w:space="0" w:color="auto"/>
      </w:divBdr>
    </w:div>
    <w:div w:id="1456097062">
      <w:bodyDiv w:val="1"/>
      <w:marLeft w:val="0"/>
      <w:marRight w:val="0"/>
      <w:marTop w:val="0"/>
      <w:marBottom w:val="0"/>
      <w:divBdr>
        <w:top w:val="none" w:sz="0" w:space="0" w:color="auto"/>
        <w:left w:val="none" w:sz="0" w:space="0" w:color="auto"/>
        <w:bottom w:val="none" w:sz="0" w:space="0" w:color="auto"/>
        <w:right w:val="none" w:sz="0" w:space="0" w:color="auto"/>
      </w:divBdr>
    </w:div>
    <w:div w:id="1465154965">
      <w:bodyDiv w:val="1"/>
      <w:marLeft w:val="0"/>
      <w:marRight w:val="0"/>
      <w:marTop w:val="0"/>
      <w:marBottom w:val="0"/>
      <w:divBdr>
        <w:top w:val="none" w:sz="0" w:space="0" w:color="auto"/>
        <w:left w:val="none" w:sz="0" w:space="0" w:color="auto"/>
        <w:bottom w:val="none" w:sz="0" w:space="0" w:color="auto"/>
        <w:right w:val="none" w:sz="0" w:space="0" w:color="auto"/>
      </w:divBdr>
    </w:div>
    <w:div w:id="1488744644">
      <w:bodyDiv w:val="1"/>
      <w:marLeft w:val="0"/>
      <w:marRight w:val="0"/>
      <w:marTop w:val="0"/>
      <w:marBottom w:val="0"/>
      <w:divBdr>
        <w:top w:val="none" w:sz="0" w:space="0" w:color="auto"/>
        <w:left w:val="none" w:sz="0" w:space="0" w:color="auto"/>
        <w:bottom w:val="none" w:sz="0" w:space="0" w:color="auto"/>
        <w:right w:val="none" w:sz="0" w:space="0" w:color="auto"/>
      </w:divBdr>
    </w:div>
    <w:div w:id="1491016603">
      <w:bodyDiv w:val="1"/>
      <w:marLeft w:val="0"/>
      <w:marRight w:val="0"/>
      <w:marTop w:val="0"/>
      <w:marBottom w:val="0"/>
      <w:divBdr>
        <w:top w:val="none" w:sz="0" w:space="0" w:color="auto"/>
        <w:left w:val="none" w:sz="0" w:space="0" w:color="auto"/>
        <w:bottom w:val="none" w:sz="0" w:space="0" w:color="auto"/>
        <w:right w:val="none" w:sz="0" w:space="0" w:color="auto"/>
      </w:divBdr>
    </w:div>
    <w:div w:id="1491409098">
      <w:bodyDiv w:val="1"/>
      <w:marLeft w:val="0"/>
      <w:marRight w:val="0"/>
      <w:marTop w:val="0"/>
      <w:marBottom w:val="0"/>
      <w:divBdr>
        <w:top w:val="none" w:sz="0" w:space="0" w:color="auto"/>
        <w:left w:val="none" w:sz="0" w:space="0" w:color="auto"/>
        <w:bottom w:val="none" w:sz="0" w:space="0" w:color="auto"/>
        <w:right w:val="none" w:sz="0" w:space="0" w:color="auto"/>
      </w:divBdr>
    </w:div>
    <w:div w:id="1496458013">
      <w:bodyDiv w:val="1"/>
      <w:marLeft w:val="0"/>
      <w:marRight w:val="0"/>
      <w:marTop w:val="0"/>
      <w:marBottom w:val="0"/>
      <w:divBdr>
        <w:top w:val="none" w:sz="0" w:space="0" w:color="auto"/>
        <w:left w:val="none" w:sz="0" w:space="0" w:color="auto"/>
        <w:bottom w:val="none" w:sz="0" w:space="0" w:color="auto"/>
        <w:right w:val="none" w:sz="0" w:space="0" w:color="auto"/>
      </w:divBdr>
      <w:divsChild>
        <w:div w:id="1973171026">
          <w:marLeft w:val="0"/>
          <w:marRight w:val="0"/>
          <w:marTop w:val="0"/>
          <w:marBottom w:val="0"/>
          <w:divBdr>
            <w:top w:val="none" w:sz="0" w:space="0" w:color="auto"/>
            <w:left w:val="none" w:sz="0" w:space="0" w:color="auto"/>
            <w:bottom w:val="none" w:sz="0" w:space="0" w:color="auto"/>
            <w:right w:val="none" w:sz="0" w:space="0" w:color="auto"/>
          </w:divBdr>
          <w:divsChild>
            <w:div w:id="1708411115">
              <w:marLeft w:val="0"/>
              <w:marRight w:val="0"/>
              <w:marTop w:val="0"/>
              <w:marBottom w:val="0"/>
              <w:divBdr>
                <w:top w:val="none" w:sz="0" w:space="0" w:color="auto"/>
                <w:left w:val="none" w:sz="0" w:space="0" w:color="auto"/>
                <w:bottom w:val="none" w:sz="0" w:space="0" w:color="auto"/>
                <w:right w:val="none" w:sz="0" w:space="0" w:color="auto"/>
              </w:divBdr>
            </w:div>
          </w:divsChild>
        </w:div>
        <w:div w:id="1507666351">
          <w:marLeft w:val="0"/>
          <w:marRight w:val="0"/>
          <w:marTop w:val="0"/>
          <w:marBottom w:val="0"/>
          <w:divBdr>
            <w:top w:val="none" w:sz="0" w:space="0" w:color="auto"/>
            <w:left w:val="none" w:sz="0" w:space="0" w:color="auto"/>
            <w:bottom w:val="none" w:sz="0" w:space="0" w:color="auto"/>
            <w:right w:val="none" w:sz="0" w:space="0" w:color="auto"/>
          </w:divBdr>
          <w:divsChild>
            <w:div w:id="1540698401">
              <w:marLeft w:val="0"/>
              <w:marRight w:val="0"/>
              <w:marTop w:val="0"/>
              <w:marBottom w:val="0"/>
              <w:divBdr>
                <w:top w:val="none" w:sz="0" w:space="0" w:color="auto"/>
                <w:left w:val="none" w:sz="0" w:space="0" w:color="auto"/>
                <w:bottom w:val="none" w:sz="0" w:space="0" w:color="auto"/>
                <w:right w:val="none" w:sz="0" w:space="0" w:color="auto"/>
              </w:divBdr>
            </w:div>
          </w:divsChild>
        </w:div>
        <w:div w:id="1620065398">
          <w:marLeft w:val="0"/>
          <w:marRight w:val="0"/>
          <w:marTop w:val="0"/>
          <w:marBottom w:val="0"/>
          <w:divBdr>
            <w:top w:val="none" w:sz="0" w:space="0" w:color="auto"/>
            <w:left w:val="none" w:sz="0" w:space="0" w:color="auto"/>
            <w:bottom w:val="none" w:sz="0" w:space="0" w:color="auto"/>
            <w:right w:val="none" w:sz="0" w:space="0" w:color="auto"/>
          </w:divBdr>
          <w:divsChild>
            <w:div w:id="1161239263">
              <w:marLeft w:val="0"/>
              <w:marRight w:val="0"/>
              <w:marTop w:val="0"/>
              <w:marBottom w:val="0"/>
              <w:divBdr>
                <w:top w:val="none" w:sz="0" w:space="0" w:color="auto"/>
                <w:left w:val="none" w:sz="0" w:space="0" w:color="auto"/>
                <w:bottom w:val="none" w:sz="0" w:space="0" w:color="auto"/>
                <w:right w:val="none" w:sz="0" w:space="0" w:color="auto"/>
              </w:divBdr>
            </w:div>
          </w:divsChild>
        </w:div>
        <w:div w:id="797532122">
          <w:marLeft w:val="0"/>
          <w:marRight w:val="0"/>
          <w:marTop w:val="0"/>
          <w:marBottom w:val="0"/>
          <w:divBdr>
            <w:top w:val="none" w:sz="0" w:space="0" w:color="auto"/>
            <w:left w:val="none" w:sz="0" w:space="0" w:color="auto"/>
            <w:bottom w:val="none" w:sz="0" w:space="0" w:color="auto"/>
            <w:right w:val="none" w:sz="0" w:space="0" w:color="auto"/>
          </w:divBdr>
          <w:divsChild>
            <w:div w:id="317344130">
              <w:marLeft w:val="0"/>
              <w:marRight w:val="0"/>
              <w:marTop w:val="0"/>
              <w:marBottom w:val="0"/>
              <w:divBdr>
                <w:top w:val="none" w:sz="0" w:space="0" w:color="auto"/>
                <w:left w:val="none" w:sz="0" w:space="0" w:color="auto"/>
                <w:bottom w:val="none" w:sz="0" w:space="0" w:color="auto"/>
                <w:right w:val="none" w:sz="0" w:space="0" w:color="auto"/>
              </w:divBdr>
            </w:div>
          </w:divsChild>
        </w:div>
        <w:div w:id="1688749932">
          <w:marLeft w:val="0"/>
          <w:marRight w:val="0"/>
          <w:marTop w:val="0"/>
          <w:marBottom w:val="0"/>
          <w:divBdr>
            <w:top w:val="none" w:sz="0" w:space="0" w:color="auto"/>
            <w:left w:val="none" w:sz="0" w:space="0" w:color="auto"/>
            <w:bottom w:val="none" w:sz="0" w:space="0" w:color="auto"/>
            <w:right w:val="none" w:sz="0" w:space="0" w:color="auto"/>
          </w:divBdr>
          <w:divsChild>
            <w:div w:id="1203204870">
              <w:marLeft w:val="0"/>
              <w:marRight w:val="0"/>
              <w:marTop w:val="0"/>
              <w:marBottom w:val="0"/>
              <w:divBdr>
                <w:top w:val="none" w:sz="0" w:space="0" w:color="auto"/>
                <w:left w:val="none" w:sz="0" w:space="0" w:color="auto"/>
                <w:bottom w:val="none" w:sz="0" w:space="0" w:color="auto"/>
                <w:right w:val="none" w:sz="0" w:space="0" w:color="auto"/>
              </w:divBdr>
            </w:div>
          </w:divsChild>
        </w:div>
        <w:div w:id="1267038696">
          <w:marLeft w:val="0"/>
          <w:marRight w:val="0"/>
          <w:marTop w:val="0"/>
          <w:marBottom w:val="0"/>
          <w:divBdr>
            <w:top w:val="none" w:sz="0" w:space="0" w:color="auto"/>
            <w:left w:val="none" w:sz="0" w:space="0" w:color="auto"/>
            <w:bottom w:val="none" w:sz="0" w:space="0" w:color="auto"/>
            <w:right w:val="none" w:sz="0" w:space="0" w:color="auto"/>
          </w:divBdr>
          <w:divsChild>
            <w:div w:id="579363799">
              <w:marLeft w:val="0"/>
              <w:marRight w:val="0"/>
              <w:marTop w:val="0"/>
              <w:marBottom w:val="0"/>
              <w:divBdr>
                <w:top w:val="none" w:sz="0" w:space="0" w:color="auto"/>
                <w:left w:val="none" w:sz="0" w:space="0" w:color="auto"/>
                <w:bottom w:val="none" w:sz="0" w:space="0" w:color="auto"/>
                <w:right w:val="none" w:sz="0" w:space="0" w:color="auto"/>
              </w:divBdr>
            </w:div>
          </w:divsChild>
        </w:div>
        <w:div w:id="343215340">
          <w:marLeft w:val="0"/>
          <w:marRight w:val="0"/>
          <w:marTop w:val="0"/>
          <w:marBottom w:val="0"/>
          <w:divBdr>
            <w:top w:val="none" w:sz="0" w:space="0" w:color="auto"/>
            <w:left w:val="none" w:sz="0" w:space="0" w:color="auto"/>
            <w:bottom w:val="none" w:sz="0" w:space="0" w:color="auto"/>
            <w:right w:val="none" w:sz="0" w:space="0" w:color="auto"/>
          </w:divBdr>
          <w:divsChild>
            <w:div w:id="1824541315">
              <w:marLeft w:val="0"/>
              <w:marRight w:val="0"/>
              <w:marTop w:val="0"/>
              <w:marBottom w:val="0"/>
              <w:divBdr>
                <w:top w:val="none" w:sz="0" w:space="0" w:color="auto"/>
                <w:left w:val="none" w:sz="0" w:space="0" w:color="auto"/>
                <w:bottom w:val="none" w:sz="0" w:space="0" w:color="auto"/>
                <w:right w:val="none" w:sz="0" w:space="0" w:color="auto"/>
              </w:divBdr>
            </w:div>
          </w:divsChild>
        </w:div>
        <w:div w:id="2007661581">
          <w:marLeft w:val="0"/>
          <w:marRight w:val="0"/>
          <w:marTop w:val="0"/>
          <w:marBottom w:val="0"/>
          <w:divBdr>
            <w:top w:val="none" w:sz="0" w:space="0" w:color="auto"/>
            <w:left w:val="none" w:sz="0" w:space="0" w:color="auto"/>
            <w:bottom w:val="none" w:sz="0" w:space="0" w:color="auto"/>
            <w:right w:val="none" w:sz="0" w:space="0" w:color="auto"/>
          </w:divBdr>
          <w:divsChild>
            <w:div w:id="1165974691">
              <w:marLeft w:val="0"/>
              <w:marRight w:val="0"/>
              <w:marTop w:val="0"/>
              <w:marBottom w:val="0"/>
              <w:divBdr>
                <w:top w:val="none" w:sz="0" w:space="0" w:color="auto"/>
                <w:left w:val="none" w:sz="0" w:space="0" w:color="auto"/>
                <w:bottom w:val="none" w:sz="0" w:space="0" w:color="auto"/>
                <w:right w:val="none" w:sz="0" w:space="0" w:color="auto"/>
              </w:divBdr>
            </w:div>
          </w:divsChild>
        </w:div>
        <w:div w:id="1873569972">
          <w:marLeft w:val="0"/>
          <w:marRight w:val="0"/>
          <w:marTop w:val="0"/>
          <w:marBottom w:val="0"/>
          <w:divBdr>
            <w:top w:val="none" w:sz="0" w:space="0" w:color="auto"/>
            <w:left w:val="none" w:sz="0" w:space="0" w:color="auto"/>
            <w:bottom w:val="none" w:sz="0" w:space="0" w:color="auto"/>
            <w:right w:val="none" w:sz="0" w:space="0" w:color="auto"/>
          </w:divBdr>
          <w:divsChild>
            <w:div w:id="758260184">
              <w:marLeft w:val="0"/>
              <w:marRight w:val="0"/>
              <w:marTop w:val="0"/>
              <w:marBottom w:val="0"/>
              <w:divBdr>
                <w:top w:val="none" w:sz="0" w:space="0" w:color="auto"/>
                <w:left w:val="none" w:sz="0" w:space="0" w:color="auto"/>
                <w:bottom w:val="none" w:sz="0" w:space="0" w:color="auto"/>
                <w:right w:val="none" w:sz="0" w:space="0" w:color="auto"/>
              </w:divBdr>
            </w:div>
          </w:divsChild>
        </w:div>
        <w:div w:id="552695731">
          <w:marLeft w:val="0"/>
          <w:marRight w:val="0"/>
          <w:marTop w:val="0"/>
          <w:marBottom w:val="0"/>
          <w:divBdr>
            <w:top w:val="none" w:sz="0" w:space="0" w:color="auto"/>
            <w:left w:val="none" w:sz="0" w:space="0" w:color="auto"/>
            <w:bottom w:val="none" w:sz="0" w:space="0" w:color="auto"/>
            <w:right w:val="none" w:sz="0" w:space="0" w:color="auto"/>
          </w:divBdr>
          <w:divsChild>
            <w:div w:id="1589846976">
              <w:marLeft w:val="0"/>
              <w:marRight w:val="0"/>
              <w:marTop w:val="0"/>
              <w:marBottom w:val="0"/>
              <w:divBdr>
                <w:top w:val="none" w:sz="0" w:space="0" w:color="auto"/>
                <w:left w:val="none" w:sz="0" w:space="0" w:color="auto"/>
                <w:bottom w:val="none" w:sz="0" w:space="0" w:color="auto"/>
                <w:right w:val="none" w:sz="0" w:space="0" w:color="auto"/>
              </w:divBdr>
            </w:div>
          </w:divsChild>
        </w:div>
        <w:div w:id="672756044">
          <w:marLeft w:val="0"/>
          <w:marRight w:val="0"/>
          <w:marTop w:val="0"/>
          <w:marBottom w:val="0"/>
          <w:divBdr>
            <w:top w:val="none" w:sz="0" w:space="0" w:color="auto"/>
            <w:left w:val="none" w:sz="0" w:space="0" w:color="auto"/>
            <w:bottom w:val="none" w:sz="0" w:space="0" w:color="auto"/>
            <w:right w:val="none" w:sz="0" w:space="0" w:color="auto"/>
          </w:divBdr>
          <w:divsChild>
            <w:div w:id="1258447543">
              <w:marLeft w:val="0"/>
              <w:marRight w:val="0"/>
              <w:marTop w:val="0"/>
              <w:marBottom w:val="0"/>
              <w:divBdr>
                <w:top w:val="none" w:sz="0" w:space="0" w:color="auto"/>
                <w:left w:val="none" w:sz="0" w:space="0" w:color="auto"/>
                <w:bottom w:val="none" w:sz="0" w:space="0" w:color="auto"/>
                <w:right w:val="none" w:sz="0" w:space="0" w:color="auto"/>
              </w:divBdr>
            </w:div>
          </w:divsChild>
        </w:div>
        <w:div w:id="1301348934">
          <w:marLeft w:val="0"/>
          <w:marRight w:val="0"/>
          <w:marTop w:val="0"/>
          <w:marBottom w:val="0"/>
          <w:divBdr>
            <w:top w:val="none" w:sz="0" w:space="0" w:color="auto"/>
            <w:left w:val="none" w:sz="0" w:space="0" w:color="auto"/>
            <w:bottom w:val="none" w:sz="0" w:space="0" w:color="auto"/>
            <w:right w:val="none" w:sz="0" w:space="0" w:color="auto"/>
          </w:divBdr>
          <w:divsChild>
            <w:div w:id="136075776">
              <w:marLeft w:val="0"/>
              <w:marRight w:val="0"/>
              <w:marTop w:val="0"/>
              <w:marBottom w:val="0"/>
              <w:divBdr>
                <w:top w:val="none" w:sz="0" w:space="0" w:color="auto"/>
                <w:left w:val="none" w:sz="0" w:space="0" w:color="auto"/>
                <w:bottom w:val="none" w:sz="0" w:space="0" w:color="auto"/>
                <w:right w:val="none" w:sz="0" w:space="0" w:color="auto"/>
              </w:divBdr>
            </w:div>
          </w:divsChild>
        </w:div>
        <w:div w:id="2139951667">
          <w:marLeft w:val="0"/>
          <w:marRight w:val="0"/>
          <w:marTop w:val="0"/>
          <w:marBottom w:val="0"/>
          <w:divBdr>
            <w:top w:val="none" w:sz="0" w:space="0" w:color="auto"/>
            <w:left w:val="none" w:sz="0" w:space="0" w:color="auto"/>
            <w:bottom w:val="none" w:sz="0" w:space="0" w:color="auto"/>
            <w:right w:val="none" w:sz="0" w:space="0" w:color="auto"/>
          </w:divBdr>
          <w:divsChild>
            <w:div w:id="796486400">
              <w:marLeft w:val="0"/>
              <w:marRight w:val="0"/>
              <w:marTop w:val="0"/>
              <w:marBottom w:val="0"/>
              <w:divBdr>
                <w:top w:val="none" w:sz="0" w:space="0" w:color="auto"/>
                <w:left w:val="none" w:sz="0" w:space="0" w:color="auto"/>
                <w:bottom w:val="none" w:sz="0" w:space="0" w:color="auto"/>
                <w:right w:val="none" w:sz="0" w:space="0" w:color="auto"/>
              </w:divBdr>
            </w:div>
          </w:divsChild>
        </w:div>
        <w:div w:id="1863664488">
          <w:marLeft w:val="0"/>
          <w:marRight w:val="0"/>
          <w:marTop w:val="0"/>
          <w:marBottom w:val="0"/>
          <w:divBdr>
            <w:top w:val="none" w:sz="0" w:space="0" w:color="auto"/>
            <w:left w:val="none" w:sz="0" w:space="0" w:color="auto"/>
            <w:bottom w:val="none" w:sz="0" w:space="0" w:color="auto"/>
            <w:right w:val="none" w:sz="0" w:space="0" w:color="auto"/>
          </w:divBdr>
          <w:divsChild>
            <w:div w:id="1151099146">
              <w:marLeft w:val="0"/>
              <w:marRight w:val="0"/>
              <w:marTop w:val="0"/>
              <w:marBottom w:val="0"/>
              <w:divBdr>
                <w:top w:val="none" w:sz="0" w:space="0" w:color="auto"/>
                <w:left w:val="none" w:sz="0" w:space="0" w:color="auto"/>
                <w:bottom w:val="none" w:sz="0" w:space="0" w:color="auto"/>
                <w:right w:val="none" w:sz="0" w:space="0" w:color="auto"/>
              </w:divBdr>
            </w:div>
          </w:divsChild>
        </w:div>
        <w:div w:id="1237131241">
          <w:marLeft w:val="0"/>
          <w:marRight w:val="0"/>
          <w:marTop w:val="0"/>
          <w:marBottom w:val="0"/>
          <w:divBdr>
            <w:top w:val="none" w:sz="0" w:space="0" w:color="auto"/>
            <w:left w:val="none" w:sz="0" w:space="0" w:color="auto"/>
            <w:bottom w:val="none" w:sz="0" w:space="0" w:color="auto"/>
            <w:right w:val="none" w:sz="0" w:space="0" w:color="auto"/>
          </w:divBdr>
          <w:divsChild>
            <w:div w:id="294608848">
              <w:marLeft w:val="0"/>
              <w:marRight w:val="0"/>
              <w:marTop w:val="0"/>
              <w:marBottom w:val="0"/>
              <w:divBdr>
                <w:top w:val="none" w:sz="0" w:space="0" w:color="auto"/>
                <w:left w:val="none" w:sz="0" w:space="0" w:color="auto"/>
                <w:bottom w:val="none" w:sz="0" w:space="0" w:color="auto"/>
                <w:right w:val="none" w:sz="0" w:space="0" w:color="auto"/>
              </w:divBdr>
            </w:div>
          </w:divsChild>
        </w:div>
        <w:div w:id="1406687081">
          <w:marLeft w:val="0"/>
          <w:marRight w:val="0"/>
          <w:marTop w:val="0"/>
          <w:marBottom w:val="0"/>
          <w:divBdr>
            <w:top w:val="none" w:sz="0" w:space="0" w:color="auto"/>
            <w:left w:val="none" w:sz="0" w:space="0" w:color="auto"/>
            <w:bottom w:val="none" w:sz="0" w:space="0" w:color="auto"/>
            <w:right w:val="none" w:sz="0" w:space="0" w:color="auto"/>
          </w:divBdr>
          <w:divsChild>
            <w:div w:id="1282303475">
              <w:marLeft w:val="0"/>
              <w:marRight w:val="0"/>
              <w:marTop w:val="0"/>
              <w:marBottom w:val="0"/>
              <w:divBdr>
                <w:top w:val="none" w:sz="0" w:space="0" w:color="auto"/>
                <w:left w:val="none" w:sz="0" w:space="0" w:color="auto"/>
                <w:bottom w:val="none" w:sz="0" w:space="0" w:color="auto"/>
                <w:right w:val="none" w:sz="0" w:space="0" w:color="auto"/>
              </w:divBdr>
            </w:div>
          </w:divsChild>
        </w:div>
        <w:div w:id="773283740">
          <w:marLeft w:val="0"/>
          <w:marRight w:val="0"/>
          <w:marTop w:val="0"/>
          <w:marBottom w:val="0"/>
          <w:divBdr>
            <w:top w:val="none" w:sz="0" w:space="0" w:color="auto"/>
            <w:left w:val="none" w:sz="0" w:space="0" w:color="auto"/>
            <w:bottom w:val="none" w:sz="0" w:space="0" w:color="auto"/>
            <w:right w:val="none" w:sz="0" w:space="0" w:color="auto"/>
          </w:divBdr>
          <w:divsChild>
            <w:div w:id="1769541584">
              <w:marLeft w:val="0"/>
              <w:marRight w:val="0"/>
              <w:marTop w:val="0"/>
              <w:marBottom w:val="0"/>
              <w:divBdr>
                <w:top w:val="none" w:sz="0" w:space="0" w:color="auto"/>
                <w:left w:val="none" w:sz="0" w:space="0" w:color="auto"/>
                <w:bottom w:val="none" w:sz="0" w:space="0" w:color="auto"/>
                <w:right w:val="none" w:sz="0" w:space="0" w:color="auto"/>
              </w:divBdr>
            </w:div>
          </w:divsChild>
        </w:div>
        <w:div w:id="710688697">
          <w:marLeft w:val="0"/>
          <w:marRight w:val="0"/>
          <w:marTop w:val="0"/>
          <w:marBottom w:val="0"/>
          <w:divBdr>
            <w:top w:val="none" w:sz="0" w:space="0" w:color="auto"/>
            <w:left w:val="none" w:sz="0" w:space="0" w:color="auto"/>
            <w:bottom w:val="none" w:sz="0" w:space="0" w:color="auto"/>
            <w:right w:val="none" w:sz="0" w:space="0" w:color="auto"/>
          </w:divBdr>
          <w:divsChild>
            <w:div w:id="1984506384">
              <w:marLeft w:val="0"/>
              <w:marRight w:val="0"/>
              <w:marTop w:val="0"/>
              <w:marBottom w:val="0"/>
              <w:divBdr>
                <w:top w:val="none" w:sz="0" w:space="0" w:color="auto"/>
                <w:left w:val="none" w:sz="0" w:space="0" w:color="auto"/>
                <w:bottom w:val="none" w:sz="0" w:space="0" w:color="auto"/>
                <w:right w:val="none" w:sz="0" w:space="0" w:color="auto"/>
              </w:divBdr>
            </w:div>
          </w:divsChild>
        </w:div>
        <w:div w:id="1279752843">
          <w:marLeft w:val="0"/>
          <w:marRight w:val="0"/>
          <w:marTop w:val="0"/>
          <w:marBottom w:val="0"/>
          <w:divBdr>
            <w:top w:val="none" w:sz="0" w:space="0" w:color="auto"/>
            <w:left w:val="none" w:sz="0" w:space="0" w:color="auto"/>
            <w:bottom w:val="none" w:sz="0" w:space="0" w:color="auto"/>
            <w:right w:val="none" w:sz="0" w:space="0" w:color="auto"/>
          </w:divBdr>
          <w:divsChild>
            <w:div w:id="698897422">
              <w:marLeft w:val="0"/>
              <w:marRight w:val="0"/>
              <w:marTop w:val="0"/>
              <w:marBottom w:val="0"/>
              <w:divBdr>
                <w:top w:val="none" w:sz="0" w:space="0" w:color="auto"/>
                <w:left w:val="none" w:sz="0" w:space="0" w:color="auto"/>
                <w:bottom w:val="none" w:sz="0" w:space="0" w:color="auto"/>
                <w:right w:val="none" w:sz="0" w:space="0" w:color="auto"/>
              </w:divBdr>
            </w:div>
          </w:divsChild>
        </w:div>
        <w:div w:id="1277906478">
          <w:marLeft w:val="0"/>
          <w:marRight w:val="0"/>
          <w:marTop w:val="0"/>
          <w:marBottom w:val="0"/>
          <w:divBdr>
            <w:top w:val="none" w:sz="0" w:space="0" w:color="auto"/>
            <w:left w:val="none" w:sz="0" w:space="0" w:color="auto"/>
            <w:bottom w:val="none" w:sz="0" w:space="0" w:color="auto"/>
            <w:right w:val="none" w:sz="0" w:space="0" w:color="auto"/>
          </w:divBdr>
          <w:divsChild>
            <w:div w:id="1392314507">
              <w:marLeft w:val="0"/>
              <w:marRight w:val="0"/>
              <w:marTop w:val="0"/>
              <w:marBottom w:val="0"/>
              <w:divBdr>
                <w:top w:val="none" w:sz="0" w:space="0" w:color="auto"/>
                <w:left w:val="none" w:sz="0" w:space="0" w:color="auto"/>
                <w:bottom w:val="none" w:sz="0" w:space="0" w:color="auto"/>
                <w:right w:val="none" w:sz="0" w:space="0" w:color="auto"/>
              </w:divBdr>
            </w:div>
          </w:divsChild>
        </w:div>
        <w:div w:id="1317150272">
          <w:marLeft w:val="0"/>
          <w:marRight w:val="0"/>
          <w:marTop w:val="0"/>
          <w:marBottom w:val="0"/>
          <w:divBdr>
            <w:top w:val="none" w:sz="0" w:space="0" w:color="auto"/>
            <w:left w:val="none" w:sz="0" w:space="0" w:color="auto"/>
            <w:bottom w:val="none" w:sz="0" w:space="0" w:color="auto"/>
            <w:right w:val="none" w:sz="0" w:space="0" w:color="auto"/>
          </w:divBdr>
          <w:divsChild>
            <w:div w:id="1519076279">
              <w:marLeft w:val="0"/>
              <w:marRight w:val="0"/>
              <w:marTop w:val="0"/>
              <w:marBottom w:val="0"/>
              <w:divBdr>
                <w:top w:val="none" w:sz="0" w:space="0" w:color="auto"/>
                <w:left w:val="none" w:sz="0" w:space="0" w:color="auto"/>
                <w:bottom w:val="none" w:sz="0" w:space="0" w:color="auto"/>
                <w:right w:val="none" w:sz="0" w:space="0" w:color="auto"/>
              </w:divBdr>
            </w:div>
          </w:divsChild>
        </w:div>
        <w:div w:id="544485855">
          <w:marLeft w:val="0"/>
          <w:marRight w:val="0"/>
          <w:marTop w:val="0"/>
          <w:marBottom w:val="0"/>
          <w:divBdr>
            <w:top w:val="none" w:sz="0" w:space="0" w:color="auto"/>
            <w:left w:val="none" w:sz="0" w:space="0" w:color="auto"/>
            <w:bottom w:val="none" w:sz="0" w:space="0" w:color="auto"/>
            <w:right w:val="none" w:sz="0" w:space="0" w:color="auto"/>
          </w:divBdr>
          <w:divsChild>
            <w:div w:id="2086873972">
              <w:marLeft w:val="0"/>
              <w:marRight w:val="0"/>
              <w:marTop w:val="0"/>
              <w:marBottom w:val="0"/>
              <w:divBdr>
                <w:top w:val="none" w:sz="0" w:space="0" w:color="auto"/>
                <w:left w:val="none" w:sz="0" w:space="0" w:color="auto"/>
                <w:bottom w:val="none" w:sz="0" w:space="0" w:color="auto"/>
                <w:right w:val="none" w:sz="0" w:space="0" w:color="auto"/>
              </w:divBdr>
            </w:div>
          </w:divsChild>
        </w:div>
        <w:div w:id="995111537">
          <w:marLeft w:val="0"/>
          <w:marRight w:val="0"/>
          <w:marTop w:val="0"/>
          <w:marBottom w:val="0"/>
          <w:divBdr>
            <w:top w:val="none" w:sz="0" w:space="0" w:color="auto"/>
            <w:left w:val="none" w:sz="0" w:space="0" w:color="auto"/>
            <w:bottom w:val="none" w:sz="0" w:space="0" w:color="auto"/>
            <w:right w:val="none" w:sz="0" w:space="0" w:color="auto"/>
          </w:divBdr>
          <w:divsChild>
            <w:div w:id="1310866151">
              <w:marLeft w:val="0"/>
              <w:marRight w:val="0"/>
              <w:marTop w:val="0"/>
              <w:marBottom w:val="0"/>
              <w:divBdr>
                <w:top w:val="none" w:sz="0" w:space="0" w:color="auto"/>
                <w:left w:val="none" w:sz="0" w:space="0" w:color="auto"/>
                <w:bottom w:val="none" w:sz="0" w:space="0" w:color="auto"/>
                <w:right w:val="none" w:sz="0" w:space="0" w:color="auto"/>
              </w:divBdr>
            </w:div>
          </w:divsChild>
        </w:div>
        <w:div w:id="1325208456">
          <w:marLeft w:val="0"/>
          <w:marRight w:val="0"/>
          <w:marTop w:val="0"/>
          <w:marBottom w:val="0"/>
          <w:divBdr>
            <w:top w:val="none" w:sz="0" w:space="0" w:color="auto"/>
            <w:left w:val="none" w:sz="0" w:space="0" w:color="auto"/>
            <w:bottom w:val="none" w:sz="0" w:space="0" w:color="auto"/>
            <w:right w:val="none" w:sz="0" w:space="0" w:color="auto"/>
          </w:divBdr>
          <w:divsChild>
            <w:div w:id="1004551648">
              <w:marLeft w:val="0"/>
              <w:marRight w:val="0"/>
              <w:marTop w:val="0"/>
              <w:marBottom w:val="0"/>
              <w:divBdr>
                <w:top w:val="none" w:sz="0" w:space="0" w:color="auto"/>
                <w:left w:val="none" w:sz="0" w:space="0" w:color="auto"/>
                <w:bottom w:val="none" w:sz="0" w:space="0" w:color="auto"/>
                <w:right w:val="none" w:sz="0" w:space="0" w:color="auto"/>
              </w:divBdr>
            </w:div>
          </w:divsChild>
        </w:div>
        <w:div w:id="665472175">
          <w:marLeft w:val="0"/>
          <w:marRight w:val="0"/>
          <w:marTop w:val="0"/>
          <w:marBottom w:val="0"/>
          <w:divBdr>
            <w:top w:val="none" w:sz="0" w:space="0" w:color="auto"/>
            <w:left w:val="none" w:sz="0" w:space="0" w:color="auto"/>
            <w:bottom w:val="none" w:sz="0" w:space="0" w:color="auto"/>
            <w:right w:val="none" w:sz="0" w:space="0" w:color="auto"/>
          </w:divBdr>
          <w:divsChild>
            <w:div w:id="1512836348">
              <w:marLeft w:val="0"/>
              <w:marRight w:val="0"/>
              <w:marTop w:val="0"/>
              <w:marBottom w:val="0"/>
              <w:divBdr>
                <w:top w:val="none" w:sz="0" w:space="0" w:color="auto"/>
                <w:left w:val="none" w:sz="0" w:space="0" w:color="auto"/>
                <w:bottom w:val="none" w:sz="0" w:space="0" w:color="auto"/>
                <w:right w:val="none" w:sz="0" w:space="0" w:color="auto"/>
              </w:divBdr>
            </w:div>
          </w:divsChild>
        </w:div>
        <w:div w:id="408308103">
          <w:marLeft w:val="0"/>
          <w:marRight w:val="0"/>
          <w:marTop w:val="0"/>
          <w:marBottom w:val="0"/>
          <w:divBdr>
            <w:top w:val="none" w:sz="0" w:space="0" w:color="auto"/>
            <w:left w:val="none" w:sz="0" w:space="0" w:color="auto"/>
            <w:bottom w:val="none" w:sz="0" w:space="0" w:color="auto"/>
            <w:right w:val="none" w:sz="0" w:space="0" w:color="auto"/>
          </w:divBdr>
          <w:divsChild>
            <w:div w:id="1685403399">
              <w:marLeft w:val="0"/>
              <w:marRight w:val="0"/>
              <w:marTop w:val="0"/>
              <w:marBottom w:val="0"/>
              <w:divBdr>
                <w:top w:val="none" w:sz="0" w:space="0" w:color="auto"/>
                <w:left w:val="none" w:sz="0" w:space="0" w:color="auto"/>
                <w:bottom w:val="none" w:sz="0" w:space="0" w:color="auto"/>
                <w:right w:val="none" w:sz="0" w:space="0" w:color="auto"/>
              </w:divBdr>
            </w:div>
          </w:divsChild>
        </w:div>
        <w:div w:id="1241216255">
          <w:marLeft w:val="0"/>
          <w:marRight w:val="0"/>
          <w:marTop w:val="0"/>
          <w:marBottom w:val="0"/>
          <w:divBdr>
            <w:top w:val="none" w:sz="0" w:space="0" w:color="auto"/>
            <w:left w:val="none" w:sz="0" w:space="0" w:color="auto"/>
            <w:bottom w:val="none" w:sz="0" w:space="0" w:color="auto"/>
            <w:right w:val="none" w:sz="0" w:space="0" w:color="auto"/>
          </w:divBdr>
          <w:divsChild>
            <w:div w:id="1825075683">
              <w:marLeft w:val="0"/>
              <w:marRight w:val="0"/>
              <w:marTop w:val="0"/>
              <w:marBottom w:val="0"/>
              <w:divBdr>
                <w:top w:val="none" w:sz="0" w:space="0" w:color="auto"/>
                <w:left w:val="none" w:sz="0" w:space="0" w:color="auto"/>
                <w:bottom w:val="none" w:sz="0" w:space="0" w:color="auto"/>
                <w:right w:val="none" w:sz="0" w:space="0" w:color="auto"/>
              </w:divBdr>
            </w:div>
          </w:divsChild>
        </w:div>
        <w:div w:id="27536906">
          <w:marLeft w:val="0"/>
          <w:marRight w:val="0"/>
          <w:marTop w:val="0"/>
          <w:marBottom w:val="0"/>
          <w:divBdr>
            <w:top w:val="none" w:sz="0" w:space="0" w:color="auto"/>
            <w:left w:val="none" w:sz="0" w:space="0" w:color="auto"/>
            <w:bottom w:val="none" w:sz="0" w:space="0" w:color="auto"/>
            <w:right w:val="none" w:sz="0" w:space="0" w:color="auto"/>
          </w:divBdr>
          <w:divsChild>
            <w:div w:id="98375148">
              <w:marLeft w:val="0"/>
              <w:marRight w:val="0"/>
              <w:marTop w:val="0"/>
              <w:marBottom w:val="0"/>
              <w:divBdr>
                <w:top w:val="none" w:sz="0" w:space="0" w:color="auto"/>
                <w:left w:val="none" w:sz="0" w:space="0" w:color="auto"/>
                <w:bottom w:val="none" w:sz="0" w:space="0" w:color="auto"/>
                <w:right w:val="none" w:sz="0" w:space="0" w:color="auto"/>
              </w:divBdr>
            </w:div>
          </w:divsChild>
        </w:div>
        <w:div w:id="1387337927">
          <w:marLeft w:val="0"/>
          <w:marRight w:val="0"/>
          <w:marTop w:val="0"/>
          <w:marBottom w:val="0"/>
          <w:divBdr>
            <w:top w:val="none" w:sz="0" w:space="0" w:color="auto"/>
            <w:left w:val="none" w:sz="0" w:space="0" w:color="auto"/>
            <w:bottom w:val="none" w:sz="0" w:space="0" w:color="auto"/>
            <w:right w:val="none" w:sz="0" w:space="0" w:color="auto"/>
          </w:divBdr>
          <w:divsChild>
            <w:div w:id="1074819946">
              <w:marLeft w:val="0"/>
              <w:marRight w:val="0"/>
              <w:marTop w:val="0"/>
              <w:marBottom w:val="0"/>
              <w:divBdr>
                <w:top w:val="none" w:sz="0" w:space="0" w:color="auto"/>
                <w:left w:val="none" w:sz="0" w:space="0" w:color="auto"/>
                <w:bottom w:val="none" w:sz="0" w:space="0" w:color="auto"/>
                <w:right w:val="none" w:sz="0" w:space="0" w:color="auto"/>
              </w:divBdr>
            </w:div>
          </w:divsChild>
        </w:div>
        <w:div w:id="1767462601">
          <w:marLeft w:val="0"/>
          <w:marRight w:val="0"/>
          <w:marTop w:val="0"/>
          <w:marBottom w:val="0"/>
          <w:divBdr>
            <w:top w:val="none" w:sz="0" w:space="0" w:color="auto"/>
            <w:left w:val="none" w:sz="0" w:space="0" w:color="auto"/>
            <w:bottom w:val="none" w:sz="0" w:space="0" w:color="auto"/>
            <w:right w:val="none" w:sz="0" w:space="0" w:color="auto"/>
          </w:divBdr>
          <w:divsChild>
            <w:div w:id="654574461">
              <w:marLeft w:val="0"/>
              <w:marRight w:val="0"/>
              <w:marTop w:val="0"/>
              <w:marBottom w:val="0"/>
              <w:divBdr>
                <w:top w:val="none" w:sz="0" w:space="0" w:color="auto"/>
                <w:left w:val="none" w:sz="0" w:space="0" w:color="auto"/>
                <w:bottom w:val="none" w:sz="0" w:space="0" w:color="auto"/>
                <w:right w:val="none" w:sz="0" w:space="0" w:color="auto"/>
              </w:divBdr>
            </w:div>
          </w:divsChild>
        </w:div>
        <w:div w:id="860047783">
          <w:marLeft w:val="0"/>
          <w:marRight w:val="0"/>
          <w:marTop w:val="0"/>
          <w:marBottom w:val="0"/>
          <w:divBdr>
            <w:top w:val="none" w:sz="0" w:space="0" w:color="auto"/>
            <w:left w:val="none" w:sz="0" w:space="0" w:color="auto"/>
            <w:bottom w:val="none" w:sz="0" w:space="0" w:color="auto"/>
            <w:right w:val="none" w:sz="0" w:space="0" w:color="auto"/>
          </w:divBdr>
          <w:divsChild>
            <w:div w:id="229507180">
              <w:marLeft w:val="0"/>
              <w:marRight w:val="0"/>
              <w:marTop w:val="0"/>
              <w:marBottom w:val="0"/>
              <w:divBdr>
                <w:top w:val="none" w:sz="0" w:space="0" w:color="auto"/>
                <w:left w:val="none" w:sz="0" w:space="0" w:color="auto"/>
                <w:bottom w:val="none" w:sz="0" w:space="0" w:color="auto"/>
                <w:right w:val="none" w:sz="0" w:space="0" w:color="auto"/>
              </w:divBdr>
            </w:div>
          </w:divsChild>
        </w:div>
        <w:div w:id="802425538">
          <w:marLeft w:val="0"/>
          <w:marRight w:val="0"/>
          <w:marTop w:val="0"/>
          <w:marBottom w:val="0"/>
          <w:divBdr>
            <w:top w:val="none" w:sz="0" w:space="0" w:color="auto"/>
            <w:left w:val="none" w:sz="0" w:space="0" w:color="auto"/>
            <w:bottom w:val="none" w:sz="0" w:space="0" w:color="auto"/>
            <w:right w:val="none" w:sz="0" w:space="0" w:color="auto"/>
          </w:divBdr>
          <w:divsChild>
            <w:div w:id="770395663">
              <w:marLeft w:val="0"/>
              <w:marRight w:val="0"/>
              <w:marTop w:val="0"/>
              <w:marBottom w:val="0"/>
              <w:divBdr>
                <w:top w:val="none" w:sz="0" w:space="0" w:color="auto"/>
                <w:left w:val="none" w:sz="0" w:space="0" w:color="auto"/>
                <w:bottom w:val="none" w:sz="0" w:space="0" w:color="auto"/>
                <w:right w:val="none" w:sz="0" w:space="0" w:color="auto"/>
              </w:divBdr>
            </w:div>
          </w:divsChild>
        </w:div>
        <w:div w:id="1570966856">
          <w:marLeft w:val="0"/>
          <w:marRight w:val="0"/>
          <w:marTop w:val="0"/>
          <w:marBottom w:val="0"/>
          <w:divBdr>
            <w:top w:val="none" w:sz="0" w:space="0" w:color="auto"/>
            <w:left w:val="none" w:sz="0" w:space="0" w:color="auto"/>
            <w:bottom w:val="none" w:sz="0" w:space="0" w:color="auto"/>
            <w:right w:val="none" w:sz="0" w:space="0" w:color="auto"/>
          </w:divBdr>
          <w:divsChild>
            <w:div w:id="1281566859">
              <w:marLeft w:val="0"/>
              <w:marRight w:val="0"/>
              <w:marTop w:val="0"/>
              <w:marBottom w:val="0"/>
              <w:divBdr>
                <w:top w:val="none" w:sz="0" w:space="0" w:color="auto"/>
                <w:left w:val="none" w:sz="0" w:space="0" w:color="auto"/>
                <w:bottom w:val="none" w:sz="0" w:space="0" w:color="auto"/>
                <w:right w:val="none" w:sz="0" w:space="0" w:color="auto"/>
              </w:divBdr>
            </w:div>
          </w:divsChild>
        </w:div>
        <w:div w:id="675962117">
          <w:marLeft w:val="0"/>
          <w:marRight w:val="0"/>
          <w:marTop w:val="0"/>
          <w:marBottom w:val="0"/>
          <w:divBdr>
            <w:top w:val="none" w:sz="0" w:space="0" w:color="auto"/>
            <w:left w:val="none" w:sz="0" w:space="0" w:color="auto"/>
            <w:bottom w:val="none" w:sz="0" w:space="0" w:color="auto"/>
            <w:right w:val="none" w:sz="0" w:space="0" w:color="auto"/>
          </w:divBdr>
          <w:divsChild>
            <w:div w:id="146173957">
              <w:marLeft w:val="0"/>
              <w:marRight w:val="0"/>
              <w:marTop w:val="0"/>
              <w:marBottom w:val="0"/>
              <w:divBdr>
                <w:top w:val="none" w:sz="0" w:space="0" w:color="auto"/>
                <w:left w:val="none" w:sz="0" w:space="0" w:color="auto"/>
                <w:bottom w:val="none" w:sz="0" w:space="0" w:color="auto"/>
                <w:right w:val="none" w:sz="0" w:space="0" w:color="auto"/>
              </w:divBdr>
            </w:div>
          </w:divsChild>
        </w:div>
        <w:div w:id="2106146447">
          <w:marLeft w:val="0"/>
          <w:marRight w:val="0"/>
          <w:marTop w:val="0"/>
          <w:marBottom w:val="0"/>
          <w:divBdr>
            <w:top w:val="none" w:sz="0" w:space="0" w:color="auto"/>
            <w:left w:val="none" w:sz="0" w:space="0" w:color="auto"/>
            <w:bottom w:val="none" w:sz="0" w:space="0" w:color="auto"/>
            <w:right w:val="none" w:sz="0" w:space="0" w:color="auto"/>
          </w:divBdr>
          <w:divsChild>
            <w:div w:id="819156334">
              <w:marLeft w:val="0"/>
              <w:marRight w:val="0"/>
              <w:marTop w:val="0"/>
              <w:marBottom w:val="0"/>
              <w:divBdr>
                <w:top w:val="none" w:sz="0" w:space="0" w:color="auto"/>
                <w:left w:val="none" w:sz="0" w:space="0" w:color="auto"/>
                <w:bottom w:val="none" w:sz="0" w:space="0" w:color="auto"/>
                <w:right w:val="none" w:sz="0" w:space="0" w:color="auto"/>
              </w:divBdr>
            </w:div>
          </w:divsChild>
        </w:div>
        <w:div w:id="315576225">
          <w:marLeft w:val="0"/>
          <w:marRight w:val="0"/>
          <w:marTop w:val="0"/>
          <w:marBottom w:val="0"/>
          <w:divBdr>
            <w:top w:val="none" w:sz="0" w:space="0" w:color="auto"/>
            <w:left w:val="none" w:sz="0" w:space="0" w:color="auto"/>
            <w:bottom w:val="none" w:sz="0" w:space="0" w:color="auto"/>
            <w:right w:val="none" w:sz="0" w:space="0" w:color="auto"/>
          </w:divBdr>
          <w:divsChild>
            <w:div w:id="346717063">
              <w:marLeft w:val="0"/>
              <w:marRight w:val="0"/>
              <w:marTop w:val="0"/>
              <w:marBottom w:val="0"/>
              <w:divBdr>
                <w:top w:val="none" w:sz="0" w:space="0" w:color="auto"/>
                <w:left w:val="none" w:sz="0" w:space="0" w:color="auto"/>
                <w:bottom w:val="none" w:sz="0" w:space="0" w:color="auto"/>
                <w:right w:val="none" w:sz="0" w:space="0" w:color="auto"/>
              </w:divBdr>
            </w:div>
          </w:divsChild>
        </w:div>
        <w:div w:id="1040856108">
          <w:marLeft w:val="0"/>
          <w:marRight w:val="0"/>
          <w:marTop w:val="0"/>
          <w:marBottom w:val="0"/>
          <w:divBdr>
            <w:top w:val="none" w:sz="0" w:space="0" w:color="auto"/>
            <w:left w:val="none" w:sz="0" w:space="0" w:color="auto"/>
            <w:bottom w:val="none" w:sz="0" w:space="0" w:color="auto"/>
            <w:right w:val="none" w:sz="0" w:space="0" w:color="auto"/>
          </w:divBdr>
          <w:divsChild>
            <w:div w:id="1669093731">
              <w:marLeft w:val="0"/>
              <w:marRight w:val="0"/>
              <w:marTop w:val="0"/>
              <w:marBottom w:val="0"/>
              <w:divBdr>
                <w:top w:val="none" w:sz="0" w:space="0" w:color="auto"/>
                <w:left w:val="none" w:sz="0" w:space="0" w:color="auto"/>
                <w:bottom w:val="none" w:sz="0" w:space="0" w:color="auto"/>
                <w:right w:val="none" w:sz="0" w:space="0" w:color="auto"/>
              </w:divBdr>
            </w:div>
          </w:divsChild>
        </w:div>
        <w:div w:id="1701735966">
          <w:marLeft w:val="0"/>
          <w:marRight w:val="0"/>
          <w:marTop w:val="0"/>
          <w:marBottom w:val="0"/>
          <w:divBdr>
            <w:top w:val="none" w:sz="0" w:space="0" w:color="auto"/>
            <w:left w:val="none" w:sz="0" w:space="0" w:color="auto"/>
            <w:bottom w:val="none" w:sz="0" w:space="0" w:color="auto"/>
            <w:right w:val="none" w:sz="0" w:space="0" w:color="auto"/>
          </w:divBdr>
          <w:divsChild>
            <w:div w:id="285741977">
              <w:marLeft w:val="0"/>
              <w:marRight w:val="0"/>
              <w:marTop w:val="0"/>
              <w:marBottom w:val="0"/>
              <w:divBdr>
                <w:top w:val="none" w:sz="0" w:space="0" w:color="auto"/>
                <w:left w:val="none" w:sz="0" w:space="0" w:color="auto"/>
                <w:bottom w:val="none" w:sz="0" w:space="0" w:color="auto"/>
                <w:right w:val="none" w:sz="0" w:space="0" w:color="auto"/>
              </w:divBdr>
            </w:div>
          </w:divsChild>
        </w:div>
        <w:div w:id="796682654">
          <w:marLeft w:val="0"/>
          <w:marRight w:val="0"/>
          <w:marTop w:val="0"/>
          <w:marBottom w:val="0"/>
          <w:divBdr>
            <w:top w:val="none" w:sz="0" w:space="0" w:color="auto"/>
            <w:left w:val="none" w:sz="0" w:space="0" w:color="auto"/>
            <w:bottom w:val="none" w:sz="0" w:space="0" w:color="auto"/>
            <w:right w:val="none" w:sz="0" w:space="0" w:color="auto"/>
          </w:divBdr>
          <w:divsChild>
            <w:div w:id="475538906">
              <w:marLeft w:val="0"/>
              <w:marRight w:val="0"/>
              <w:marTop w:val="0"/>
              <w:marBottom w:val="0"/>
              <w:divBdr>
                <w:top w:val="none" w:sz="0" w:space="0" w:color="auto"/>
                <w:left w:val="none" w:sz="0" w:space="0" w:color="auto"/>
                <w:bottom w:val="none" w:sz="0" w:space="0" w:color="auto"/>
                <w:right w:val="none" w:sz="0" w:space="0" w:color="auto"/>
              </w:divBdr>
            </w:div>
          </w:divsChild>
        </w:div>
        <w:div w:id="1538470467">
          <w:marLeft w:val="0"/>
          <w:marRight w:val="0"/>
          <w:marTop w:val="0"/>
          <w:marBottom w:val="0"/>
          <w:divBdr>
            <w:top w:val="none" w:sz="0" w:space="0" w:color="auto"/>
            <w:left w:val="none" w:sz="0" w:space="0" w:color="auto"/>
            <w:bottom w:val="none" w:sz="0" w:space="0" w:color="auto"/>
            <w:right w:val="none" w:sz="0" w:space="0" w:color="auto"/>
          </w:divBdr>
          <w:divsChild>
            <w:div w:id="1873224619">
              <w:marLeft w:val="0"/>
              <w:marRight w:val="0"/>
              <w:marTop w:val="0"/>
              <w:marBottom w:val="0"/>
              <w:divBdr>
                <w:top w:val="none" w:sz="0" w:space="0" w:color="auto"/>
                <w:left w:val="none" w:sz="0" w:space="0" w:color="auto"/>
                <w:bottom w:val="none" w:sz="0" w:space="0" w:color="auto"/>
                <w:right w:val="none" w:sz="0" w:space="0" w:color="auto"/>
              </w:divBdr>
            </w:div>
          </w:divsChild>
        </w:div>
        <w:div w:id="963733281">
          <w:marLeft w:val="0"/>
          <w:marRight w:val="0"/>
          <w:marTop w:val="0"/>
          <w:marBottom w:val="0"/>
          <w:divBdr>
            <w:top w:val="none" w:sz="0" w:space="0" w:color="auto"/>
            <w:left w:val="none" w:sz="0" w:space="0" w:color="auto"/>
            <w:bottom w:val="none" w:sz="0" w:space="0" w:color="auto"/>
            <w:right w:val="none" w:sz="0" w:space="0" w:color="auto"/>
          </w:divBdr>
          <w:divsChild>
            <w:div w:id="1248999970">
              <w:marLeft w:val="0"/>
              <w:marRight w:val="0"/>
              <w:marTop w:val="0"/>
              <w:marBottom w:val="0"/>
              <w:divBdr>
                <w:top w:val="none" w:sz="0" w:space="0" w:color="auto"/>
                <w:left w:val="none" w:sz="0" w:space="0" w:color="auto"/>
                <w:bottom w:val="none" w:sz="0" w:space="0" w:color="auto"/>
                <w:right w:val="none" w:sz="0" w:space="0" w:color="auto"/>
              </w:divBdr>
            </w:div>
          </w:divsChild>
        </w:div>
        <w:div w:id="511073787">
          <w:marLeft w:val="0"/>
          <w:marRight w:val="0"/>
          <w:marTop w:val="0"/>
          <w:marBottom w:val="0"/>
          <w:divBdr>
            <w:top w:val="none" w:sz="0" w:space="0" w:color="auto"/>
            <w:left w:val="none" w:sz="0" w:space="0" w:color="auto"/>
            <w:bottom w:val="none" w:sz="0" w:space="0" w:color="auto"/>
            <w:right w:val="none" w:sz="0" w:space="0" w:color="auto"/>
          </w:divBdr>
          <w:divsChild>
            <w:div w:id="65693367">
              <w:marLeft w:val="0"/>
              <w:marRight w:val="0"/>
              <w:marTop w:val="0"/>
              <w:marBottom w:val="0"/>
              <w:divBdr>
                <w:top w:val="none" w:sz="0" w:space="0" w:color="auto"/>
                <w:left w:val="none" w:sz="0" w:space="0" w:color="auto"/>
                <w:bottom w:val="none" w:sz="0" w:space="0" w:color="auto"/>
                <w:right w:val="none" w:sz="0" w:space="0" w:color="auto"/>
              </w:divBdr>
            </w:div>
          </w:divsChild>
        </w:div>
        <w:div w:id="458493630">
          <w:marLeft w:val="0"/>
          <w:marRight w:val="0"/>
          <w:marTop w:val="0"/>
          <w:marBottom w:val="0"/>
          <w:divBdr>
            <w:top w:val="none" w:sz="0" w:space="0" w:color="auto"/>
            <w:left w:val="none" w:sz="0" w:space="0" w:color="auto"/>
            <w:bottom w:val="none" w:sz="0" w:space="0" w:color="auto"/>
            <w:right w:val="none" w:sz="0" w:space="0" w:color="auto"/>
          </w:divBdr>
          <w:divsChild>
            <w:div w:id="2113548902">
              <w:marLeft w:val="0"/>
              <w:marRight w:val="0"/>
              <w:marTop w:val="0"/>
              <w:marBottom w:val="0"/>
              <w:divBdr>
                <w:top w:val="none" w:sz="0" w:space="0" w:color="auto"/>
                <w:left w:val="none" w:sz="0" w:space="0" w:color="auto"/>
                <w:bottom w:val="none" w:sz="0" w:space="0" w:color="auto"/>
                <w:right w:val="none" w:sz="0" w:space="0" w:color="auto"/>
              </w:divBdr>
            </w:div>
          </w:divsChild>
        </w:div>
        <w:div w:id="485512291">
          <w:marLeft w:val="0"/>
          <w:marRight w:val="0"/>
          <w:marTop w:val="0"/>
          <w:marBottom w:val="0"/>
          <w:divBdr>
            <w:top w:val="none" w:sz="0" w:space="0" w:color="auto"/>
            <w:left w:val="none" w:sz="0" w:space="0" w:color="auto"/>
            <w:bottom w:val="none" w:sz="0" w:space="0" w:color="auto"/>
            <w:right w:val="none" w:sz="0" w:space="0" w:color="auto"/>
          </w:divBdr>
          <w:divsChild>
            <w:div w:id="693581094">
              <w:marLeft w:val="0"/>
              <w:marRight w:val="0"/>
              <w:marTop w:val="0"/>
              <w:marBottom w:val="0"/>
              <w:divBdr>
                <w:top w:val="none" w:sz="0" w:space="0" w:color="auto"/>
                <w:left w:val="none" w:sz="0" w:space="0" w:color="auto"/>
                <w:bottom w:val="none" w:sz="0" w:space="0" w:color="auto"/>
                <w:right w:val="none" w:sz="0" w:space="0" w:color="auto"/>
              </w:divBdr>
            </w:div>
          </w:divsChild>
        </w:div>
        <w:div w:id="1442610372">
          <w:marLeft w:val="0"/>
          <w:marRight w:val="0"/>
          <w:marTop w:val="0"/>
          <w:marBottom w:val="0"/>
          <w:divBdr>
            <w:top w:val="none" w:sz="0" w:space="0" w:color="auto"/>
            <w:left w:val="none" w:sz="0" w:space="0" w:color="auto"/>
            <w:bottom w:val="none" w:sz="0" w:space="0" w:color="auto"/>
            <w:right w:val="none" w:sz="0" w:space="0" w:color="auto"/>
          </w:divBdr>
          <w:divsChild>
            <w:div w:id="168645176">
              <w:marLeft w:val="0"/>
              <w:marRight w:val="0"/>
              <w:marTop w:val="0"/>
              <w:marBottom w:val="0"/>
              <w:divBdr>
                <w:top w:val="none" w:sz="0" w:space="0" w:color="auto"/>
                <w:left w:val="none" w:sz="0" w:space="0" w:color="auto"/>
                <w:bottom w:val="none" w:sz="0" w:space="0" w:color="auto"/>
                <w:right w:val="none" w:sz="0" w:space="0" w:color="auto"/>
              </w:divBdr>
            </w:div>
          </w:divsChild>
        </w:div>
        <w:div w:id="1513299474">
          <w:marLeft w:val="0"/>
          <w:marRight w:val="0"/>
          <w:marTop w:val="0"/>
          <w:marBottom w:val="0"/>
          <w:divBdr>
            <w:top w:val="none" w:sz="0" w:space="0" w:color="auto"/>
            <w:left w:val="none" w:sz="0" w:space="0" w:color="auto"/>
            <w:bottom w:val="none" w:sz="0" w:space="0" w:color="auto"/>
            <w:right w:val="none" w:sz="0" w:space="0" w:color="auto"/>
          </w:divBdr>
          <w:divsChild>
            <w:div w:id="412508860">
              <w:marLeft w:val="0"/>
              <w:marRight w:val="0"/>
              <w:marTop w:val="0"/>
              <w:marBottom w:val="0"/>
              <w:divBdr>
                <w:top w:val="none" w:sz="0" w:space="0" w:color="auto"/>
                <w:left w:val="none" w:sz="0" w:space="0" w:color="auto"/>
                <w:bottom w:val="none" w:sz="0" w:space="0" w:color="auto"/>
                <w:right w:val="none" w:sz="0" w:space="0" w:color="auto"/>
              </w:divBdr>
            </w:div>
          </w:divsChild>
        </w:div>
        <w:div w:id="1941137592">
          <w:marLeft w:val="0"/>
          <w:marRight w:val="0"/>
          <w:marTop w:val="0"/>
          <w:marBottom w:val="0"/>
          <w:divBdr>
            <w:top w:val="none" w:sz="0" w:space="0" w:color="auto"/>
            <w:left w:val="none" w:sz="0" w:space="0" w:color="auto"/>
            <w:bottom w:val="none" w:sz="0" w:space="0" w:color="auto"/>
            <w:right w:val="none" w:sz="0" w:space="0" w:color="auto"/>
          </w:divBdr>
          <w:divsChild>
            <w:div w:id="580796607">
              <w:marLeft w:val="0"/>
              <w:marRight w:val="0"/>
              <w:marTop w:val="0"/>
              <w:marBottom w:val="0"/>
              <w:divBdr>
                <w:top w:val="none" w:sz="0" w:space="0" w:color="auto"/>
                <w:left w:val="none" w:sz="0" w:space="0" w:color="auto"/>
                <w:bottom w:val="none" w:sz="0" w:space="0" w:color="auto"/>
                <w:right w:val="none" w:sz="0" w:space="0" w:color="auto"/>
              </w:divBdr>
            </w:div>
          </w:divsChild>
        </w:div>
        <w:div w:id="407269293">
          <w:marLeft w:val="0"/>
          <w:marRight w:val="0"/>
          <w:marTop w:val="0"/>
          <w:marBottom w:val="0"/>
          <w:divBdr>
            <w:top w:val="none" w:sz="0" w:space="0" w:color="auto"/>
            <w:left w:val="none" w:sz="0" w:space="0" w:color="auto"/>
            <w:bottom w:val="none" w:sz="0" w:space="0" w:color="auto"/>
            <w:right w:val="none" w:sz="0" w:space="0" w:color="auto"/>
          </w:divBdr>
          <w:divsChild>
            <w:div w:id="156380404">
              <w:marLeft w:val="0"/>
              <w:marRight w:val="0"/>
              <w:marTop w:val="0"/>
              <w:marBottom w:val="0"/>
              <w:divBdr>
                <w:top w:val="none" w:sz="0" w:space="0" w:color="auto"/>
                <w:left w:val="none" w:sz="0" w:space="0" w:color="auto"/>
                <w:bottom w:val="none" w:sz="0" w:space="0" w:color="auto"/>
                <w:right w:val="none" w:sz="0" w:space="0" w:color="auto"/>
              </w:divBdr>
            </w:div>
          </w:divsChild>
        </w:div>
        <w:div w:id="551770518">
          <w:marLeft w:val="0"/>
          <w:marRight w:val="0"/>
          <w:marTop w:val="0"/>
          <w:marBottom w:val="0"/>
          <w:divBdr>
            <w:top w:val="none" w:sz="0" w:space="0" w:color="auto"/>
            <w:left w:val="none" w:sz="0" w:space="0" w:color="auto"/>
            <w:bottom w:val="none" w:sz="0" w:space="0" w:color="auto"/>
            <w:right w:val="none" w:sz="0" w:space="0" w:color="auto"/>
          </w:divBdr>
          <w:divsChild>
            <w:div w:id="1501114088">
              <w:marLeft w:val="0"/>
              <w:marRight w:val="0"/>
              <w:marTop w:val="0"/>
              <w:marBottom w:val="0"/>
              <w:divBdr>
                <w:top w:val="none" w:sz="0" w:space="0" w:color="auto"/>
                <w:left w:val="none" w:sz="0" w:space="0" w:color="auto"/>
                <w:bottom w:val="none" w:sz="0" w:space="0" w:color="auto"/>
                <w:right w:val="none" w:sz="0" w:space="0" w:color="auto"/>
              </w:divBdr>
            </w:div>
          </w:divsChild>
        </w:div>
        <w:div w:id="492334858">
          <w:marLeft w:val="0"/>
          <w:marRight w:val="0"/>
          <w:marTop w:val="0"/>
          <w:marBottom w:val="0"/>
          <w:divBdr>
            <w:top w:val="none" w:sz="0" w:space="0" w:color="auto"/>
            <w:left w:val="none" w:sz="0" w:space="0" w:color="auto"/>
            <w:bottom w:val="none" w:sz="0" w:space="0" w:color="auto"/>
            <w:right w:val="none" w:sz="0" w:space="0" w:color="auto"/>
          </w:divBdr>
          <w:divsChild>
            <w:div w:id="1832986934">
              <w:marLeft w:val="0"/>
              <w:marRight w:val="0"/>
              <w:marTop w:val="0"/>
              <w:marBottom w:val="0"/>
              <w:divBdr>
                <w:top w:val="none" w:sz="0" w:space="0" w:color="auto"/>
                <w:left w:val="none" w:sz="0" w:space="0" w:color="auto"/>
                <w:bottom w:val="none" w:sz="0" w:space="0" w:color="auto"/>
                <w:right w:val="none" w:sz="0" w:space="0" w:color="auto"/>
              </w:divBdr>
            </w:div>
          </w:divsChild>
        </w:div>
        <w:div w:id="1694842912">
          <w:marLeft w:val="0"/>
          <w:marRight w:val="0"/>
          <w:marTop w:val="0"/>
          <w:marBottom w:val="0"/>
          <w:divBdr>
            <w:top w:val="none" w:sz="0" w:space="0" w:color="auto"/>
            <w:left w:val="none" w:sz="0" w:space="0" w:color="auto"/>
            <w:bottom w:val="none" w:sz="0" w:space="0" w:color="auto"/>
            <w:right w:val="none" w:sz="0" w:space="0" w:color="auto"/>
          </w:divBdr>
          <w:divsChild>
            <w:div w:id="1856915964">
              <w:marLeft w:val="0"/>
              <w:marRight w:val="0"/>
              <w:marTop w:val="0"/>
              <w:marBottom w:val="0"/>
              <w:divBdr>
                <w:top w:val="none" w:sz="0" w:space="0" w:color="auto"/>
                <w:left w:val="none" w:sz="0" w:space="0" w:color="auto"/>
                <w:bottom w:val="none" w:sz="0" w:space="0" w:color="auto"/>
                <w:right w:val="none" w:sz="0" w:space="0" w:color="auto"/>
              </w:divBdr>
            </w:div>
          </w:divsChild>
        </w:div>
        <w:div w:id="30230281">
          <w:marLeft w:val="0"/>
          <w:marRight w:val="0"/>
          <w:marTop w:val="0"/>
          <w:marBottom w:val="0"/>
          <w:divBdr>
            <w:top w:val="none" w:sz="0" w:space="0" w:color="auto"/>
            <w:left w:val="none" w:sz="0" w:space="0" w:color="auto"/>
            <w:bottom w:val="none" w:sz="0" w:space="0" w:color="auto"/>
            <w:right w:val="none" w:sz="0" w:space="0" w:color="auto"/>
          </w:divBdr>
          <w:divsChild>
            <w:div w:id="809398303">
              <w:marLeft w:val="0"/>
              <w:marRight w:val="0"/>
              <w:marTop w:val="0"/>
              <w:marBottom w:val="0"/>
              <w:divBdr>
                <w:top w:val="none" w:sz="0" w:space="0" w:color="auto"/>
                <w:left w:val="none" w:sz="0" w:space="0" w:color="auto"/>
                <w:bottom w:val="none" w:sz="0" w:space="0" w:color="auto"/>
                <w:right w:val="none" w:sz="0" w:space="0" w:color="auto"/>
              </w:divBdr>
            </w:div>
          </w:divsChild>
        </w:div>
        <w:div w:id="351958910">
          <w:marLeft w:val="0"/>
          <w:marRight w:val="0"/>
          <w:marTop w:val="0"/>
          <w:marBottom w:val="0"/>
          <w:divBdr>
            <w:top w:val="none" w:sz="0" w:space="0" w:color="auto"/>
            <w:left w:val="none" w:sz="0" w:space="0" w:color="auto"/>
            <w:bottom w:val="none" w:sz="0" w:space="0" w:color="auto"/>
            <w:right w:val="none" w:sz="0" w:space="0" w:color="auto"/>
          </w:divBdr>
          <w:divsChild>
            <w:div w:id="1106923212">
              <w:marLeft w:val="0"/>
              <w:marRight w:val="0"/>
              <w:marTop w:val="0"/>
              <w:marBottom w:val="0"/>
              <w:divBdr>
                <w:top w:val="none" w:sz="0" w:space="0" w:color="auto"/>
                <w:left w:val="none" w:sz="0" w:space="0" w:color="auto"/>
                <w:bottom w:val="none" w:sz="0" w:space="0" w:color="auto"/>
                <w:right w:val="none" w:sz="0" w:space="0" w:color="auto"/>
              </w:divBdr>
            </w:div>
          </w:divsChild>
        </w:div>
        <w:div w:id="684477754">
          <w:marLeft w:val="0"/>
          <w:marRight w:val="0"/>
          <w:marTop w:val="0"/>
          <w:marBottom w:val="0"/>
          <w:divBdr>
            <w:top w:val="none" w:sz="0" w:space="0" w:color="auto"/>
            <w:left w:val="none" w:sz="0" w:space="0" w:color="auto"/>
            <w:bottom w:val="none" w:sz="0" w:space="0" w:color="auto"/>
            <w:right w:val="none" w:sz="0" w:space="0" w:color="auto"/>
          </w:divBdr>
          <w:divsChild>
            <w:div w:id="1313369714">
              <w:marLeft w:val="0"/>
              <w:marRight w:val="0"/>
              <w:marTop w:val="0"/>
              <w:marBottom w:val="0"/>
              <w:divBdr>
                <w:top w:val="none" w:sz="0" w:space="0" w:color="auto"/>
                <w:left w:val="none" w:sz="0" w:space="0" w:color="auto"/>
                <w:bottom w:val="none" w:sz="0" w:space="0" w:color="auto"/>
                <w:right w:val="none" w:sz="0" w:space="0" w:color="auto"/>
              </w:divBdr>
            </w:div>
          </w:divsChild>
        </w:div>
        <w:div w:id="77294805">
          <w:marLeft w:val="0"/>
          <w:marRight w:val="0"/>
          <w:marTop w:val="0"/>
          <w:marBottom w:val="0"/>
          <w:divBdr>
            <w:top w:val="none" w:sz="0" w:space="0" w:color="auto"/>
            <w:left w:val="none" w:sz="0" w:space="0" w:color="auto"/>
            <w:bottom w:val="none" w:sz="0" w:space="0" w:color="auto"/>
            <w:right w:val="none" w:sz="0" w:space="0" w:color="auto"/>
          </w:divBdr>
          <w:divsChild>
            <w:div w:id="990058598">
              <w:marLeft w:val="0"/>
              <w:marRight w:val="0"/>
              <w:marTop w:val="0"/>
              <w:marBottom w:val="0"/>
              <w:divBdr>
                <w:top w:val="none" w:sz="0" w:space="0" w:color="auto"/>
                <w:left w:val="none" w:sz="0" w:space="0" w:color="auto"/>
                <w:bottom w:val="none" w:sz="0" w:space="0" w:color="auto"/>
                <w:right w:val="none" w:sz="0" w:space="0" w:color="auto"/>
              </w:divBdr>
            </w:div>
          </w:divsChild>
        </w:div>
        <w:div w:id="1494831168">
          <w:marLeft w:val="0"/>
          <w:marRight w:val="0"/>
          <w:marTop w:val="0"/>
          <w:marBottom w:val="0"/>
          <w:divBdr>
            <w:top w:val="none" w:sz="0" w:space="0" w:color="auto"/>
            <w:left w:val="none" w:sz="0" w:space="0" w:color="auto"/>
            <w:bottom w:val="none" w:sz="0" w:space="0" w:color="auto"/>
            <w:right w:val="none" w:sz="0" w:space="0" w:color="auto"/>
          </w:divBdr>
          <w:divsChild>
            <w:div w:id="1423182657">
              <w:marLeft w:val="0"/>
              <w:marRight w:val="0"/>
              <w:marTop w:val="0"/>
              <w:marBottom w:val="0"/>
              <w:divBdr>
                <w:top w:val="none" w:sz="0" w:space="0" w:color="auto"/>
                <w:left w:val="none" w:sz="0" w:space="0" w:color="auto"/>
                <w:bottom w:val="none" w:sz="0" w:space="0" w:color="auto"/>
                <w:right w:val="none" w:sz="0" w:space="0" w:color="auto"/>
              </w:divBdr>
            </w:div>
          </w:divsChild>
        </w:div>
        <w:div w:id="1499616293">
          <w:marLeft w:val="0"/>
          <w:marRight w:val="0"/>
          <w:marTop w:val="0"/>
          <w:marBottom w:val="0"/>
          <w:divBdr>
            <w:top w:val="none" w:sz="0" w:space="0" w:color="auto"/>
            <w:left w:val="none" w:sz="0" w:space="0" w:color="auto"/>
            <w:bottom w:val="none" w:sz="0" w:space="0" w:color="auto"/>
            <w:right w:val="none" w:sz="0" w:space="0" w:color="auto"/>
          </w:divBdr>
          <w:divsChild>
            <w:div w:id="988484278">
              <w:marLeft w:val="0"/>
              <w:marRight w:val="0"/>
              <w:marTop w:val="0"/>
              <w:marBottom w:val="0"/>
              <w:divBdr>
                <w:top w:val="none" w:sz="0" w:space="0" w:color="auto"/>
                <w:left w:val="none" w:sz="0" w:space="0" w:color="auto"/>
                <w:bottom w:val="none" w:sz="0" w:space="0" w:color="auto"/>
                <w:right w:val="none" w:sz="0" w:space="0" w:color="auto"/>
              </w:divBdr>
            </w:div>
          </w:divsChild>
        </w:div>
        <w:div w:id="431972958">
          <w:marLeft w:val="0"/>
          <w:marRight w:val="0"/>
          <w:marTop w:val="0"/>
          <w:marBottom w:val="0"/>
          <w:divBdr>
            <w:top w:val="none" w:sz="0" w:space="0" w:color="auto"/>
            <w:left w:val="none" w:sz="0" w:space="0" w:color="auto"/>
            <w:bottom w:val="none" w:sz="0" w:space="0" w:color="auto"/>
            <w:right w:val="none" w:sz="0" w:space="0" w:color="auto"/>
          </w:divBdr>
          <w:divsChild>
            <w:div w:id="927079206">
              <w:marLeft w:val="0"/>
              <w:marRight w:val="0"/>
              <w:marTop w:val="0"/>
              <w:marBottom w:val="0"/>
              <w:divBdr>
                <w:top w:val="none" w:sz="0" w:space="0" w:color="auto"/>
                <w:left w:val="none" w:sz="0" w:space="0" w:color="auto"/>
                <w:bottom w:val="none" w:sz="0" w:space="0" w:color="auto"/>
                <w:right w:val="none" w:sz="0" w:space="0" w:color="auto"/>
              </w:divBdr>
            </w:div>
          </w:divsChild>
        </w:div>
        <w:div w:id="965693568">
          <w:marLeft w:val="0"/>
          <w:marRight w:val="0"/>
          <w:marTop w:val="0"/>
          <w:marBottom w:val="0"/>
          <w:divBdr>
            <w:top w:val="none" w:sz="0" w:space="0" w:color="auto"/>
            <w:left w:val="none" w:sz="0" w:space="0" w:color="auto"/>
            <w:bottom w:val="none" w:sz="0" w:space="0" w:color="auto"/>
            <w:right w:val="none" w:sz="0" w:space="0" w:color="auto"/>
          </w:divBdr>
          <w:divsChild>
            <w:div w:id="1212496288">
              <w:marLeft w:val="0"/>
              <w:marRight w:val="0"/>
              <w:marTop w:val="0"/>
              <w:marBottom w:val="0"/>
              <w:divBdr>
                <w:top w:val="none" w:sz="0" w:space="0" w:color="auto"/>
                <w:left w:val="none" w:sz="0" w:space="0" w:color="auto"/>
                <w:bottom w:val="none" w:sz="0" w:space="0" w:color="auto"/>
                <w:right w:val="none" w:sz="0" w:space="0" w:color="auto"/>
              </w:divBdr>
            </w:div>
          </w:divsChild>
        </w:div>
        <w:div w:id="613441021">
          <w:marLeft w:val="0"/>
          <w:marRight w:val="0"/>
          <w:marTop w:val="0"/>
          <w:marBottom w:val="0"/>
          <w:divBdr>
            <w:top w:val="none" w:sz="0" w:space="0" w:color="auto"/>
            <w:left w:val="none" w:sz="0" w:space="0" w:color="auto"/>
            <w:bottom w:val="none" w:sz="0" w:space="0" w:color="auto"/>
            <w:right w:val="none" w:sz="0" w:space="0" w:color="auto"/>
          </w:divBdr>
          <w:divsChild>
            <w:div w:id="1366951564">
              <w:marLeft w:val="0"/>
              <w:marRight w:val="0"/>
              <w:marTop w:val="0"/>
              <w:marBottom w:val="0"/>
              <w:divBdr>
                <w:top w:val="none" w:sz="0" w:space="0" w:color="auto"/>
                <w:left w:val="none" w:sz="0" w:space="0" w:color="auto"/>
                <w:bottom w:val="none" w:sz="0" w:space="0" w:color="auto"/>
                <w:right w:val="none" w:sz="0" w:space="0" w:color="auto"/>
              </w:divBdr>
            </w:div>
          </w:divsChild>
        </w:div>
        <w:div w:id="832529427">
          <w:marLeft w:val="0"/>
          <w:marRight w:val="0"/>
          <w:marTop w:val="0"/>
          <w:marBottom w:val="0"/>
          <w:divBdr>
            <w:top w:val="none" w:sz="0" w:space="0" w:color="auto"/>
            <w:left w:val="none" w:sz="0" w:space="0" w:color="auto"/>
            <w:bottom w:val="none" w:sz="0" w:space="0" w:color="auto"/>
            <w:right w:val="none" w:sz="0" w:space="0" w:color="auto"/>
          </w:divBdr>
          <w:divsChild>
            <w:div w:id="1727756835">
              <w:marLeft w:val="0"/>
              <w:marRight w:val="0"/>
              <w:marTop w:val="0"/>
              <w:marBottom w:val="0"/>
              <w:divBdr>
                <w:top w:val="none" w:sz="0" w:space="0" w:color="auto"/>
                <w:left w:val="none" w:sz="0" w:space="0" w:color="auto"/>
                <w:bottom w:val="none" w:sz="0" w:space="0" w:color="auto"/>
                <w:right w:val="none" w:sz="0" w:space="0" w:color="auto"/>
              </w:divBdr>
            </w:div>
          </w:divsChild>
        </w:div>
        <w:div w:id="700473775">
          <w:marLeft w:val="0"/>
          <w:marRight w:val="0"/>
          <w:marTop w:val="0"/>
          <w:marBottom w:val="0"/>
          <w:divBdr>
            <w:top w:val="none" w:sz="0" w:space="0" w:color="auto"/>
            <w:left w:val="none" w:sz="0" w:space="0" w:color="auto"/>
            <w:bottom w:val="none" w:sz="0" w:space="0" w:color="auto"/>
            <w:right w:val="none" w:sz="0" w:space="0" w:color="auto"/>
          </w:divBdr>
          <w:divsChild>
            <w:div w:id="1310132706">
              <w:marLeft w:val="0"/>
              <w:marRight w:val="0"/>
              <w:marTop w:val="0"/>
              <w:marBottom w:val="0"/>
              <w:divBdr>
                <w:top w:val="none" w:sz="0" w:space="0" w:color="auto"/>
                <w:left w:val="none" w:sz="0" w:space="0" w:color="auto"/>
                <w:bottom w:val="none" w:sz="0" w:space="0" w:color="auto"/>
                <w:right w:val="none" w:sz="0" w:space="0" w:color="auto"/>
              </w:divBdr>
            </w:div>
          </w:divsChild>
        </w:div>
        <w:div w:id="542793987">
          <w:marLeft w:val="0"/>
          <w:marRight w:val="0"/>
          <w:marTop w:val="0"/>
          <w:marBottom w:val="0"/>
          <w:divBdr>
            <w:top w:val="none" w:sz="0" w:space="0" w:color="auto"/>
            <w:left w:val="none" w:sz="0" w:space="0" w:color="auto"/>
            <w:bottom w:val="none" w:sz="0" w:space="0" w:color="auto"/>
            <w:right w:val="none" w:sz="0" w:space="0" w:color="auto"/>
          </w:divBdr>
          <w:divsChild>
            <w:div w:id="364520992">
              <w:marLeft w:val="0"/>
              <w:marRight w:val="0"/>
              <w:marTop w:val="0"/>
              <w:marBottom w:val="0"/>
              <w:divBdr>
                <w:top w:val="none" w:sz="0" w:space="0" w:color="auto"/>
                <w:left w:val="none" w:sz="0" w:space="0" w:color="auto"/>
                <w:bottom w:val="none" w:sz="0" w:space="0" w:color="auto"/>
                <w:right w:val="none" w:sz="0" w:space="0" w:color="auto"/>
              </w:divBdr>
            </w:div>
          </w:divsChild>
        </w:div>
        <w:div w:id="1723408132">
          <w:marLeft w:val="0"/>
          <w:marRight w:val="0"/>
          <w:marTop w:val="0"/>
          <w:marBottom w:val="0"/>
          <w:divBdr>
            <w:top w:val="none" w:sz="0" w:space="0" w:color="auto"/>
            <w:left w:val="none" w:sz="0" w:space="0" w:color="auto"/>
            <w:bottom w:val="none" w:sz="0" w:space="0" w:color="auto"/>
            <w:right w:val="none" w:sz="0" w:space="0" w:color="auto"/>
          </w:divBdr>
          <w:divsChild>
            <w:div w:id="1572689859">
              <w:marLeft w:val="0"/>
              <w:marRight w:val="0"/>
              <w:marTop w:val="0"/>
              <w:marBottom w:val="0"/>
              <w:divBdr>
                <w:top w:val="none" w:sz="0" w:space="0" w:color="auto"/>
                <w:left w:val="none" w:sz="0" w:space="0" w:color="auto"/>
                <w:bottom w:val="none" w:sz="0" w:space="0" w:color="auto"/>
                <w:right w:val="none" w:sz="0" w:space="0" w:color="auto"/>
              </w:divBdr>
            </w:div>
          </w:divsChild>
        </w:div>
        <w:div w:id="1844934395">
          <w:marLeft w:val="0"/>
          <w:marRight w:val="0"/>
          <w:marTop w:val="0"/>
          <w:marBottom w:val="0"/>
          <w:divBdr>
            <w:top w:val="none" w:sz="0" w:space="0" w:color="auto"/>
            <w:left w:val="none" w:sz="0" w:space="0" w:color="auto"/>
            <w:bottom w:val="none" w:sz="0" w:space="0" w:color="auto"/>
            <w:right w:val="none" w:sz="0" w:space="0" w:color="auto"/>
          </w:divBdr>
          <w:divsChild>
            <w:div w:id="1882941407">
              <w:marLeft w:val="0"/>
              <w:marRight w:val="0"/>
              <w:marTop w:val="0"/>
              <w:marBottom w:val="0"/>
              <w:divBdr>
                <w:top w:val="none" w:sz="0" w:space="0" w:color="auto"/>
                <w:left w:val="none" w:sz="0" w:space="0" w:color="auto"/>
                <w:bottom w:val="none" w:sz="0" w:space="0" w:color="auto"/>
                <w:right w:val="none" w:sz="0" w:space="0" w:color="auto"/>
              </w:divBdr>
            </w:div>
          </w:divsChild>
        </w:div>
        <w:div w:id="1636065294">
          <w:marLeft w:val="0"/>
          <w:marRight w:val="0"/>
          <w:marTop w:val="0"/>
          <w:marBottom w:val="0"/>
          <w:divBdr>
            <w:top w:val="none" w:sz="0" w:space="0" w:color="auto"/>
            <w:left w:val="none" w:sz="0" w:space="0" w:color="auto"/>
            <w:bottom w:val="none" w:sz="0" w:space="0" w:color="auto"/>
            <w:right w:val="none" w:sz="0" w:space="0" w:color="auto"/>
          </w:divBdr>
          <w:divsChild>
            <w:div w:id="845175670">
              <w:marLeft w:val="0"/>
              <w:marRight w:val="0"/>
              <w:marTop w:val="0"/>
              <w:marBottom w:val="0"/>
              <w:divBdr>
                <w:top w:val="none" w:sz="0" w:space="0" w:color="auto"/>
                <w:left w:val="none" w:sz="0" w:space="0" w:color="auto"/>
                <w:bottom w:val="none" w:sz="0" w:space="0" w:color="auto"/>
                <w:right w:val="none" w:sz="0" w:space="0" w:color="auto"/>
              </w:divBdr>
            </w:div>
          </w:divsChild>
        </w:div>
        <w:div w:id="795637301">
          <w:marLeft w:val="0"/>
          <w:marRight w:val="0"/>
          <w:marTop w:val="0"/>
          <w:marBottom w:val="0"/>
          <w:divBdr>
            <w:top w:val="none" w:sz="0" w:space="0" w:color="auto"/>
            <w:left w:val="none" w:sz="0" w:space="0" w:color="auto"/>
            <w:bottom w:val="none" w:sz="0" w:space="0" w:color="auto"/>
            <w:right w:val="none" w:sz="0" w:space="0" w:color="auto"/>
          </w:divBdr>
          <w:divsChild>
            <w:div w:id="299504312">
              <w:marLeft w:val="0"/>
              <w:marRight w:val="0"/>
              <w:marTop w:val="0"/>
              <w:marBottom w:val="0"/>
              <w:divBdr>
                <w:top w:val="none" w:sz="0" w:space="0" w:color="auto"/>
                <w:left w:val="none" w:sz="0" w:space="0" w:color="auto"/>
                <w:bottom w:val="none" w:sz="0" w:space="0" w:color="auto"/>
                <w:right w:val="none" w:sz="0" w:space="0" w:color="auto"/>
              </w:divBdr>
            </w:div>
          </w:divsChild>
        </w:div>
        <w:div w:id="1254508686">
          <w:marLeft w:val="0"/>
          <w:marRight w:val="0"/>
          <w:marTop w:val="0"/>
          <w:marBottom w:val="0"/>
          <w:divBdr>
            <w:top w:val="none" w:sz="0" w:space="0" w:color="auto"/>
            <w:left w:val="none" w:sz="0" w:space="0" w:color="auto"/>
            <w:bottom w:val="none" w:sz="0" w:space="0" w:color="auto"/>
            <w:right w:val="none" w:sz="0" w:space="0" w:color="auto"/>
          </w:divBdr>
          <w:divsChild>
            <w:div w:id="151138770">
              <w:marLeft w:val="0"/>
              <w:marRight w:val="0"/>
              <w:marTop w:val="0"/>
              <w:marBottom w:val="0"/>
              <w:divBdr>
                <w:top w:val="none" w:sz="0" w:space="0" w:color="auto"/>
                <w:left w:val="none" w:sz="0" w:space="0" w:color="auto"/>
                <w:bottom w:val="none" w:sz="0" w:space="0" w:color="auto"/>
                <w:right w:val="none" w:sz="0" w:space="0" w:color="auto"/>
              </w:divBdr>
            </w:div>
          </w:divsChild>
        </w:div>
        <w:div w:id="1148667773">
          <w:marLeft w:val="0"/>
          <w:marRight w:val="0"/>
          <w:marTop w:val="0"/>
          <w:marBottom w:val="0"/>
          <w:divBdr>
            <w:top w:val="none" w:sz="0" w:space="0" w:color="auto"/>
            <w:left w:val="none" w:sz="0" w:space="0" w:color="auto"/>
            <w:bottom w:val="none" w:sz="0" w:space="0" w:color="auto"/>
            <w:right w:val="none" w:sz="0" w:space="0" w:color="auto"/>
          </w:divBdr>
          <w:divsChild>
            <w:div w:id="524292286">
              <w:marLeft w:val="0"/>
              <w:marRight w:val="0"/>
              <w:marTop w:val="0"/>
              <w:marBottom w:val="0"/>
              <w:divBdr>
                <w:top w:val="none" w:sz="0" w:space="0" w:color="auto"/>
                <w:left w:val="none" w:sz="0" w:space="0" w:color="auto"/>
                <w:bottom w:val="none" w:sz="0" w:space="0" w:color="auto"/>
                <w:right w:val="none" w:sz="0" w:space="0" w:color="auto"/>
              </w:divBdr>
            </w:div>
          </w:divsChild>
        </w:div>
        <w:div w:id="866673490">
          <w:marLeft w:val="0"/>
          <w:marRight w:val="0"/>
          <w:marTop w:val="0"/>
          <w:marBottom w:val="0"/>
          <w:divBdr>
            <w:top w:val="none" w:sz="0" w:space="0" w:color="auto"/>
            <w:left w:val="none" w:sz="0" w:space="0" w:color="auto"/>
            <w:bottom w:val="none" w:sz="0" w:space="0" w:color="auto"/>
            <w:right w:val="none" w:sz="0" w:space="0" w:color="auto"/>
          </w:divBdr>
          <w:divsChild>
            <w:div w:id="823862352">
              <w:marLeft w:val="0"/>
              <w:marRight w:val="0"/>
              <w:marTop w:val="0"/>
              <w:marBottom w:val="0"/>
              <w:divBdr>
                <w:top w:val="none" w:sz="0" w:space="0" w:color="auto"/>
                <w:left w:val="none" w:sz="0" w:space="0" w:color="auto"/>
                <w:bottom w:val="none" w:sz="0" w:space="0" w:color="auto"/>
                <w:right w:val="none" w:sz="0" w:space="0" w:color="auto"/>
              </w:divBdr>
            </w:div>
          </w:divsChild>
        </w:div>
        <w:div w:id="115683230">
          <w:marLeft w:val="0"/>
          <w:marRight w:val="0"/>
          <w:marTop w:val="0"/>
          <w:marBottom w:val="0"/>
          <w:divBdr>
            <w:top w:val="none" w:sz="0" w:space="0" w:color="auto"/>
            <w:left w:val="none" w:sz="0" w:space="0" w:color="auto"/>
            <w:bottom w:val="none" w:sz="0" w:space="0" w:color="auto"/>
            <w:right w:val="none" w:sz="0" w:space="0" w:color="auto"/>
          </w:divBdr>
          <w:divsChild>
            <w:div w:id="1495955645">
              <w:marLeft w:val="0"/>
              <w:marRight w:val="0"/>
              <w:marTop w:val="0"/>
              <w:marBottom w:val="0"/>
              <w:divBdr>
                <w:top w:val="none" w:sz="0" w:space="0" w:color="auto"/>
                <w:left w:val="none" w:sz="0" w:space="0" w:color="auto"/>
                <w:bottom w:val="none" w:sz="0" w:space="0" w:color="auto"/>
                <w:right w:val="none" w:sz="0" w:space="0" w:color="auto"/>
              </w:divBdr>
            </w:div>
          </w:divsChild>
        </w:div>
        <w:div w:id="742530638">
          <w:marLeft w:val="0"/>
          <w:marRight w:val="0"/>
          <w:marTop w:val="0"/>
          <w:marBottom w:val="0"/>
          <w:divBdr>
            <w:top w:val="none" w:sz="0" w:space="0" w:color="auto"/>
            <w:left w:val="none" w:sz="0" w:space="0" w:color="auto"/>
            <w:bottom w:val="none" w:sz="0" w:space="0" w:color="auto"/>
            <w:right w:val="none" w:sz="0" w:space="0" w:color="auto"/>
          </w:divBdr>
          <w:divsChild>
            <w:div w:id="1727408846">
              <w:marLeft w:val="0"/>
              <w:marRight w:val="0"/>
              <w:marTop w:val="0"/>
              <w:marBottom w:val="0"/>
              <w:divBdr>
                <w:top w:val="none" w:sz="0" w:space="0" w:color="auto"/>
                <w:left w:val="none" w:sz="0" w:space="0" w:color="auto"/>
                <w:bottom w:val="none" w:sz="0" w:space="0" w:color="auto"/>
                <w:right w:val="none" w:sz="0" w:space="0" w:color="auto"/>
              </w:divBdr>
            </w:div>
          </w:divsChild>
        </w:div>
        <w:div w:id="896932896">
          <w:marLeft w:val="0"/>
          <w:marRight w:val="0"/>
          <w:marTop w:val="0"/>
          <w:marBottom w:val="0"/>
          <w:divBdr>
            <w:top w:val="none" w:sz="0" w:space="0" w:color="auto"/>
            <w:left w:val="none" w:sz="0" w:space="0" w:color="auto"/>
            <w:bottom w:val="none" w:sz="0" w:space="0" w:color="auto"/>
            <w:right w:val="none" w:sz="0" w:space="0" w:color="auto"/>
          </w:divBdr>
          <w:divsChild>
            <w:div w:id="576285455">
              <w:marLeft w:val="0"/>
              <w:marRight w:val="0"/>
              <w:marTop w:val="0"/>
              <w:marBottom w:val="0"/>
              <w:divBdr>
                <w:top w:val="none" w:sz="0" w:space="0" w:color="auto"/>
                <w:left w:val="none" w:sz="0" w:space="0" w:color="auto"/>
                <w:bottom w:val="none" w:sz="0" w:space="0" w:color="auto"/>
                <w:right w:val="none" w:sz="0" w:space="0" w:color="auto"/>
              </w:divBdr>
            </w:div>
          </w:divsChild>
        </w:div>
        <w:div w:id="1039205077">
          <w:marLeft w:val="0"/>
          <w:marRight w:val="0"/>
          <w:marTop w:val="0"/>
          <w:marBottom w:val="0"/>
          <w:divBdr>
            <w:top w:val="none" w:sz="0" w:space="0" w:color="auto"/>
            <w:left w:val="none" w:sz="0" w:space="0" w:color="auto"/>
            <w:bottom w:val="none" w:sz="0" w:space="0" w:color="auto"/>
            <w:right w:val="none" w:sz="0" w:space="0" w:color="auto"/>
          </w:divBdr>
          <w:divsChild>
            <w:div w:id="244414154">
              <w:marLeft w:val="0"/>
              <w:marRight w:val="0"/>
              <w:marTop w:val="0"/>
              <w:marBottom w:val="0"/>
              <w:divBdr>
                <w:top w:val="none" w:sz="0" w:space="0" w:color="auto"/>
                <w:left w:val="none" w:sz="0" w:space="0" w:color="auto"/>
                <w:bottom w:val="none" w:sz="0" w:space="0" w:color="auto"/>
                <w:right w:val="none" w:sz="0" w:space="0" w:color="auto"/>
              </w:divBdr>
            </w:div>
          </w:divsChild>
        </w:div>
        <w:div w:id="573125276">
          <w:marLeft w:val="0"/>
          <w:marRight w:val="0"/>
          <w:marTop w:val="0"/>
          <w:marBottom w:val="0"/>
          <w:divBdr>
            <w:top w:val="none" w:sz="0" w:space="0" w:color="auto"/>
            <w:left w:val="none" w:sz="0" w:space="0" w:color="auto"/>
            <w:bottom w:val="none" w:sz="0" w:space="0" w:color="auto"/>
            <w:right w:val="none" w:sz="0" w:space="0" w:color="auto"/>
          </w:divBdr>
          <w:divsChild>
            <w:div w:id="738745521">
              <w:marLeft w:val="0"/>
              <w:marRight w:val="0"/>
              <w:marTop w:val="0"/>
              <w:marBottom w:val="0"/>
              <w:divBdr>
                <w:top w:val="none" w:sz="0" w:space="0" w:color="auto"/>
                <w:left w:val="none" w:sz="0" w:space="0" w:color="auto"/>
                <w:bottom w:val="none" w:sz="0" w:space="0" w:color="auto"/>
                <w:right w:val="none" w:sz="0" w:space="0" w:color="auto"/>
              </w:divBdr>
            </w:div>
          </w:divsChild>
        </w:div>
        <w:div w:id="980889740">
          <w:marLeft w:val="0"/>
          <w:marRight w:val="0"/>
          <w:marTop w:val="0"/>
          <w:marBottom w:val="0"/>
          <w:divBdr>
            <w:top w:val="none" w:sz="0" w:space="0" w:color="auto"/>
            <w:left w:val="none" w:sz="0" w:space="0" w:color="auto"/>
            <w:bottom w:val="none" w:sz="0" w:space="0" w:color="auto"/>
            <w:right w:val="none" w:sz="0" w:space="0" w:color="auto"/>
          </w:divBdr>
          <w:divsChild>
            <w:div w:id="714044582">
              <w:marLeft w:val="0"/>
              <w:marRight w:val="0"/>
              <w:marTop w:val="0"/>
              <w:marBottom w:val="0"/>
              <w:divBdr>
                <w:top w:val="none" w:sz="0" w:space="0" w:color="auto"/>
                <w:left w:val="none" w:sz="0" w:space="0" w:color="auto"/>
                <w:bottom w:val="none" w:sz="0" w:space="0" w:color="auto"/>
                <w:right w:val="none" w:sz="0" w:space="0" w:color="auto"/>
              </w:divBdr>
            </w:div>
          </w:divsChild>
        </w:div>
        <w:div w:id="1861581922">
          <w:marLeft w:val="0"/>
          <w:marRight w:val="0"/>
          <w:marTop w:val="0"/>
          <w:marBottom w:val="0"/>
          <w:divBdr>
            <w:top w:val="none" w:sz="0" w:space="0" w:color="auto"/>
            <w:left w:val="none" w:sz="0" w:space="0" w:color="auto"/>
            <w:bottom w:val="none" w:sz="0" w:space="0" w:color="auto"/>
            <w:right w:val="none" w:sz="0" w:space="0" w:color="auto"/>
          </w:divBdr>
          <w:divsChild>
            <w:div w:id="2004700622">
              <w:marLeft w:val="0"/>
              <w:marRight w:val="0"/>
              <w:marTop w:val="0"/>
              <w:marBottom w:val="0"/>
              <w:divBdr>
                <w:top w:val="none" w:sz="0" w:space="0" w:color="auto"/>
                <w:left w:val="none" w:sz="0" w:space="0" w:color="auto"/>
                <w:bottom w:val="none" w:sz="0" w:space="0" w:color="auto"/>
                <w:right w:val="none" w:sz="0" w:space="0" w:color="auto"/>
              </w:divBdr>
            </w:div>
          </w:divsChild>
        </w:div>
        <w:div w:id="1494250870">
          <w:marLeft w:val="0"/>
          <w:marRight w:val="0"/>
          <w:marTop w:val="0"/>
          <w:marBottom w:val="0"/>
          <w:divBdr>
            <w:top w:val="none" w:sz="0" w:space="0" w:color="auto"/>
            <w:left w:val="none" w:sz="0" w:space="0" w:color="auto"/>
            <w:bottom w:val="none" w:sz="0" w:space="0" w:color="auto"/>
            <w:right w:val="none" w:sz="0" w:space="0" w:color="auto"/>
          </w:divBdr>
          <w:divsChild>
            <w:div w:id="2007053004">
              <w:marLeft w:val="0"/>
              <w:marRight w:val="0"/>
              <w:marTop w:val="0"/>
              <w:marBottom w:val="0"/>
              <w:divBdr>
                <w:top w:val="none" w:sz="0" w:space="0" w:color="auto"/>
                <w:left w:val="none" w:sz="0" w:space="0" w:color="auto"/>
                <w:bottom w:val="none" w:sz="0" w:space="0" w:color="auto"/>
                <w:right w:val="none" w:sz="0" w:space="0" w:color="auto"/>
              </w:divBdr>
            </w:div>
          </w:divsChild>
        </w:div>
        <w:div w:id="1922719698">
          <w:marLeft w:val="0"/>
          <w:marRight w:val="0"/>
          <w:marTop w:val="0"/>
          <w:marBottom w:val="0"/>
          <w:divBdr>
            <w:top w:val="none" w:sz="0" w:space="0" w:color="auto"/>
            <w:left w:val="none" w:sz="0" w:space="0" w:color="auto"/>
            <w:bottom w:val="none" w:sz="0" w:space="0" w:color="auto"/>
            <w:right w:val="none" w:sz="0" w:space="0" w:color="auto"/>
          </w:divBdr>
          <w:divsChild>
            <w:div w:id="1663241490">
              <w:marLeft w:val="0"/>
              <w:marRight w:val="0"/>
              <w:marTop w:val="0"/>
              <w:marBottom w:val="0"/>
              <w:divBdr>
                <w:top w:val="none" w:sz="0" w:space="0" w:color="auto"/>
                <w:left w:val="none" w:sz="0" w:space="0" w:color="auto"/>
                <w:bottom w:val="none" w:sz="0" w:space="0" w:color="auto"/>
                <w:right w:val="none" w:sz="0" w:space="0" w:color="auto"/>
              </w:divBdr>
            </w:div>
          </w:divsChild>
        </w:div>
        <w:div w:id="952715107">
          <w:marLeft w:val="0"/>
          <w:marRight w:val="0"/>
          <w:marTop w:val="0"/>
          <w:marBottom w:val="0"/>
          <w:divBdr>
            <w:top w:val="none" w:sz="0" w:space="0" w:color="auto"/>
            <w:left w:val="none" w:sz="0" w:space="0" w:color="auto"/>
            <w:bottom w:val="none" w:sz="0" w:space="0" w:color="auto"/>
            <w:right w:val="none" w:sz="0" w:space="0" w:color="auto"/>
          </w:divBdr>
          <w:divsChild>
            <w:div w:id="515972023">
              <w:marLeft w:val="0"/>
              <w:marRight w:val="0"/>
              <w:marTop w:val="0"/>
              <w:marBottom w:val="0"/>
              <w:divBdr>
                <w:top w:val="none" w:sz="0" w:space="0" w:color="auto"/>
                <w:left w:val="none" w:sz="0" w:space="0" w:color="auto"/>
                <w:bottom w:val="none" w:sz="0" w:space="0" w:color="auto"/>
                <w:right w:val="none" w:sz="0" w:space="0" w:color="auto"/>
              </w:divBdr>
            </w:div>
          </w:divsChild>
        </w:div>
        <w:div w:id="957030023">
          <w:marLeft w:val="0"/>
          <w:marRight w:val="0"/>
          <w:marTop w:val="0"/>
          <w:marBottom w:val="0"/>
          <w:divBdr>
            <w:top w:val="none" w:sz="0" w:space="0" w:color="auto"/>
            <w:left w:val="none" w:sz="0" w:space="0" w:color="auto"/>
            <w:bottom w:val="none" w:sz="0" w:space="0" w:color="auto"/>
            <w:right w:val="none" w:sz="0" w:space="0" w:color="auto"/>
          </w:divBdr>
          <w:divsChild>
            <w:div w:id="954403689">
              <w:marLeft w:val="0"/>
              <w:marRight w:val="0"/>
              <w:marTop w:val="0"/>
              <w:marBottom w:val="0"/>
              <w:divBdr>
                <w:top w:val="none" w:sz="0" w:space="0" w:color="auto"/>
                <w:left w:val="none" w:sz="0" w:space="0" w:color="auto"/>
                <w:bottom w:val="none" w:sz="0" w:space="0" w:color="auto"/>
                <w:right w:val="none" w:sz="0" w:space="0" w:color="auto"/>
              </w:divBdr>
            </w:div>
          </w:divsChild>
        </w:div>
        <w:div w:id="1849054789">
          <w:marLeft w:val="0"/>
          <w:marRight w:val="0"/>
          <w:marTop w:val="0"/>
          <w:marBottom w:val="0"/>
          <w:divBdr>
            <w:top w:val="none" w:sz="0" w:space="0" w:color="auto"/>
            <w:left w:val="none" w:sz="0" w:space="0" w:color="auto"/>
            <w:bottom w:val="none" w:sz="0" w:space="0" w:color="auto"/>
            <w:right w:val="none" w:sz="0" w:space="0" w:color="auto"/>
          </w:divBdr>
          <w:divsChild>
            <w:div w:id="779496080">
              <w:marLeft w:val="0"/>
              <w:marRight w:val="0"/>
              <w:marTop w:val="0"/>
              <w:marBottom w:val="0"/>
              <w:divBdr>
                <w:top w:val="none" w:sz="0" w:space="0" w:color="auto"/>
                <w:left w:val="none" w:sz="0" w:space="0" w:color="auto"/>
                <w:bottom w:val="none" w:sz="0" w:space="0" w:color="auto"/>
                <w:right w:val="none" w:sz="0" w:space="0" w:color="auto"/>
              </w:divBdr>
            </w:div>
          </w:divsChild>
        </w:div>
        <w:div w:id="235433937">
          <w:marLeft w:val="0"/>
          <w:marRight w:val="0"/>
          <w:marTop w:val="0"/>
          <w:marBottom w:val="0"/>
          <w:divBdr>
            <w:top w:val="none" w:sz="0" w:space="0" w:color="auto"/>
            <w:left w:val="none" w:sz="0" w:space="0" w:color="auto"/>
            <w:bottom w:val="none" w:sz="0" w:space="0" w:color="auto"/>
            <w:right w:val="none" w:sz="0" w:space="0" w:color="auto"/>
          </w:divBdr>
          <w:divsChild>
            <w:div w:id="607393507">
              <w:marLeft w:val="0"/>
              <w:marRight w:val="0"/>
              <w:marTop w:val="0"/>
              <w:marBottom w:val="0"/>
              <w:divBdr>
                <w:top w:val="none" w:sz="0" w:space="0" w:color="auto"/>
                <w:left w:val="none" w:sz="0" w:space="0" w:color="auto"/>
                <w:bottom w:val="none" w:sz="0" w:space="0" w:color="auto"/>
                <w:right w:val="none" w:sz="0" w:space="0" w:color="auto"/>
              </w:divBdr>
            </w:div>
          </w:divsChild>
        </w:div>
        <w:div w:id="1226649783">
          <w:marLeft w:val="0"/>
          <w:marRight w:val="0"/>
          <w:marTop w:val="0"/>
          <w:marBottom w:val="0"/>
          <w:divBdr>
            <w:top w:val="none" w:sz="0" w:space="0" w:color="auto"/>
            <w:left w:val="none" w:sz="0" w:space="0" w:color="auto"/>
            <w:bottom w:val="none" w:sz="0" w:space="0" w:color="auto"/>
            <w:right w:val="none" w:sz="0" w:space="0" w:color="auto"/>
          </w:divBdr>
          <w:divsChild>
            <w:div w:id="1507482759">
              <w:marLeft w:val="0"/>
              <w:marRight w:val="0"/>
              <w:marTop w:val="0"/>
              <w:marBottom w:val="0"/>
              <w:divBdr>
                <w:top w:val="none" w:sz="0" w:space="0" w:color="auto"/>
                <w:left w:val="none" w:sz="0" w:space="0" w:color="auto"/>
                <w:bottom w:val="none" w:sz="0" w:space="0" w:color="auto"/>
                <w:right w:val="none" w:sz="0" w:space="0" w:color="auto"/>
              </w:divBdr>
            </w:div>
          </w:divsChild>
        </w:div>
        <w:div w:id="1497913349">
          <w:marLeft w:val="0"/>
          <w:marRight w:val="0"/>
          <w:marTop w:val="0"/>
          <w:marBottom w:val="0"/>
          <w:divBdr>
            <w:top w:val="none" w:sz="0" w:space="0" w:color="auto"/>
            <w:left w:val="none" w:sz="0" w:space="0" w:color="auto"/>
            <w:bottom w:val="none" w:sz="0" w:space="0" w:color="auto"/>
            <w:right w:val="none" w:sz="0" w:space="0" w:color="auto"/>
          </w:divBdr>
          <w:divsChild>
            <w:div w:id="2069065364">
              <w:marLeft w:val="0"/>
              <w:marRight w:val="0"/>
              <w:marTop w:val="0"/>
              <w:marBottom w:val="0"/>
              <w:divBdr>
                <w:top w:val="none" w:sz="0" w:space="0" w:color="auto"/>
                <w:left w:val="none" w:sz="0" w:space="0" w:color="auto"/>
                <w:bottom w:val="none" w:sz="0" w:space="0" w:color="auto"/>
                <w:right w:val="none" w:sz="0" w:space="0" w:color="auto"/>
              </w:divBdr>
            </w:div>
          </w:divsChild>
        </w:div>
        <w:div w:id="2053190947">
          <w:marLeft w:val="0"/>
          <w:marRight w:val="0"/>
          <w:marTop w:val="0"/>
          <w:marBottom w:val="0"/>
          <w:divBdr>
            <w:top w:val="none" w:sz="0" w:space="0" w:color="auto"/>
            <w:left w:val="none" w:sz="0" w:space="0" w:color="auto"/>
            <w:bottom w:val="none" w:sz="0" w:space="0" w:color="auto"/>
            <w:right w:val="none" w:sz="0" w:space="0" w:color="auto"/>
          </w:divBdr>
          <w:divsChild>
            <w:div w:id="1810856058">
              <w:marLeft w:val="0"/>
              <w:marRight w:val="0"/>
              <w:marTop w:val="0"/>
              <w:marBottom w:val="0"/>
              <w:divBdr>
                <w:top w:val="none" w:sz="0" w:space="0" w:color="auto"/>
                <w:left w:val="none" w:sz="0" w:space="0" w:color="auto"/>
                <w:bottom w:val="none" w:sz="0" w:space="0" w:color="auto"/>
                <w:right w:val="none" w:sz="0" w:space="0" w:color="auto"/>
              </w:divBdr>
            </w:div>
          </w:divsChild>
        </w:div>
        <w:div w:id="365716454">
          <w:marLeft w:val="0"/>
          <w:marRight w:val="0"/>
          <w:marTop w:val="0"/>
          <w:marBottom w:val="0"/>
          <w:divBdr>
            <w:top w:val="none" w:sz="0" w:space="0" w:color="auto"/>
            <w:left w:val="none" w:sz="0" w:space="0" w:color="auto"/>
            <w:bottom w:val="none" w:sz="0" w:space="0" w:color="auto"/>
            <w:right w:val="none" w:sz="0" w:space="0" w:color="auto"/>
          </w:divBdr>
          <w:divsChild>
            <w:div w:id="409424639">
              <w:marLeft w:val="0"/>
              <w:marRight w:val="0"/>
              <w:marTop w:val="0"/>
              <w:marBottom w:val="0"/>
              <w:divBdr>
                <w:top w:val="none" w:sz="0" w:space="0" w:color="auto"/>
                <w:left w:val="none" w:sz="0" w:space="0" w:color="auto"/>
                <w:bottom w:val="none" w:sz="0" w:space="0" w:color="auto"/>
                <w:right w:val="none" w:sz="0" w:space="0" w:color="auto"/>
              </w:divBdr>
            </w:div>
          </w:divsChild>
        </w:div>
        <w:div w:id="1288782882">
          <w:marLeft w:val="0"/>
          <w:marRight w:val="0"/>
          <w:marTop w:val="0"/>
          <w:marBottom w:val="0"/>
          <w:divBdr>
            <w:top w:val="none" w:sz="0" w:space="0" w:color="auto"/>
            <w:left w:val="none" w:sz="0" w:space="0" w:color="auto"/>
            <w:bottom w:val="none" w:sz="0" w:space="0" w:color="auto"/>
            <w:right w:val="none" w:sz="0" w:space="0" w:color="auto"/>
          </w:divBdr>
          <w:divsChild>
            <w:div w:id="119809382">
              <w:marLeft w:val="0"/>
              <w:marRight w:val="0"/>
              <w:marTop w:val="0"/>
              <w:marBottom w:val="0"/>
              <w:divBdr>
                <w:top w:val="none" w:sz="0" w:space="0" w:color="auto"/>
                <w:left w:val="none" w:sz="0" w:space="0" w:color="auto"/>
                <w:bottom w:val="none" w:sz="0" w:space="0" w:color="auto"/>
                <w:right w:val="none" w:sz="0" w:space="0" w:color="auto"/>
              </w:divBdr>
            </w:div>
          </w:divsChild>
        </w:div>
        <w:div w:id="28800647">
          <w:marLeft w:val="0"/>
          <w:marRight w:val="0"/>
          <w:marTop w:val="0"/>
          <w:marBottom w:val="0"/>
          <w:divBdr>
            <w:top w:val="none" w:sz="0" w:space="0" w:color="auto"/>
            <w:left w:val="none" w:sz="0" w:space="0" w:color="auto"/>
            <w:bottom w:val="none" w:sz="0" w:space="0" w:color="auto"/>
            <w:right w:val="none" w:sz="0" w:space="0" w:color="auto"/>
          </w:divBdr>
          <w:divsChild>
            <w:div w:id="2065106044">
              <w:marLeft w:val="0"/>
              <w:marRight w:val="0"/>
              <w:marTop w:val="0"/>
              <w:marBottom w:val="0"/>
              <w:divBdr>
                <w:top w:val="none" w:sz="0" w:space="0" w:color="auto"/>
                <w:left w:val="none" w:sz="0" w:space="0" w:color="auto"/>
                <w:bottom w:val="none" w:sz="0" w:space="0" w:color="auto"/>
                <w:right w:val="none" w:sz="0" w:space="0" w:color="auto"/>
              </w:divBdr>
            </w:div>
          </w:divsChild>
        </w:div>
        <w:div w:id="1624001107">
          <w:marLeft w:val="0"/>
          <w:marRight w:val="0"/>
          <w:marTop w:val="0"/>
          <w:marBottom w:val="0"/>
          <w:divBdr>
            <w:top w:val="none" w:sz="0" w:space="0" w:color="auto"/>
            <w:left w:val="none" w:sz="0" w:space="0" w:color="auto"/>
            <w:bottom w:val="none" w:sz="0" w:space="0" w:color="auto"/>
            <w:right w:val="none" w:sz="0" w:space="0" w:color="auto"/>
          </w:divBdr>
          <w:divsChild>
            <w:div w:id="1204712078">
              <w:marLeft w:val="0"/>
              <w:marRight w:val="0"/>
              <w:marTop w:val="0"/>
              <w:marBottom w:val="0"/>
              <w:divBdr>
                <w:top w:val="none" w:sz="0" w:space="0" w:color="auto"/>
                <w:left w:val="none" w:sz="0" w:space="0" w:color="auto"/>
                <w:bottom w:val="none" w:sz="0" w:space="0" w:color="auto"/>
                <w:right w:val="none" w:sz="0" w:space="0" w:color="auto"/>
              </w:divBdr>
            </w:div>
          </w:divsChild>
        </w:div>
        <w:div w:id="1323581389">
          <w:marLeft w:val="0"/>
          <w:marRight w:val="0"/>
          <w:marTop w:val="0"/>
          <w:marBottom w:val="0"/>
          <w:divBdr>
            <w:top w:val="none" w:sz="0" w:space="0" w:color="auto"/>
            <w:left w:val="none" w:sz="0" w:space="0" w:color="auto"/>
            <w:bottom w:val="none" w:sz="0" w:space="0" w:color="auto"/>
            <w:right w:val="none" w:sz="0" w:space="0" w:color="auto"/>
          </w:divBdr>
          <w:divsChild>
            <w:div w:id="1912352570">
              <w:marLeft w:val="0"/>
              <w:marRight w:val="0"/>
              <w:marTop w:val="0"/>
              <w:marBottom w:val="0"/>
              <w:divBdr>
                <w:top w:val="none" w:sz="0" w:space="0" w:color="auto"/>
                <w:left w:val="none" w:sz="0" w:space="0" w:color="auto"/>
                <w:bottom w:val="none" w:sz="0" w:space="0" w:color="auto"/>
                <w:right w:val="none" w:sz="0" w:space="0" w:color="auto"/>
              </w:divBdr>
            </w:div>
          </w:divsChild>
        </w:div>
        <w:div w:id="2125072385">
          <w:marLeft w:val="0"/>
          <w:marRight w:val="0"/>
          <w:marTop w:val="0"/>
          <w:marBottom w:val="0"/>
          <w:divBdr>
            <w:top w:val="none" w:sz="0" w:space="0" w:color="auto"/>
            <w:left w:val="none" w:sz="0" w:space="0" w:color="auto"/>
            <w:bottom w:val="none" w:sz="0" w:space="0" w:color="auto"/>
            <w:right w:val="none" w:sz="0" w:space="0" w:color="auto"/>
          </w:divBdr>
          <w:divsChild>
            <w:div w:id="758523072">
              <w:marLeft w:val="0"/>
              <w:marRight w:val="0"/>
              <w:marTop w:val="0"/>
              <w:marBottom w:val="0"/>
              <w:divBdr>
                <w:top w:val="none" w:sz="0" w:space="0" w:color="auto"/>
                <w:left w:val="none" w:sz="0" w:space="0" w:color="auto"/>
                <w:bottom w:val="none" w:sz="0" w:space="0" w:color="auto"/>
                <w:right w:val="none" w:sz="0" w:space="0" w:color="auto"/>
              </w:divBdr>
            </w:div>
          </w:divsChild>
        </w:div>
        <w:div w:id="2132625259">
          <w:marLeft w:val="0"/>
          <w:marRight w:val="0"/>
          <w:marTop w:val="0"/>
          <w:marBottom w:val="0"/>
          <w:divBdr>
            <w:top w:val="none" w:sz="0" w:space="0" w:color="auto"/>
            <w:left w:val="none" w:sz="0" w:space="0" w:color="auto"/>
            <w:bottom w:val="none" w:sz="0" w:space="0" w:color="auto"/>
            <w:right w:val="none" w:sz="0" w:space="0" w:color="auto"/>
          </w:divBdr>
          <w:divsChild>
            <w:div w:id="174421871">
              <w:marLeft w:val="0"/>
              <w:marRight w:val="0"/>
              <w:marTop w:val="0"/>
              <w:marBottom w:val="0"/>
              <w:divBdr>
                <w:top w:val="none" w:sz="0" w:space="0" w:color="auto"/>
                <w:left w:val="none" w:sz="0" w:space="0" w:color="auto"/>
                <w:bottom w:val="none" w:sz="0" w:space="0" w:color="auto"/>
                <w:right w:val="none" w:sz="0" w:space="0" w:color="auto"/>
              </w:divBdr>
            </w:div>
          </w:divsChild>
        </w:div>
        <w:div w:id="33046060">
          <w:marLeft w:val="0"/>
          <w:marRight w:val="0"/>
          <w:marTop w:val="0"/>
          <w:marBottom w:val="0"/>
          <w:divBdr>
            <w:top w:val="none" w:sz="0" w:space="0" w:color="auto"/>
            <w:left w:val="none" w:sz="0" w:space="0" w:color="auto"/>
            <w:bottom w:val="none" w:sz="0" w:space="0" w:color="auto"/>
            <w:right w:val="none" w:sz="0" w:space="0" w:color="auto"/>
          </w:divBdr>
          <w:divsChild>
            <w:div w:id="2069567666">
              <w:marLeft w:val="0"/>
              <w:marRight w:val="0"/>
              <w:marTop w:val="0"/>
              <w:marBottom w:val="0"/>
              <w:divBdr>
                <w:top w:val="none" w:sz="0" w:space="0" w:color="auto"/>
                <w:left w:val="none" w:sz="0" w:space="0" w:color="auto"/>
                <w:bottom w:val="none" w:sz="0" w:space="0" w:color="auto"/>
                <w:right w:val="none" w:sz="0" w:space="0" w:color="auto"/>
              </w:divBdr>
            </w:div>
          </w:divsChild>
        </w:div>
        <w:div w:id="107942781">
          <w:marLeft w:val="0"/>
          <w:marRight w:val="0"/>
          <w:marTop w:val="0"/>
          <w:marBottom w:val="0"/>
          <w:divBdr>
            <w:top w:val="none" w:sz="0" w:space="0" w:color="auto"/>
            <w:left w:val="none" w:sz="0" w:space="0" w:color="auto"/>
            <w:bottom w:val="none" w:sz="0" w:space="0" w:color="auto"/>
            <w:right w:val="none" w:sz="0" w:space="0" w:color="auto"/>
          </w:divBdr>
          <w:divsChild>
            <w:div w:id="1248080035">
              <w:marLeft w:val="0"/>
              <w:marRight w:val="0"/>
              <w:marTop w:val="0"/>
              <w:marBottom w:val="0"/>
              <w:divBdr>
                <w:top w:val="none" w:sz="0" w:space="0" w:color="auto"/>
                <w:left w:val="none" w:sz="0" w:space="0" w:color="auto"/>
                <w:bottom w:val="none" w:sz="0" w:space="0" w:color="auto"/>
                <w:right w:val="none" w:sz="0" w:space="0" w:color="auto"/>
              </w:divBdr>
            </w:div>
          </w:divsChild>
        </w:div>
        <w:div w:id="1384477209">
          <w:marLeft w:val="0"/>
          <w:marRight w:val="0"/>
          <w:marTop w:val="0"/>
          <w:marBottom w:val="0"/>
          <w:divBdr>
            <w:top w:val="none" w:sz="0" w:space="0" w:color="auto"/>
            <w:left w:val="none" w:sz="0" w:space="0" w:color="auto"/>
            <w:bottom w:val="none" w:sz="0" w:space="0" w:color="auto"/>
            <w:right w:val="none" w:sz="0" w:space="0" w:color="auto"/>
          </w:divBdr>
          <w:divsChild>
            <w:div w:id="547298999">
              <w:marLeft w:val="0"/>
              <w:marRight w:val="0"/>
              <w:marTop w:val="0"/>
              <w:marBottom w:val="0"/>
              <w:divBdr>
                <w:top w:val="none" w:sz="0" w:space="0" w:color="auto"/>
                <w:left w:val="none" w:sz="0" w:space="0" w:color="auto"/>
                <w:bottom w:val="none" w:sz="0" w:space="0" w:color="auto"/>
                <w:right w:val="none" w:sz="0" w:space="0" w:color="auto"/>
              </w:divBdr>
            </w:div>
          </w:divsChild>
        </w:div>
        <w:div w:id="613558001">
          <w:marLeft w:val="0"/>
          <w:marRight w:val="0"/>
          <w:marTop w:val="0"/>
          <w:marBottom w:val="0"/>
          <w:divBdr>
            <w:top w:val="none" w:sz="0" w:space="0" w:color="auto"/>
            <w:left w:val="none" w:sz="0" w:space="0" w:color="auto"/>
            <w:bottom w:val="none" w:sz="0" w:space="0" w:color="auto"/>
            <w:right w:val="none" w:sz="0" w:space="0" w:color="auto"/>
          </w:divBdr>
          <w:divsChild>
            <w:div w:id="1537428730">
              <w:marLeft w:val="0"/>
              <w:marRight w:val="0"/>
              <w:marTop w:val="0"/>
              <w:marBottom w:val="0"/>
              <w:divBdr>
                <w:top w:val="none" w:sz="0" w:space="0" w:color="auto"/>
                <w:left w:val="none" w:sz="0" w:space="0" w:color="auto"/>
                <w:bottom w:val="none" w:sz="0" w:space="0" w:color="auto"/>
                <w:right w:val="none" w:sz="0" w:space="0" w:color="auto"/>
              </w:divBdr>
            </w:div>
          </w:divsChild>
        </w:div>
        <w:div w:id="100030412">
          <w:marLeft w:val="0"/>
          <w:marRight w:val="0"/>
          <w:marTop w:val="0"/>
          <w:marBottom w:val="0"/>
          <w:divBdr>
            <w:top w:val="none" w:sz="0" w:space="0" w:color="auto"/>
            <w:left w:val="none" w:sz="0" w:space="0" w:color="auto"/>
            <w:bottom w:val="none" w:sz="0" w:space="0" w:color="auto"/>
            <w:right w:val="none" w:sz="0" w:space="0" w:color="auto"/>
          </w:divBdr>
          <w:divsChild>
            <w:div w:id="2132435438">
              <w:marLeft w:val="0"/>
              <w:marRight w:val="0"/>
              <w:marTop w:val="0"/>
              <w:marBottom w:val="0"/>
              <w:divBdr>
                <w:top w:val="none" w:sz="0" w:space="0" w:color="auto"/>
                <w:left w:val="none" w:sz="0" w:space="0" w:color="auto"/>
                <w:bottom w:val="none" w:sz="0" w:space="0" w:color="auto"/>
                <w:right w:val="none" w:sz="0" w:space="0" w:color="auto"/>
              </w:divBdr>
            </w:div>
          </w:divsChild>
        </w:div>
        <w:div w:id="809791473">
          <w:marLeft w:val="0"/>
          <w:marRight w:val="0"/>
          <w:marTop w:val="0"/>
          <w:marBottom w:val="0"/>
          <w:divBdr>
            <w:top w:val="none" w:sz="0" w:space="0" w:color="auto"/>
            <w:left w:val="none" w:sz="0" w:space="0" w:color="auto"/>
            <w:bottom w:val="none" w:sz="0" w:space="0" w:color="auto"/>
            <w:right w:val="none" w:sz="0" w:space="0" w:color="auto"/>
          </w:divBdr>
          <w:divsChild>
            <w:div w:id="1154028663">
              <w:marLeft w:val="0"/>
              <w:marRight w:val="0"/>
              <w:marTop w:val="0"/>
              <w:marBottom w:val="0"/>
              <w:divBdr>
                <w:top w:val="none" w:sz="0" w:space="0" w:color="auto"/>
                <w:left w:val="none" w:sz="0" w:space="0" w:color="auto"/>
                <w:bottom w:val="none" w:sz="0" w:space="0" w:color="auto"/>
                <w:right w:val="none" w:sz="0" w:space="0" w:color="auto"/>
              </w:divBdr>
            </w:div>
          </w:divsChild>
        </w:div>
        <w:div w:id="1647709561">
          <w:marLeft w:val="0"/>
          <w:marRight w:val="0"/>
          <w:marTop w:val="0"/>
          <w:marBottom w:val="0"/>
          <w:divBdr>
            <w:top w:val="none" w:sz="0" w:space="0" w:color="auto"/>
            <w:left w:val="none" w:sz="0" w:space="0" w:color="auto"/>
            <w:bottom w:val="none" w:sz="0" w:space="0" w:color="auto"/>
            <w:right w:val="none" w:sz="0" w:space="0" w:color="auto"/>
          </w:divBdr>
          <w:divsChild>
            <w:div w:id="251353420">
              <w:marLeft w:val="0"/>
              <w:marRight w:val="0"/>
              <w:marTop w:val="0"/>
              <w:marBottom w:val="0"/>
              <w:divBdr>
                <w:top w:val="none" w:sz="0" w:space="0" w:color="auto"/>
                <w:left w:val="none" w:sz="0" w:space="0" w:color="auto"/>
                <w:bottom w:val="none" w:sz="0" w:space="0" w:color="auto"/>
                <w:right w:val="none" w:sz="0" w:space="0" w:color="auto"/>
              </w:divBdr>
            </w:div>
          </w:divsChild>
        </w:div>
        <w:div w:id="1137258108">
          <w:marLeft w:val="0"/>
          <w:marRight w:val="0"/>
          <w:marTop w:val="0"/>
          <w:marBottom w:val="0"/>
          <w:divBdr>
            <w:top w:val="none" w:sz="0" w:space="0" w:color="auto"/>
            <w:left w:val="none" w:sz="0" w:space="0" w:color="auto"/>
            <w:bottom w:val="none" w:sz="0" w:space="0" w:color="auto"/>
            <w:right w:val="none" w:sz="0" w:space="0" w:color="auto"/>
          </w:divBdr>
          <w:divsChild>
            <w:div w:id="1812285627">
              <w:marLeft w:val="0"/>
              <w:marRight w:val="0"/>
              <w:marTop w:val="0"/>
              <w:marBottom w:val="0"/>
              <w:divBdr>
                <w:top w:val="none" w:sz="0" w:space="0" w:color="auto"/>
                <w:left w:val="none" w:sz="0" w:space="0" w:color="auto"/>
                <w:bottom w:val="none" w:sz="0" w:space="0" w:color="auto"/>
                <w:right w:val="none" w:sz="0" w:space="0" w:color="auto"/>
              </w:divBdr>
            </w:div>
          </w:divsChild>
        </w:div>
        <w:div w:id="1244800110">
          <w:marLeft w:val="0"/>
          <w:marRight w:val="0"/>
          <w:marTop w:val="0"/>
          <w:marBottom w:val="0"/>
          <w:divBdr>
            <w:top w:val="none" w:sz="0" w:space="0" w:color="auto"/>
            <w:left w:val="none" w:sz="0" w:space="0" w:color="auto"/>
            <w:bottom w:val="none" w:sz="0" w:space="0" w:color="auto"/>
            <w:right w:val="none" w:sz="0" w:space="0" w:color="auto"/>
          </w:divBdr>
          <w:divsChild>
            <w:div w:id="1931160948">
              <w:marLeft w:val="0"/>
              <w:marRight w:val="0"/>
              <w:marTop w:val="0"/>
              <w:marBottom w:val="0"/>
              <w:divBdr>
                <w:top w:val="none" w:sz="0" w:space="0" w:color="auto"/>
                <w:left w:val="none" w:sz="0" w:space="0" w:color="auto"/>
                <w:bottom w:val="none" w:sz="0" w:space="0" w:color="auto"/>
                <w:right w:val="none" w:sz="0" w:space="0" w:color="auto"/>
              </w:divBdr>
            </w:div>
          </w:divsChild>
        </w:div>
        <w:div w:id="741101564">
          <w:marLeft w:val="0"/>
          <w:marRight w:val="0"/>
          <w:marTop w:val="0"/>
          <w:marBottom w:val="0"/>
          <w:divBdr>
            <w:top w:val="none" w:sz="0" w:space="0" w:color="auto"/>
            <w:left w:val="none" w:sz="0" w:space="0" w:color="auto"/>
            <w:bottom w:val="none" w:sz="0" w:space="0" w:color="auto"/>
            <w:right w:val="none" w:sz="0" w:space="0" w:color="auto"/>
          </w:divBdr>
          <w:divsChild>
            <w:div w:id="264847289">
              <w:marLeft w:val="0"/>
              <w:marRight w:val="0"/>
              <w:marTop w:val="0"/>
              <w:marBottom w:val="0"/>
              <w:divBdr>
                <w:top w:val="none" w:sz="0" w:space="0" w:color="auto"/>
                <w:left w:val="none" w:sz="0" w:space="0" w:color="auto"/>
                <w:bottom w:val="none" w:sz="0" w:space="0" w:color="auto"/>
                <w:right w:val="none" w:sz="0" w:space="0" w:color="auto"/>
              </w:divBdr>
            </w:div>
          </w:divsChild>
        </w:div>
        <w:div w:id="1245335240">
          <w:marLeft w:val="0"/>
          <w:marRight w:val="0"/>
          <w:marTop w:val="0"/>
          <w:marBottom w:val="0"/>
          <w:divBdr>
            <w:top w:val="none" w:sz="0" w:space="0" w:color="auto"/>
            <w:left w:val="none" w:sz="0" w:space="0" w:color="auto"/>
            <w:bottom w:val="none" w:sz="0" w:space="0" w:color="auto"/>
            <w:right w:val="none" w:sz="0" w:space="0" w:color="auto"/>
          </w:divBdr>
          <w:divsChild>
            <w:div w:id="298539153">
              <w:marLeft w:val="0"/>
              <w:marRight w:val="0"/>
              <w:marTop w:val="0"/>
              <w:marBottom w:val="0"/>
              <w:divBdr>
                <w:top w:val="none" w:sz="0" w:space="0" w:color="auto"/>
                <w:left w:val="none" w:sz="0" w:space="0" w:color="auto"/>
                <w:bottom w:val="none" w:sz="0" w:space="0" w:color="auto"/>
                <w:right w:val="none" w:sz="0" w:space="0" w:color="auto"/>
              </w:divBdr>
            </w:div>
          </w:divsChild>
        </w:div>
        <w:div w:id="1898055482">
          <w:marLeft w:val="0"/>
          <w:marRight w:val="0"/>
          <w:marTop w:val="0"/>
          <w:marBottom w:val="0"/>
          <w:divBdr>
            <w:top w:val="none" w:sz="0" w:space="0" w:color="auto"/>
            <w:left w:val="none" w:sz="0" w:space="0" w:color="auto"/>
            <w:bottom w:val="none" w:sz="0" w:space="0" w:color="auto"/>
            <w:right w:val="none" w:sz="0" w:space="0" w:color="auto"/>
          </w:divBdr>
          <w:divsChild>
            <w:div w:id="1538733570">
              <w:marLeft w:val="0"/>
              <w:marRight w:val="0"/>
              <w:marTop w:val="0"/>
              <w:marBottom w:val="0"/>
              <w:divBdr>
                <w:top w:val="none" w:sz="0" w:space="0" w:color="auto"/>
                <w:left w:val="none" w:sz="0" w:space="0" w:color="auto"/>
                <w:bottom w:val="none" w:sz="0" w:space="0" w:color="auto"/>
                <w:right w:val="none" w:sz="0" w:space="0" w:color="auto"/>
              </w:divBdr>
            </w:div>
          </w:divsChild>
        </w:div>
        <w:div w:id="970407267">
          <w:marLeft w:val="0"/>
          <w:marRight w:val="0"/>
          <w:marTop w:val="0"/>
          <w:marBottom w:val="0"/>
          <w:divBdr>
            <w:top w:val="none" w:sz="0" w:space="0" w:color="auto"/>
            <w:left w:val="none" w:sz="0" w:space="0" w:color="auto"/>
            <w:bottom w:val="none" w:sz="0" w:space="0" w:color="auto"/>
            <w:right w:val="none" w:sz="0" w:space="0" w:color="auto"/>
          </w:divBdr>
          <w:divsChild>
            <w:div w:id="1340426043">
              <w:marLeft w:val="0"/>
              <w:marRight w:val="0"/>
              <w:marTop w:val="0"/>
              <w:marBottom w:val="0"/>
              <w:divBdr>
                <w:top w:val="none" w:sz="0" w:space="0" w:color="auto"/>
                <w:left w:val="none" w:sz="0" w:space="0" w:color="auto"/>
                <w:bottom w:val="none" w:sz="0" w:space="0" w:color="auto"/>
                <w:right w:val="none" w:sz="0" w:space="0" w:color="auto"/>
              </w:divBdr>
            </w:div>
          </w:divsChild>
        </w:div>
        <w:div w:id="391929984">
          <w:marLeft w:val="0"/>
          <w:marRight w:val="0"/>
          <w:marTop w:val="0"/>
          <w:marBottom w:val="0"/>
          <w:divBdr>
            <w:top w:val="none" w:sz="0" w:space="0" w:color="auto"/>
            <w:left w:val="none" w:sz="0" w:space="0" w:color="auto"/>
            <w:bottom w:val="none" w:sz="0" w:space="0" w:color="auto"/>
            <w:right w:val="none" w:sz="0" w:space="0" w:color="auto"/>
          </w:divBdr>
          <w:divsChild>
            <w:div w:id="643395853">
              <w:marLeft w:val="0"/>
              <w:marRight w:val="0"/>
              <w:marTop w:val="0"/>
              <w:marBottom w:val="0"/>
              <w:divBdr>
                <w:top w:val="none" w:sz="0" w:space="0" w:color="auto"/>
                <w:left w:val="none" w:sz="0" w:space="0" w:color="auto"/>
                <w:bottom w:val="none" w:sz="0" w:space="0" w:color="auto"/>
                <w:right w:val="none" w:sz="0" w:space="0" w:color="auto"/>
              </w:divBdr>
            </w:div>
          </w:divsChild>
        </w:div>
        <w:div w:id="823818351">
          <w:marLeft w:val="0"/>
          <w:marRight w:val="0"/>
          <w:marTop w:val="0"/>
          <w:marBottom w:val="0"/>
          <w:divBdr>
            <w:top w:val="none" w:sz="0" w:space="0" w:color="auto"/>
            <w:left w:val="none" w:sz="0" w:space="0" w:color="auto"/>
            <w:bottom w:val="none" w:sz="0" w:space="0" w:color="auto"/>
            <w:right w:val="none" w:sz="0" w:space="0" w:color="auto"/>
          </w:divBdr>
          <w:divsChild>
            <w:div w:id="6308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0628">
      <w:bodyDiv w:val="1"/>
      <w:marLeft w:val="0"/>
      <w:marRight w:val="0"/>
      <w:marTop w:val="0"/>
      <w:marBottom w:val="0"/>
      <w:divBdr>
        <w:top w:val="none" w:sz="0" w:space="0" w:color="auto"/>
        <w:left w:val="none" w:sz="0" w:space="0" w:color="auto"/>
        <w:bottom w:val="none" w:sz="0" w:space="0" w:color="auto"/>
        <w:right w:val="none" w:sz="0" w:space="0" w:color="auto"/>
      </w:divBdr>
    </w:div>
    <w:div w:id="1514497226">
      <w:bodyDiv w:val="1"/>
      <w:marLeft w:val="0"/>
      <w:marRight w:val="0"/>
      <w:marTop w:val="0"/>
      <w:marBottom w:val="0"/>
      <w:divBdr>
        <w:top w:val="none" w:sz="0" w:space="0" w:color="auto"/>
        <w:left w:val="none" w:sz="0" w:space="0" w:color="auto"/>
        <w:bottom w:val="none" w:sz="0" w:space="0" w:color="auto"/>
        <w:right w:val="none" w:sz="0" w:space="0" w:color="auto"/>
      </w:divBdr>
    </w:div>
    <w:div w:id="1525943759">
      <w:bodyDiv w:val="1"/>
      <w:marLeft w:val="0"/>
      <w:marRight w:val="0"/>
      <w:marTop w:val="0"/>
      <w:marBottom w:val="0"/>
      <w:divBdr>
        <w:top w:val="none" w:sz="0" w:space="0" w:color="auto"/>
        <w:left w:val="none" w:sz="0" w:space="0" w:color="auto"/>
        <w:bottom w:val="none" w:sz="0" w:space="0" w:color="auto"/>
        <w:right w:val="none" w:sz="0" w:space="0" w:color="auto"/>
      </w:divBdr>
    </w:div>
    <w:div w:id="1528131663">
      <w:bodyDiv w:val="1"/>
      <w:marLeft w:val="0"/>
      <w:marRight w:val="0"/>
      <w:marTop w:val="0"/>
      <w:marBottom w:val="0"/>
      <w:divBdr>
        <w:top w:val="none" w:sz="0" w:space="0" w:color="auto"/>
        <w:left w:val="none" w:sz="0" w:space="0" w:color="auto"/>
        <w:bottom w:val="none" w:sz="0" w:space="0" w:color="auto"/>
        <w:right w:val="none" w:sz="0" w:space="0" w:color="auto"/>
      </w:divBdr>
    </w:div>
    <w:div w:id="1529759853">
      <w:bodyDiv w:val="1"/>
      <w:marLeft w:val="0"/>
      <w:marRight w:val="0"/>
      <w:marTop w:val="0"/>
      <w:marBottom w:val="0"/>
      <w:divBdr>
        <w:top w:val="none" w:sz="0" w:space="0" w:color="auto"/>
        <w:left w:val="none" w:sz="0" w:space="0" w:color="auto"/>
        <w:bottom w:val="none" w:sz="0" w:space="0" w:color="auto"/>
        <w:right w:val="none" w:sz="0" w:space="0" w:color="auto"/>
      </w:divBdr>
    </w:div>
    <w:div w:id="1534994256">
      <w:bodyDiv w:val="1"/>
      <w:marLeft w:val="0"/>
      <w:marRight w:val="0"/>
      <w:marTop w:val="0"/>
      <w:marBottom w:val="0"/>
      <w:divBdr>
        <w:top w:val="none" w:sz="0" w:space="0" w:color="auto"/>
        <w:left w:val="none" w:sz="0" w:space="0" w:color="auto"/>
        <w:bottom w:val="none" w:sz="0" w:space="0" w:color="auto"/>
        <w:right w:val="none" w:sz="0" w:space="0" w:color="auto"/>
      </w:divBdr>
    </w:div>
    <w:div w:id="1558280195">
      <w:bodyDiv w:val="1"/>
      <w:marLeft w:val="0"/>
      <w:marRight w:val="0"/>
      <w:marTop w:val="0"/>
      <w:marBottom w:val="0"/>
      <w:divBdr>
        <w:top w:val="none" w:sz="0" w:space="0" w:color="auto"/>
        <w:left w:val="none" w:sz="0" w:space="0" w:color="auto"/>
        <w:bottom w:val="none" w:sz="0" w:space="0" w:color="auto"/>
        <w:right w:val="none" w:sz="0" w:space="0" w:color="auto"/>
      </w:divBdr>
    </w:div>
    <w:div w:id="1559439437">
      <w:bodyDiv w:val="1"/>
      <w:marLeft w:val="0"/>
      <w:marRight w:val="0"/>
      <w:marTop w:val="0"/>
      <w:marBottom w:val="0"/>
      <w:divBdr>
        <w:top w:val="none" w:sz="0" w:space="0" w:color="auto"/>
        <w:left w:val="none" w:sz="0" w:space="0" w:color="auto"/>
        <w:bottom w:val="none" w:sz="0" w:space="0" w:color="auto"/>
        <w:right w:val="none" w:sz="0" w:space="0" w:color="auto"/>
      </w:divBdr>
      <w:divsChild>
        <w:div w:id="2125270623">
          <w:marLeft w:val="0"/>
          <w:marRight w:val="0"/>
          <w:marTop w:val="0"/>
          <w:marBottom w:val="0"/>
          <w:divBdr>
            <w:top w:val="none" w:sz="0" w:space="0" w:color="auto"/>
            <w:left w:val="none" w:sz="0" w:space="0" w:color="auto"/>
            <w:bottom w:val="none" w:sz="0" w:space="0" w:color="auto"/>
            <w:right w:val="none" w:sz="0" w:space="0" w:color="auto"/>
          </w:divBdr>
        </w:div>
      </w:divsChild>
    </w:div>
    <w:div w:id="1567717841">
      <w:bodyDiv w:val="1"/>
      <w:marLeft w:val="0"/>
      <w:marRight w:val="0"/>
      <w:marTop w:val="0"/>
      <w:marBottom w:val="0"/>
      <w:divBdr>
        <w:top w:val="none" w:sz="0" w:space="0" w:color="auto"/>
        <w:left w:val="none" w:sz="0" w:space="0" w:color="auto"/>
        <w:bottom w:val="none" w:sz="0" w:space="0" w:color="auto"/>
        <w:right w:val="none" w:sz="0" w:space="0" w:color="auto"/>
      </w:divBdr>
    </w:div>
    <w:div w:id="1591890272">
      <w:bodyDiv w:val="1"/>
      <w:marLeft w:val="0"/>
      <w:marRight w:val="0"/>
      <w:marTop w:val="0"/>
      <w:marBottom w:val="0"/>
      <w:divBdr>
        <w:top w:val="none" w:sz="0" w:space="0" w:color="auto"/>
        <w:left w:val="none" w:sz="0" w:space="0" w:color="auto"/>
        <w:bottom w:val="none" w:sz="0" w:space="0" w:color="auto"/>
        <w:right w:val="none" w:sz="0" w:space="0" w:color="auto"/>
      </w:divBdr>
    </w:div>
    <w:div w:id="1599560680">
      <w:bodyDiv w:val="1"/>
      <w:marLeft w:val="0"/>
      <w:marRight w:val="0"/>
      <w:marTop w:val="0"/>
      <w:marBottom w:val="0"/>
      <w:divBdr>
        <w:top w:val="none" w:sz="0" w:space="0" w:color="auto"/>
        <w:left w:val="none" w:sz="0" w:space="0" w:color="auto"/>
        <w:bottom w:val="none" w:sz="0" w:space="0" w:color="auto"/>
        <w:right w:val="none" w:sz="0" w:space="0" w:color="auto"/>
      </w:divBdr>
    </w:div>
    <w:div w:id="1609503977">
      <w:bodyDiv w:val="1"/>
      <w:marLeft w:val="0"/>
      <w:marRight w:val="0"/>
      <w:marTop w:val="0"/>
      <w:marBottom w:val="0"/>
      <w:divBdr>
        <w:top w:val="none" w:sz="0" w:space="0" w:color="auto"/>
        <w:left w:val="none" w:sz="0" w:space="0" w:color="auto"/>
        <w:bottom w:val="none" w:sz="0" w:space="0" w:color="auto"/>
        <w:right w:val="none" w:sz="0" w:space="0" w:color="auto"/>
      </w:divBdr>
    </w:div>
    <w:div w:id="1613122198">
      <w:bodyDiv w:val="1"/>
      <w:marLeft w:val="0"/>
      <w:marRight w:val="0"/>
      <w:marTop w:val="0"/>
      <w:marBottom w:val="0"/>
      <w:divBdr>
        <w:top w:val="none" w:sz="0" w:space="0" w:color="auto"/>
        <w:left w:val="none" w:sz="0" w:space="0" w:color="auto"/>
        <w:bottom w:val="none" w:sz="0" w:space="0" w:color="auto"/>
        <w:right w:val="none" w:sz="0" w:space="0" w:color="auto"/>
      </w:divBdr>
    </w:div>
    <w:div w:id="1621448182">
      <w:bodyDiv w:val="1"/>
      <w:marLeft w:val="0"/>
      <w:marRight w:val="0"/>
      <w:marTop w:val="0"/>
      <w:marBottom w:val="0"/>
      <w:divBdr>
        <w:top w:val="none" w:sz="0" w:space="0" w:color="auto"/>
        <w:left w:val="none" w:sz="0" w:space="0" w:color="auto"/>
        <w:bottom w:val="none" w:sz="0" w:space="0" w:color="auto"/>
        <w:right w:val="none" w:sz="0" w:space="0" w:color="auto"/>
      </w:divBdr>
    </w:div>
    <w:div w:id="1646276086">
      <w:bodyDiv w:val="1"/>
      <w:marLeft w:val="0"/>
      <w:marRight w:val="0"/>
      <w:marTop w:val="0"/>
      <w:marBottom w:val="0"/>
      <w:divBdr>
        <w:top w:val="none" w:sz="0" w:space="0" w:color="auto"/>
        <w:left w:val="none" w:sz="0" w:space="0" w:color="auto"/>
        <w:bottom w:val="none" w:sz="0" w:space="0" w:color="auto"/>
        <w:right w:val="none" w:sz="0" w:space="0" w:color="auto"/>
      </w:divBdr>
    </w:div>
    <w:div w:id="1663466588">
      <w:bodyDiv w:val="1"/>
      <w:marLeft w:val="0"/>
      <w:marRight w:val="0"/>
      <w:marTop w:val="0"/>
      <w:marBottom w:val="0"/>
      <w:divBdr>
        <w:top w:val="none" w:sz="0" w:space="0" w:color="auto"/>
        <w:left w:val="none" w:sz="0" w:space="0" w:color="auto"/>
        <w:bottom w:val="none" w:sz="0" w:space="0" w:color="auto"/>
        <w:right w:val="none" w:sz="0" w:space="0" w:color="auto"/>
      </w:divBdr>
    </w:div>
    <w:div w:id="1712221872">
      <w:bodyDiv w:val="1"/>
      <w:marLeft w:val="0"/>
      <w:marRight w:val="0"/>
      <w:marTop w:val="0"/>
      <w:marBottom w:val="0"/>
      <w:divBdr>
        <w:top w:val="none" w:sz="0" w:space="0" w:color="auto"/>
        <w:left w:val="none" w:sz="0" w:space="0" w:color="auto"/>
        <w:bottom w:val="none" w:sz="0" w:space="0" w:color="auto"/>
        <w:right w:val="none" w:sz="0" w:space="0" w:color="auto"/>
      </w:divBdr>
    </w:div>
    <w:div w:id="1738162333">
      <w:bodyDiv w:val="1"/>
      <w:marLeft w:val="0"/>
      <w:marRight w:val="0"/>
      <w:marTop w:val="0"/>
      <w:marBottom w:val="0"/>
      <w:divBdr>
        <w:top w:val="none" w:sz="0" w:space="0" w:color="auto"/>
        <w:left w:val="none" w:sz="0" w:space="0" w:color="auto"/>
        <w:bottom w:val="none" w:sz="0" w:space="0" w:color="auto"/>
        <w:right w:val="none" w:sz="0" w:space="0" w:color="auto"/>
      </w:divBdr>
    </w:div>
    <w:div w:id="1739942346">
      <w:bodyDiv w:val="1"/>
      <w:marLeft w:val="0"/>
      <w:marRight w:val="0"/>
      <w:marTop w:val="0"/>
      <w:marBottom w:val="0"/>
      <w:divBdr>
        <w:top w:val="none" w:sz="0" w:space="0" w:color="auto"/>
        <w:left w:val="none" w:sz="0" w:space="0" w:color="auto"/>
        <w:bottom w:val="none" w:sz="0" w:space="0" w:color="auto"/>
        <w:right w:val="none" w:sz="0" w:space="0" w:color="auto"/>
      </w:divBdr>
    </w:div>
    <w:div w:id="1753550738">
      <w:bodyDiv w:val="1"/>
      <w:marLeft w:val="0"/>
      <w:marRight w:val="0"/>
      <w:marTop w:val="0"/>
      <w:marBottom w:val="0"/>
      <w:divBdr>
        <w:top w:val="none" w:sz="0" w:space="0" w:color="auto"/>
        <w:left w:val="none" w:sz="0" w:space="0" w:color="auto"/>
        <w:bottom w:val="none" w:sz="0" w:space="0" w:color="auto"/>
        <w:right w:val="none" w:sz="0" w:space="0" w:color="auto"/>
      </w:divBdr>
    </w:div>
    <w:div w:id="1760785136">
      <w:bodyDiv w:val="1"/>
      <w:marLeft w:val="0"/>
      <w:marRight w:val="0"/>
      <w:marTop w:val="0"/>
      <w:marBottom w:val="0"/>
      <w:divBdr>
        <w:top w:val="none" w:sz="0" w:space="0" w:color="auto"/>
        <w:left w:val="none" w:sz="0" w:space="0" w:color="auto"/>
        <w:bottom w:val="none" w:sz="0" w:space="0" w:color="auto"/>
        <w:right w:val="none" w:sz="0" w:space="0" w:color="auto"/>
      </w:divBdr>
      <w:divsChild>
        <w:div w:id="1063210569">
          <w:marLeft w:val="0"/>
          <w:marRight w:val="0"/>
          <w:marTop w:val="0"/>
          <w:marBottom w:val="0"/>
          <w:divBdr>
            <w:top w:val="none" w:sz="0" w:space="0" w:color="auto"/>
            <w:left w:val="none" w:sz="0" w:space="0" w:color="auto"/>
            <w:bottom w:val="none" w:sz="0" w:space="0" w:color="auto"/>
            <w:right w:val="none" w:sz="0" w:space="0" w:color="auto"/>
          </w:divBdr>
        </w:div>
      </w:divsChild>
    </w:div>
    <w:div w:id="1769304848">
      <w:bodyDiv w:val="1"/>
      <w:marLeft w:val="0"/>
      <w:marRight w:val="0"/>
      <w:marTop w:val="0"/>
      <w:marBottom w:val="0"/>
      <w:divBdr>
        <w:top w:val="none" w:sz="0" w:space="0" w:color="auto"/>
        <w:left w:val="none" w:sz="0" w:space="0" w:color="auto"/>
        <w:bottom w:val="none" w:sz="0" w:space="0" w:color="auto"/>
        <w:right w:val="none" w:sz="0" w:space="0" w:color="auto"/>
      </w:divBdr>
    </w:div>
    <w:div w:id="1772624907">
      <w:bodyDiv w:val="1"/>
      <w:marLeft w:val="0"/>
      <w:marRight w:val="0"/>
      <w:marTop w:val="0"/>
      <w:marBottom w:val="0"/>
      <w:divBdr>
        <w:top w:val="none" w:sz="0" w:space="0" w:color="auto"/>
        <w:left w:val="none" w:sz="0" w:space="0" w:color="auto"/>
        <w:bottom w:val="none" w:sz="0" w:space="0" w:color="auto"/>
        <w:right w:val="none" w:sz="0" w:space="0" w:color="auto"/>
      </w:divBdr>
    </w:div>
    <w:div w:id="1775323142">
      <w:bodyDiv w:val="1"/>
      <w:marLeft w:val="0"/>
      <w:marRight w:val="0"/>
      <w:marTop w:val="0"/>
      <w:marBottom w:val="0"/>
      <w:divBdr>
        <w:top w:val="none" w:sz="0" w:space="0" w:color="auto"/>
        <w:left w:val="none" w:sz="0" w:space="0" w:color="auto"/>
        <w:bottom w:val="none" w:sz="0" w:space="0" w:color="auto"/>
        <w:right w:val="none" w:sz="0" w:space="0" w:color="auto"/>
      </w:divBdr>
    </w:div>
    <w:div w:id="1778404026">
      <w:bodyDiv w:val="1"/>
      <w:marLeft w:val="0"/>
      <w:marRight w:val="0"/>
      <w:marTop w:val="0"/>
      <w:marBottom w:val="0"/>
      <w:divBdr>
        <w:top w:val="none" w:sz="0" w:space="0" w:color="auto"/>
        <w:left w:val="none" w:sz="0" w:space="0" w:color="auto"/>
        <w:bottom w:val="none" w:sz="0" w:space="0" w:color="auto"/>
        <w:right w:val="none" w:sz="0" w:space="0" w:color="auto"/>
      </w:divBdr>
    </w:div>
    <w:div w:id="1793862287">
      <w:bodyDiv w:val="1"/>
      <w:marLeft w:val="0"/>
      <w:marRight w:val="0"/>
      <w:marTop w:val="0"/>
      <w:marBottom w:val="0"/>
      <w:divBdr>
        <w:top w:val="none" w:sz="0" w:space="0" w:color="auto"/>
        <w:left w:val="none" w:sz="0" w:space="0" w:color="auto"/>
        <w:bottom w:val="none" w:sz="0" w:space="0" w:color="auto"/>
        <w:right w:val="none" w:sz="0" w:space="0" w:color="auto"/>
      </w:divBdr>
    </w:div>
    <w:div w:id="1803570779">
      <w:bodyDiv w:val="1"/>
      <w:marLeft w:val="0"/>
      <w:marRight w:val="0"/>
      <w:marTop w:val="0"/>
      <w:marBottom w:val="0"/>
      <w:divBdr>
        <w:top w:val="none" w:sz="0" w:space="0" w:color="auto"/>
        <w:left w:val="none" w:sz="0" w:space="0" w:color="auto"/>
        <w:bottom w:val="none" w:sz="0" w:space="0" w:color="auto"/>
        <w:right w:val="none" w:sz="0" w:space="0" w:color="auto"/>
      </w:divBdr>
    </w:div>
    <w:div w:id="1827670674">
      <w:bodyDiv w:val="1"/>
      <w:marLeft w:val="0"/>
      <w:marRight w:val="0"/>
      <w:marTop w:val="0"/>
      <w:marBottom w:val="0"/>
      <w:divBdr>
        <w:top w:val="none" w:sz="0" w:space="0" w:color="auto"/>
        <w:left w:val="none" w:sz="0" w:space="0" w:color="auto"/>
        <w:bottom w:val="none" w:sz="0" w:space="0" w:color="auto"/>
        <w:right w:val="none" w:sz="0" w:space="0" w:color="auto"/>
      </w:divBdr>
    </w:div>
    <w:div w:id="1858275021">
      <w:bodyDiv w:val="1"/>
      <w:marLeft w:val="0"/>
      <w:marRight w:val="0"/>
      <w:marTop w:val="0"/>
      <w:marBottom w:val="0"/>
      <w:divBdr>
        <w:top w:val="none" w:sz="0" w:space="0" w:color="auto"/>
        <w:left w:val="none" w:sz="0" w:space="0" w:color="auto"/>
        <w:bottom w:val="none" w:sz="0" w:space="0" w:color="auto"/>
        <w:right w:val="none" w:sz="0" w:space="0" w:color="auto"/>
      </w:divBdr>
    </w:div>
    <w:div w:id="1867214004">
      <w:bodyDiv w:val="1"/>
      <w:marLeft w:val="0"/>
      <w:marRight w:val="0"/>
      <w:marTop w:val="0"/>
      <w:marBottom w:val="0"/>
      <w:divBdr>
        <w:top w:val="none" w:sz="0" w:space="0" w:color="auto"/>
        <w:left w:val="none" w:sz="0" w:space="0" w:color="auto"/>
        <w:bottom w:val="none" w:sz="0" w:space="0" w:color="auto"/>
        <w:right w:val="none" w:sz="0" w:space="0" w:color="auto"/>
      </w:divBdr>
    </w:div>
    <w:div w:id="1905601484">
      <w:bodyDiv w:val="1"/>
      <w:marLeft w:val="0"/>
      <w:marRight w:val="0"/>
      <w:marTop w:val="0"/>
      <w:marBottom w:val="0"/>
      <w:divBdr>
        <w:top w:val="none" w:sz="0" w:space="0" w:color="auto"/>
        <w:left w:val="none" w:sz="0" w:space="0" w:color="auto"/>
        <w:bottom w:val="none" w:sz="0" w:space="0" w:color="auto"/>
        <w:right w:val="none" w:sz="0" w:space="0" w:color="auto"/>
      </w:divBdr>
    </w:div>
    <w:div w:id="1915116931">
      <w:bodyDiv w:val="1"/>
      <w:marLeft w:val="0"/>
      <w:marRight w:val="0"/>
      <w:marTop w:val="0"/>
      <w:marBottom w:val="0"/>
      <w:divBdr>
        <w:top w:val="none" w:sz="0" w:space="0" w:color="auto"/>
        <w:left w:val="none" w:sz="0" w:space="0" w:color="auto"/>
        <w:bottom w:val="none" w:sz="0" w:space="0" w:color="auto"/>
        <w:right w:val="none" w:sz="0" w:space="0" w:color="auto"/>
      </w:divBdr>
    </w:div>
    <w:div w:id="1922786619">
      <w:bodyDiv w:val="1"/>
      <w:marLeft w:val="0"/>
      <w:marRight w:val="0"/>
      <w:marTop w:val="0"/>
      <w:marBottom w:val="0"/>
      <w:divBdr>
        <w:top w:val="none" w:sz="0" w:space="0" w:color="auto"/>
        <w:left w:val="none" w:sz="0" w:space="0" w:color="auto"/>
        <w:bottom w:val="none" w:sz="0" w:space="0" w:color="auto"/>
        <w:right w:val="none" w:sz="0" w:space="0" w:color="auto"/>
      </w:divBdr>
    </w:div>
    <w:div w:id="1929805626">
      <w:bodyDiv w:val="1"/>
      <w:marLeft w:val="0"/>
      <w:marRight w:val="0"/>
      <w:marTop w:val="0"/>
      <w:marBottom w:val="0"/>
      <w:divBdr>
        <w:top w:val="none" w:sz="0" w:space="0" w:color="auto"/>
        <w:left w:val="none" w:sz="0" w:space="0" w:color="auto"/>
        <w:bottom w:val="none" w:sz="0" w:space="0" w:color="auto"/>
        <w:right w:val="none" w:sz="0" w:space="0" w:color="auto"/>
      </w:divBdr>
    </w:div>
    <w:div w:id="1931427466">
      <w:bodyDiv w:val="1"/>
      <w:marLeft w:val="0"/>
      <w:marRight w:val="0"/>
      <w:marTop w:val="0"/>
      <w:marBottom w:val="0"/>
      <w:divBdr>
        <w:top w:val="none" w:sz="0" w:space="0" w:color="auto"/>
        <w:left w:val="none" w:sz="0" w:space="0" w:color="auto"/>
        <w:bottom w:val="none" w:sz="0" w:space="0" w:color="auto"/>
        <w:right w:val="none" w:sz="0" w:space="0" w:color="auto"/>
      </w:divBdr>
    </w:div>
    <w:div w:id="1942564892">
      <w:bodyDiv w:val="1"/>
      <w:marLeft w:val="0"/>
      <w:marRight w:val="0"/>
      <w:marTop w:val="0"/>
      <w:marBottom w:val="0"/>
      <w:divBdr>
        <w:top w:val="none" w:sz="0" w:space="0" w:color="auto"/>
        <w:left w:val="none" w:sz="0" w:space="0" w:color="auto"/>
        <w:bottom w:val="none" w:sz="0" w:space="0" w:color="auto"/>
        <w:right w:val="none" w:sz="0" w:space="0" w:color="auto"/>
      </w:divBdr>
    </w:div>
    <w:div w:id="1963686489">
      <w:bodyDiv w:val="1"/>
      <w:marLeft w:val="0"/>
      <w:marRight w:val="0"/>
      <w:marTop w:val="0"/>
      <w:marBottom w:val="0"/>
      <w:divBdr>
        <w:top w:val="none" w:sz="0" w:space="0" w:color="auto"/>
        <w:left w:val="none" w:sz="0" w:space="0" w:color="auto"/>
        <w:bottom w:val="none" w:sz="0" w:space="0" w:color="auto"/>
        <w:right w:val="none" w:sz="0" w:space="0" w:color="auto"/>
      </w:divBdr>
    </w:div>
    <w:div w:id="1986279980">
      <w:bodyDiv w:val="1"/>
      <w:marLeft w:val="0"/>
      <w:marRight w:val="0"/>
      <w:marTop w:val="0"/>
      <w:marBottom w:val="0"/>
      <w:divBdr>
        <w:top w:val="none" w:sz="0" w:space="0" w:color="auto"/>
        <w:left w:val="none" w:sz="0" w:space="0" w:color="auto"/>
        <w:bottom w:val="none" w:sz="0" w:space="0" w:color="auto"/>
        <w:right w:val="none" w:sz="0" w:space="0" w:color="auto"/>
      </w:divBdr>
    </w:div>
    <w:div w:id="2019304811">
      <w:bodyDiv w:val="1"/>
      <w:marLeft w:val="0"/>
      <w:marRight w:val="0"/>
      <w:marTop w:val="0"/>
      <w:marBottom w:val="0"/>
      <w:divBdr>
        <w:top w:val="none" w:sz="0" w:space="0" w:color="auto"/>
        <w:left w:val="none" w:sz="0" w:space="0" w:color="auto"/>
        <w:bottom w:val="none" w:sz="0" w:space="0" w:color="auto"/>
        <w:right w:val="none" w:sz="0" w:space="0" w:color="auto"/>
      </w:divBdr>
    </w:div>
    <w:div w:id="2028603863">
      <w:bodyDiv w:val="1"/>
      <w:marLeft w:val="0"/>
      <w:marRight w:val="0"/>
      <w:marTop w:val="0"/>
      <w:marBottom w:val="0"/>
      <w:divBdr>
        <w:top w:val="none" w:sz="0" w:space="0" w:color="auto"/>
        <w:left w:val="none" w:sz="0" w:space="0" w:color="auto"/>
        <w:bottom w:val="none" w:sz="0" w:space="0" w:color="auto"/>
        <w:right w:val="none" w:sz="0" w:space="0" w:color="auto"/>
      </w:divBdr>
    </w:div>
    <w:div w:id="2038701983">
      <w:bodyDiv w:val="1"/>
      <w:marLeft w:val="0"/>
      <w:marRight w:val="0"/>
      <w:marTop w:val="0"/>
      <w:marBottom w:val="0"/>
      <w:divBdr>
        <w:top w:val="none" w:sz="0" w:space="0" w:color="auto"/>
        <w:left w:val="none" w:sz="0" w:space="0" w:color="auto"/>
        <w:bottom w:val="none" w:sz="0" w:space="0" w:color="auto"/>
        <w:right w:val="none" w:sz="0" w:space="0" w:color="auto"/>
      </w:divBdr>
    </w:div>
    <w:div w:id="2041010140">
      <w:bodyDiv w:val="1"/>
      <w:marLeft w:val="0"/>
      <w:marRight w:val="0"/>
      <w:marTop w:val="0"/>
      <w:marBottom w:val="0"/>
      <w:divBdr>
        <w:top w:val="none" w:sz="0" w:space="0" w:color="auto"/>
        <w:left w:val="none" w:sz="0" w:space="0" w:color="auto"/>
        <w:bottom w:val="none" w:sz="0" w:space="0" w:color="auto"/>
        <w:right w:val="none" w:sz="0" w:space="0" w:color="auto"/>
      </w:divBdr>
    </w:div>
    <w:div w:id="2058888658">
      <w:bodyDiv w:val="1"/>
      <w:marLeft w:val="0"/>
      <w:marRight w:val="0"/>
      <w:marTop w:val="0"/>
      <w:marBottom w:val="0"/>
      <w:divBdr>
        <w:top w:val="none" w:sz="0" w:space="0" w:color="auto"/>
        <w:left w:val="none" w:sz="0" w:space="0" w:color="auto"/>
        <w:bottom w:val="none" w:sz="0" w:space="0" w:color="auto"/>
        <w:right w:val="none" w:sz="0" w:space="0" w:color="auto"/>
      </w:divBdr>
    </w:div>
    <w:div w:id="2063401327">
      <w:bodyDiv w:val="1"/>
      <w:marLeft w:val="0"/>
      <w:marRight w:val="0"/>
      <w:marTop w:val="0"/>
      <w:marBottom w:val="0"/>
      <w:divBdr>
        <w:top w:val="none" w:sz="0" w:space="0" w:color="auto"/>
        <w:left w:val="none" w:sz="0" w:space="0" w:color="auto"/>
        <w:bottom w:val="none" w:sz="0" w:space="0" w:color="auto"/>
        <w:right w:val="none" w:sz="0" w:space="0" w:color="auto"/>
      </w:divBdr>
    </w:div>
    <w:div w:id="2064668657">
      <w:bodyDiv w:val="1"/>
      <w:marLeft w:val="0"/>
      <w:marRight w:val="0"/>
      <w:marTop w:val="0"/>
      <w:marBottom w:val="0"/>
      <w:divBdr>
        <w:top w:val="none" w:sz="0" w:space="0" w:color="auto"/>
        <w:left w:val="none" w:sz="0" w:space="0" w:color="auto"/>
        <w:bottom w:val="none" w:sz="0" w:space="0" w:color="auto"/>
        <w:right w:val="none" w:sz="0" w:space="0" w:color="auto"/>
      </w:divBdr>
    </w:div>
    <w:div w:id="2077432316">
      <w:bodyDiv w:val="1"/>
      <w:marLeft w:val="0"/>
      <w:marRight w:val="0"/>
      <w:marTop w:val="0"/>
      <w:marBottom w:val="0"/>
      <w:divBdr>
        <w:top w:val="none" w:sz="0" w:space="0" w:color="auto"/>
        <w:left w:val="none" w:sz="0" w:space="0" w:color="auto"/>
        <w:bottom w:val="none" w:sz="0" w:space="0" w:color="auto"/>
        <w:right w:val="none" w:sz="0" w:space="0" w:color="auto"/>
      </w:divBdr>
    </w:div>
    <w:div w:id="2082945562">
      <w:bodyDiv w:val="1"/>
      <w:marLeft w:val="0"/>
      <w:marRight w:val="0"/>
      <w:marTop w:val="0"/>
      <w:marBottom w:val="0"/>
      <w:divBdr>
        <w:top w:val="none" w:sz="0" w:space="0" w:color="auto"/>
        <w:left w:val="none" w:sz="0" w:space="0" w:color="auto"/>
        <w:bottom w:val="none" w:sz="0" w:space="0" w:color="auto"/>
        <w:right w:val="none" w:sz="0" w:space="0" w:color="auto"/>
      </w:divBdr>
    </w:div>
    <w:div w:id="2089645536">
      <w:bodyDiv w:val="1"/>
      <w:marLeft w:val="0"/>
      <w:marRight w:val="0"/>
      <w:marTop w:val="0"/>
      <w:marBottom w:val="0"/>
      <w:divBdr>
        <w:top w:val="none" w:sz="0" w:space="0" w:color="auto"/>
        <w:left w:val="none" w:sz="0" w:space="0" w:color="auto"/>
        <w:bottom w:val="none" w:sz="0" w:space="0" w:color="auto"/>
        <w:right w:val="none" w:sz="0" w:space="0" w:color="auto"/>
      </w:divBdr>
      <w:divsChild>
        <w:div w:id="1723750686">
          <w:marLeft w:val="0"/>
          <w:marRight w:val="0"/>
          <w:marTop w:val="0"/>
          <w:marBottom w:val="0"/>
          <w:divBdr>
            <w:top w:val="none" w:sz="0" w:space="0" w:color="auto"/>
            <w:left w:val="none" w:sz="0" w:space="0" w:color="auto"/>
            <w:bottom w:val="none" w:sz="0" w:space="0" w:color="auto"/>
            <w:right w:val="none" w:sz="0" w:space="0" w:color="auto"/>
          </w:divBdr>
        </w:div>
        <w:div w:id="2039357432">
          <w:marLeft w:val="0"/>
          <w:marRight w:val="0"/>
          <w:marTop w:val="0"/>
          <w:marBottom w:val="0"/>
          <w:divBdr>
            <w:top w:val="none" w:sz="0" w:space="0" w:color="auto"/>
            <w:left w:val="none" w:sz="0" w:space="0" w:color="auto"/>
            <w:bottom w:val="none" w:sz="0" w:space="0" w:color="auto"/>
            <w:right w:val="none" w:sz="0" w:space="0" w:color="auto"/>
          </w:divBdr>
        </w:div>
        <w:div w:id="1571161402">
          <w:marLeft w:val="0"/>
          <w:marRight w:val="0"/>
          <w:marTop w:val="0"/>
          <w:marBottom w:val="0"/>
          <w:divBdr>
            <w:top w:val="none" w:sz="0" w:space="0" w:color="auto"/>
            <w:left w:val="none" w:sz="0" w:space="0" w:color="auto"/>
            <w:bottom w:val="none" w:sz="0" w:space="0" w:color="auto"/>
            <w:right w:val="none" w:sz="0" w:space="0" w:color="auto"/>
          </w:divBdr>
        </w:div>
      </w:divsChild>
    </w:div>
    <w:div w:id="2111775811">
      <w:bodyDiv w:val="1"/>
      <w:marLeft w:val="0"/>
      <w:marRight w:val="0"/>
      <w:marTop w:val="0"/>
      <w:marBottom w:val="0"/>
      <w:divBdr>
        <w:top w:val="none" w:sz="0" w:space="0" w:color="auto"/>
        <w:left w:val="none" w:sz="0" w:space="0" w:color="auto"/>
        <w:bottom w:val="none" w:sz="0" w:space="0" w:color="auto"/>
        <w:right w:val="none" w:sz="0" w:space="0" w:color="auto"/>
      </w:divBdr>
    </w:div>
    <w:div w:id="2114402629">
      <w:bodyDiv w:val="1"/>
      <w:marLeft w:val="0"/>
      <w:marRight w:val="0"/>
      <w:marTop w:val="0"/>
      <w:marBottom w:val="0"/>
      <w:divBdr>
        <w:top w:val="none" w:sz="0" w:space="0" w:color="auto"/>
        <w:left w:val="none" w:sz="0" w:space="0" w:color="auto"/>
        <w:bottom w:val="none" w:sz="0" w:space="0" w:color="auto"/>
        <w:right w:val="none" w:sz="0" w:space="0" w:color="auto"/>
      </w:divBdr>
    </w:div>
    <w:div w:id="2119982487">
      <w:bodyDiv w:val="1"/>
      <w:marLeft w:val="0"/>
      <w:marRight w:val="0"/>
      <w:marTop w:val="0"/>
      <w:marBottom w:val="0"/>
      <w:divBdr>
        <w:top w:val="none" w:sz="0" w:space="0" w:color="auto"/>
        <w:left w:val="none" w:sz="0" w:space="0" w:color="auto"/>
        <w:bottom w:val="none" w:sz="0" w:space="0" w:color="auto"/>
        <w:right w:val="none" w:sz="0" w:space="0" w:color="auto"/>
      </w:divBdr>
    </w:div>
    <w:div w:id="212383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9.emf"/><Relationship Id="rId39" Type="http://schemas.openxmlformats.org/officeDocument/2006/relationships/image" Target="media/image22.emf"/><Relationship Id="rId21" Type="http://schemas.openxmlformats.org/officeDocument/2006/relationships/header" Target="header6.xml"/><Relationship Id="rId34" Type="http://schemas.openxmlformats.org/officeDocument/2006/relationships/image" Target="media/image17.emf"/><Relationship Id="rId42" Type="http://schemas.openxmlformats.org/officeDocument/2006/relationships/image" Target="media/image25.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3.xml"/><Relationship Id="rId29" Type="http://schemas.openxmlformats.org/officeDocument/2006/relationships/image" Target="media/image12.emf"/><Relationship Id="rId41"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image" Target="media/image14.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fontTable" Target="fontTable.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frc.org.uk/auditorsresponsibilities" TargetMode="Externa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8A4AC-4D62-4207-80CA-15704D13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29887</Words>
  <Characters>167830</Characters>
  <Application>Microsoft Office Word</Application>
  <DocSecurity>0</DocSecurity>
  <Lines>1398</Lines>
  <Paragraphs>394</Paragraphs>
  <ScaleCrop>false</ScaleCrop>
  <HeadingPairs>
    <vt:vector size="2" baseType="variant">
      <vt:variant>
        <vt:lpstr>Title</vt:lpstr>
      </vt:variant>
      <vt:variant>
        <vt:i4>1</vt:i4>
      </vt:variant>
    </vt:vector>
  </HeadingPairs>
  <TitlesOfParts>
    <vt:vector size="1" baseType="lpstr">
      <vt:lpstr>Statement of Accounts 2014-15</vt:lpstr>
    </vt:vector>
  </TitlesOfParts>
  <Manager>Muriel Coom</Manager>
  <Company>Lake District National Park Authority</Company>
  <LinksUpToDate>false</LinksUpToDate>
  <CharactersWithSpaces>197323</CharactersWithSpaces>
  <SharedDoc>false</SharedDoc>
  <HLinks>
    <vt:vector size="6" baseType="variant">
      <vt:variant>
        <vt:i4>7602234</vt:i4>
      </vt:variant>
      <vt:variant>
        <vt:i4>9</vt:i4>
      </vt:variant>
      <vt:variant>
        <vt:i4>0</vt:i4>
      </vt:variant>
      <vt:variant>
        <vt:i4>5</vt:i4>
      </vt:variant>
      <vt:variant>
        <vt:lpwstr>http://www.frc.org.uk/auditorsresponsibilities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Accounts 2014-15</dc:title>
  <dc:subject>Statement of Accounts 2014-15</dc:subject>
  <dc:creator>Sue King</dc:creator>
  <cp:keywords/>
  <cp:lastModifiedBy>Peter Notley</cp:lastModifiedBy>
  <cp:revision>115</cp:revision>
  <cp:lastPrinted>2019-09-24T11:30:00Z</cp:lastPrinted>
  <dcterms:created xsi:type="dcterms:W3CDTF">2024-01-19T10:16:00Z</dcterms:created>
  <dcterms:modified xsi:type="dcterms:W3CDTF">2024-05-31T11:01:00Z</dcterms:modified>
  <cp:category>Corporate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ritten By">
    <vt:lpwstr>Richard Webber</vt:lpwstr>
  </property>
  <property fmtid="{D5CDD505-2E9C-101B-9397-08002B2CF9AE}" pid="3" name="Publisher">
    <vt:lpwstr>Lake District National Park Authority</vt:lpwstr>
  </property>
  <property fmtid="{D5CDD505-2E9C-101B-9397-08002B2CF9AE}" pid="4" name="Last Edited By">
    <vt:lpwstr>Richard Webber</vt:lpwstr>
  </property>
  <property fmtid="{D5CDD505-2E9C-101B-9397-08002B2CF9AE}" pid="5" name="Language">
    <vt:lpwstr>English</vt:lpwstr>
  </property>
  <property fmtid="{D5CDD505-2E9C-101B-9397-08002B2CF9AE}" pid="6" name="Document Type">
    <vt:lpwstr>Other</vt:lpwstr>
  </property>
</Properties>
</file>