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FF7C6" w14:textId="77777777" w:rsidR="00C47337" w:rsidRDefault="00C47337" w:rsidP="008033BD">
      <w:pPr>
        <w:jc w:val="center"/>
        <w:rPr>
          <w:rFonts w:ascii="Arial" w:hAnsi="Arial" w:cs="Arial"/>
          <w:b/>
        </w:rPr>
      </w:pPr>
      <w:r>
        <w:rPr>
          <w:rFonts w:ascii="Arial" w:hAnsi="Arial"/>
          <w:b/>
          <w:noProof/>
          <w:sz w:val="23"/>
          <w:lang w:eastAsia="en-GB"/>
        </w:rPr>
        <w:drawing>
          <wp:inline distT="0" distB="0" distL="0" distR="0" wp14:anchorId="06274A12" wp14:editId="2C513B5A">
            <wp:extent cx="3129280" cy="904240"/>
            <wp:effectExtent l="25400" t="0" r="0" b="0"/>
            <wp:docPr id="2" name="Picture 2" descr="New LCLD logo horiz 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LD logo horiz neg"/>
                    <pic:cNvPicPr>
                      <a:picLocks noChangeAspect="1" noChangeArrowheads="1"/>
                    </pic:cNvPicPr>
                  </pic:nvPicPr>
                  <pic:blipFill>
                    <a:blip r:embed="rId7"/>
                    <a:srcRect/>
                    <a:stretch>
                      <a:fillRect/>
                    </a:stretch>
                  </pic:blipFill>
                  <pic:spPr bwMode="auto">
                    <a:xfrm>
                      <a:off x="0" y="0"/>
                      <a:ext cx="3129280" cy="904240"/>
                    </a:xfrm>
                    <a:prstGeom prst="rect">
                      <a:avLst/>
                    </a:prstGeom>
                    <a:noFill/>
                    <a:ln w="9525">
                      <a:noFill/>
                      <a:miter lim="800000"/>
                      <a:headEnd/>
                      <a:tailEnd/>
                    </a:ln>
                  </pic:spPr>
                </pic:pic>
              </a:graphicData>
            </a:graphic>
          </wp:inline>
        </w:drawing>
      </w:r>
      <w:r w:rsidR="000C653E">
        <w:rPr>
          <w:rFonts w:ascii="Arial" w:hAnsi="Arial" w:cs="Arial"/>
          <w:b/>
        </w:rPr>
        <w:t xml:space="preserve"> </w:t>
      </w:r>
    </w:p>
    <w:p w14:paraId="2B51341B" w14:textId="77777777" w:rsidR="00C47337" w:rsidRPr="000F54A7" w:rsidRDefault="00C47337">
      <w:pPr>
        <w:rPr>
          <w:rFonts w:ascii="Arial" w:hAnsi="Arial" w:cs="Arial"/>
          <w:b/>
          <w:sz w:val="28"/>
          <w:szCs w:val="28"/>
        </w:rPr>
      </w:pPr>
      <w:r w:rsidRPr="000F54A7">
        <w:rPr>
          <w:rFonts w:ascii="Arial" w:hAnsi="Arial" w:cs="Arial"/>
          <w:b/>
          <w:sz w:val="28"/>
          <w:szCs w:val="28"/>
        </w:rPr>
        <w:t>A Carbon Budget for the Lake District National Park:</w:t>
      </w:r>
    </w:p>
    <w:p w14:paraId="6548CD18" w14:textId="77777777" w:rsidR="00CB0FCC" w:rsidRPr="000F54A7" w:rsidRDefault="00C47337">
      <w:pPr>
        <w:rPr>
          <w:rFonts w:ascii="Arial" w:hAnsi="Arial" w:cs="Arial"/>
          <w:b/>
          <w:sz w:val="28"/>
          <w:szCs w:val="28"/>
        </w:rPr>
      </w:pPr>
      <w:r w:rsidRPr="000F54A7">
        <w:rPr>
          <w:rFonts w:ascii="Arial" w:hAnsi="Arial" w:cs="Arial"/>
          <w:b/>
          <w:sz w:val="28"/>
          <w:szCs w:val="28"/>
        </w:rPr>
        <w:t>Progress report</w:t>
      </w:r>
      <w:r w:rsidR="00CB1A2E">
        <w:rPr>
          <w:rFonts w:ascii="Arial" w:hAnsi="Arial" w:cs="Arial"/>
          <w:b/>
          <w:sz w:val="28"/>
          <w:szCs w:val="28"/>
        </w:rPr>
        <w:t xml:space="preserve">, </w:t>
      </w:r>
      <w:r w:rsidR="00410715">
        <w:rPr>
          <w:rFonts w:ascii="Arial" w:hAnsi="Arial" w:cs="Arial"/>
          <w:b/>
          <w:sz w:val="28"/>
          <w:szCs w:val="28"/>
        </w:rPr>
        <w:t>September 2015</w:t>
      </w:r>
      <w:r w:rsidR="00CB1A2E">
        <w:rPr>
          <w:rFonts w:ascii="Arial" w:hAnsi="Arial" w:cs="Arial"/>
          <w:b/>
          <w:sz w:val="28"/>
          <w:szCs w:val="28"/>
        </w:rPr>
        <w:t xml:space="preserve"> </w:t>
      </w:r>
    </w:p>
    <w:p w14:paraId="34F0F107" w14:textId="77777777" w:rsidR="008C65A6" w:rsidRDefault="00C47337" w:rsidP="00C47337">
      <w:pPr>
        <w:rPr>
          <w:rFonts w:ascii="Arial" w:eastAsia="Times New Roman" w:hAnsi="Arial" w:cs="Arial"/>
          <w:color w:val="000000"/>
          <w:lang w:val="en" w:eastAsia="en-GB"/>
        </w:rPr>
      </w:pPr>
      <w:r w:rsidRPr="00C47337">
        <w:rPr>
          <w:rFonts w:ascii="Arial" w:eastAsia="Times New Roman" w:hAnsi="Arial" w:cs="Arial"/>
          <w:color w:val="000000"/>
          <w:lang w:val="en" w:eastAsia="en-GB"/>
        </w:rPr>
        <w:t xml:space="preserve">The Lake District National Park Partnership is committed to leading the way on climate change. The Lake District is one of the first local areas to set itself a carbon budget, as part of our Low-carbon Lake District initiative. </w:t>
      </w:r>
    </w:p>
    <w:p w14:paraId="1A5B752F" w14:textId="77777777" w:rsidR="00C47337" w:rsidRPr="00C47337" w:rsidRDefault="00C47337" w:rsidP="00C47337">
      <w:pPr>
        <w:rPr>
          <w:rFonts w:ascii="Arial" w:eastAsia="Times New Roman" w:hAnsi="Arial" w:cs="Arial"/>
          <w:color w:val="000000"/>
          <w:lang w:val="en" w:eastAsia="en-GB"/>
        </w:rPr>
      </w:pPr>
      <w:r w:rsidRPr="00C47337">
        <w:rPr>
          <w:rFonts w:ascii="Arial" w:eastAsia="Times New Roman" w:hAnsi="Arial" w:cs="Arial"/>
          <w:color w:val="000000"/>
          <w:lang w:val="en" w:eastAsia="en-GB"/>
        </w:rPr>
        <w:t>The principle behind a carbon budget is simple: like a financial budget, we aim to find out how much carbon the Lake District is responsible for, and then reduce the carbon ‘spend’ year on year.</w:t>
      </w:r>
    </w:p>
    <w:p w14:paraId="41AB452B" w14:textId="77777777" w:rsidR="008C65A6" w:rsidRDefault="008C65A6" w:rsidP="00CB0FCC">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We aim to reduce the emission of carbon and other greenhouse gases, measured on a consumption basis, by 1% per year, against a baseline of 2.3 million tonnes in 2010. The target tracks the national carbon budget, as set out in the 2008 Climate Change Act.</w:t>
      </w:r>
    </w:p>
    <w:p w14:paraId="62896C31" w14:textId="77777777" w:rsidR="008C65A6" w:rsidRDefault="008C65A6" w:rsidP="00CB0FCC">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 xml:space="preserve">The baseline was established through a carbon footprint analysis in 2010. This analysis, together with regular updates on progress, is available at </w:t>
      </w:r>
      <w:hyperlink r:id="rId8" w:history="1">
        <w:r w:rsidRPr="00B64E77">
          <w:rPr>
            <w:rStyle w:val="Hyperlink"/>
            <w:rFonts w:ascii="Arial" w:eastAsia="Times New Roman" w:hAnsi="Arial" w:cs="Arial"/>
            <w:lang w:eastAsia="en-GB"/>
          </w:rPr>
          <w:t>www.lakedistrict.gov.uk/carbonbudget</w:t>
        </w:r>
      </w:hyperlink>
      <w:r>
        <w:rPr>
          <w:rStyle w:val="apple-style-span"/>
          <w:rFonts w:ascii="Arial" w:eastAsia="Times New Roman" w:hAnsi="Arial" w:cs="Arial"/>
          <w:color w:val="000000"/>
          <w:lang w:eastAsia="en-GB"/>
        </w:rPr>
        <w:t xml:space="preserve"> .</w:t>
      </w:r>
    </w:p>
    <w:p w14:paraId="4D089161" w14:textId="77777777" w:rsidR="00EB6DD8" w:rsidRPr="008579F1" w:rsidRDefault="008C65A6" w:rsidP="008C65A6">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 xml:space="preserve">Progress </w:t>
      </w:r>
      <w:r w:rsidR="002331FF">
        <w:rPr>
          <w:rStyle w:val="apple-style-span"/>
          <w:rFonts w:ascii="Arial" w:eastAsia="Times New Roman" w:hAnsi="Arial" w:cs="Arial"/>
          <w:color w:val="000000"/>
          <w:lang w:eastAsia="en-GB"/>
        </w:rPr>
        <w:t xml:space="preserve">against the Partnership’s Climate Change Action Plan </w:t>
      </w:r>
      <w:r>
        <w:rPr>
          <w:rStyle w:val="apple-style-span"/>
          <w:rFonts w:ascii="Arial" w:eastAsia="Times New Roman" w:hAnsi="Arial" w:cs="Arial"/>
          <w:color w:val="000000"/>
          <w:lang w:eastAsia="en-GB"/>
        </w:rPr>
        <w:t xml:space="preserve">is </w:t>
      </w:r>
      <w:r w:rsidR="008579F1">
        <w:rPr>
          <w:rStyle w:val="apple-style-span"/>
          <w:rFonts w:ascii="Arial" w:eastAsia="Times New Roman" w:hAnsi="Arial" w:cs="Arial"/>
          <w:color w:val="000000"/>
          <w:lang w:eastAsia="en-GB"/>
        </w:rPr>
        <w:t xml:space="preserve">monitored regularly by the Climate Change Sub-group of the Partnership. Each year, Small World Consulting undertakes an </w:t>
      </w:r>
      <w:r w:rsidR="00EB6DD8">
        <w:rPr>
          <w:rStyle w:val="apple-style-span"/>
          <w:rFonts w:ascii="Arial" w:eastAsia="Times New Roman" w:hAnsi="Arial" w:cs="Arial"/>
          <w:color w:val="000000"/>
          <w:lang w:eastAsia="en-GB"/>
        </w:rPr>
        <w:t xml:space="preserve">audit of projects which aim to reduce carbon within the National Park, to assess carbon savings. </w:t>
      </w:r>
      <w:r w:rsidR="008579F1">
        <w:rPr>
          <w:rStyle w:val="apple-style-span"/>
          <w:rFonts w:ascii="Arial" w:eastAsia="Times New Roman" w:hAnsi="Arial" w:cs="Arial"/>
          <w:color w:val="000000"/>
          <w:lang w:eastAsia="en-GB"/>
        </w:rPr>
        <w:t xml:space="preserve">This informs </w:t>
      </w:r>
      <w:r>
        <w:rPr>
          <w:rStyle w:val="apple-style-span"/>
          <w:rFonts w:ascii="Arial" w:eastAsia="Times New Roman" w:hAnsi="Arial" w:cs="Arial"/>
          <w:color w:val="000000"/>
          <w:lang w:eastAsia="en-GB"/>
        </w:rPr>
        <w:t>the revision of the Partnership’s Plan each September.</w:t>
      </w:r>
    </w:p>
    <w:p w14:paraId="5CBE208F" w14:textId="77777777" w:rsidR="008C65A6" w:rsidRPr="008C65A6" w:rsidRDefault="00683DA3" w:rsidP="008C65A6">
      <w:pPr>
        <w:rPr>
          <w:rStyle w:val="apple-style-span"/>
          <w:rFonts w:ascii="Arial" w:eastAsia="Times New Roman" w:hAnsi="Arial" w:cs="Arial"/>
          <w:b/>
          <w:color w:val="000000"/>
          <w:lang w:eastAsia="en-GB"/>
        </w:rPr>
      </w:pPr>
      <w:r w:rsidRPr="008C65A6">
        <w:rPr>
          <w:rStyle w:val="apple-style-span"/>
          <w:rFonts w:ascii="Arial" w:eastAsia="Times New Roman" w:hAnsi="Arial" w:cs="Arial"/>
          <w:b/>
          <w:color w:val="000000"/>
          <w:lang w:eastAsia="en-GB"/>
        </w:rPr>
        <w:t xml:space="preserve">Progress </w:t>
      </w:r>
      <w:r w:rsidR="003C2444">
        <w:rPr>
          <w:rStyle w:val="apple-style-span"/>
          <w:rFonts w:ascii="Arial" w:eastAsia="Times New Roman" w:hAnsi="Arial" w:cs="Arial"/>
          <w:b/>
          <w:color w:val="000000"/>
          <w:lang w:eastAsia="en-GB"/>
        </w:rPr>
        <w:t xml:space="preserve">since </w:t>
      </w:r>
      <w:r w:rsidR="00410715">
        <w:rPr>
          <w:rStyle w:val="apple-style-span"/>
          <w:rFonts w:ascii="Arial" w:eastAsia="Times New Roman" w:hAnsi="Arial" w:cs="Arial"/>
          <w:b/>
          <w:color w:val="000000"/>
          <w:lang w:eastAsia="en-GB"/>
        </w:rPr>
        <w:t>2014: summary</w:t>
      </w:r>
    </w:p>
    <w:p w14:paraId="04F4047D" w14:textId="4E8DF7F7" w:rsidR="00410715" w:rsidRDefault="00EB6DD8" w:rsidP="008C65A6">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Small World</w:t>
      </w:r>
      <w:r w:rsidR="00601AEF">
        <w:rPr>
          <w:rStyle w:val="apple-style-span"/>
          <w:rFonts w:ascii="Arial" w:eastAsia="Times New Roman" w:hAnsi="Arial" w:cs="Arial"/>
          <w:color w:val="000000"/>
          <w:lang w:eastAsia="en-GB"/>
        </w:rPr>
        <w:t xml:space="preserve"> Consulting has identified measurable carbon savings of</w:t>
      </w:r>
      <w:r w:rsidR="001343F0">
        <w:rPr>
          <w:rStyle w:val="apple-style-span"/>
          <w:rFonts w:ascii="Arial" w:eastAsia="Times New Roman" w:hAnsi="Arial" w:cs="Arial"/>
          <w:color w:val="000000"/>
          <w:lang w:eastAsia="en-GB"/>
        </w:rPr>
        <w:t xml:space="preserve"> nearly 102,000 tonnes, excluding land management</w:t>
      </w:r>
      <w:r w:rsidR="007F3BB4">
        <w:rPr>
          <w:rStyle w:val="apple-style-span"/>
          <w:rFonts w:ascii="Arial" w:eastAsia="Times New Roman" w:hAnsi="Arial" w:cs="Arial"/>
          <w:color w:val="000000"/>
          <w:lang w:eastAsia="en-GB"/>
        </w:rPr>
        <w:t>.</w:t>
      </w:r>
      <w:r w:rsidR="001343F0">
        <w:rPr>
          <w:rStyle w:val="apple-style-span"/>
          <w:rFonts w:ascii="Arial" w:eastAsia="Times New Roman" w:hAnsi="Arial" w:cs="Arial"/>
          <w:color w:val="000000"/>
          <w:lang w:eastAsia="en-GB"/>
        </w:rPr>
        <w:t xml:space="preserve"> This represents 4.4% savings compared to the 2010 baseline, against a target of 5%. If savings from land management are included, under an optimistic scenario, savings rise to 1</w:t>
      </w:r>
      <w:r w:rsidR="00FE6022">
        <w:rPr>
          <w:rStyle w:val="apple-style-span"/>
          <w:rFonts w:ascii="Arial" w:eastAsia="Times New Roman" w:hAnsi="Arial" w:cs="Arial"/>
          <w:color w:val="000000"/>
          <w:lang w:eastAsia="en-GB"/>
        </w:rPr>
        <w:t>20</w:t>
      </w:r>
      <w:bookmarkStart w:id="0" w:name="_GoBack"/>
      <w:bookmarkEnd w:id="0"/>
      <w:r w:rsidR="001343F0">
        <w:rPr>
          <w:rStyle w:val="apple-style-span"/>
          <w:rFonts w:ascii="Arial" w:eastAsia="Times New Roman" w:hAnsi="Arial" w:cs="Arial"/>
          <w:color w:val="000000"/>
          <w:lang w:eastAsia="en-GB"/>
        </w:rPr>
        <w:t xml:space="preserve">,000 tonnes, or 5.2%. This means that we are about on target this year. </w:t>
      </w:r>
      <w:r w:rsidR="00410715">
        <w:rPr>
          <w:rStyle w:val="apple-style-span"/>
          <w:rFonts w:ascii="Arial" w:eastAsia="Times New Roman" w:hAnsi="Arial" w:cs="Arial"/>
          <w:color w:val="000000"/>
          <w:lang w:eastAsia="en-GB"/>
        </w:rPr>
        <w:t>However, as explained below, some of this progress is actually a result of better data collection.</w:t>
      </w:r>
    </w:p>
    <w:p w14:paraId="205CF086" w14:textId="77777777" w:rsidR="00410715" w:rsidRDefault="00410715" w:rsidP="008C65A6">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 xml:space="preserve">The main increase comes from the </w:t>
      </w:r>
      <w:proofErr w:type="spellStart"/>
      <w:r>
        <w:rPr>
          <w:rStyle w:val="apple-style-span"/>
          <w:rFonts w:ascii="Arial" w:eastAsia="Times New Roman" w:hAnsi="Arial" w:cs="Arial"/>
          <w:color w:val="000000"/>
          <w:lang w:eastAsia="en-GB"/>
        </w:rPr>
        <w:t>GoLakes</w:t>
      </w:r>
      <w:proofErr w:type="spellEnd"/>
      <w:r>
        <w:rPr>
          <w:rStyle w:val="apple-style-span"/>
          <w:rFonts w:ascii="Arial" w:eastAsia="Times New Roman" w:hAnsi="Arial" w:cs="Arial"/>
          <w:color w:val="000000"/>
          <w:lang w:eastAsia="en-GB"/>
        </w:rPr>
        <w:t xml:space="preserve"> Travel Programme, a three-year government funded project to promote alternatives to car use, which ended in </w:t>
      </w:r>
      <w:r w:rsidR="002331FF">
        <w:rPr>
          <w:rStyle w:val="apple-style-span"/>
          <w:rFonts w:ascii="Arial" w:eastAsia="Times New Roman" w:hAnsi="Arial" w:cs="Arial"/>
          <w:color w:val="000000"/>
          <w:lang w:eastAsia="en-GB"/>
        </w:rPr>
        <w:t xml:space="preserve">March </w:t>
      </w:r>
      <w:r>
        <w:rPr>
          <w:rStyle w:val="apple-style-span"/>
          <w:rFonts w:ascii="Arial" w:eastAsia="Times New Roman" w:hAnsi="Arial" w:cs="Arial"/>
          <w:color w:val="000000"/>
          <w:lang w:eastAsia="en-GB"/>
        </w:rPr>
        <w:t>201</w:t>
      </w:r>
      <w:r w:rsidR="002331FF">
        <w:rPr>
          <w:rStyle w:val="apple-style-span"/>
          <w:rFonts w:ascii="Arial" w:eastAsia="Times New Roman" w:hAnsi="Arial" w:cs="Arial"/>
          <w:color w:val="000000"/>
          <w:lang w:eastAsia="en-GB"/>
        </w:rPr>
        <w:t>5</w:t>
      </w:r>
      <w:r>
        <w:rPr>
          <w:rStyle w:val="apple-style-span"/>
          <w:rFonts w:ascii="Arial" w:eastAsia="Times New Roman" w:hAnsi="Arial" w:cs="Arial"/>
          <w:color w:val="000000"/>
          <w:lang w:eastAsia="en-GB"/>
        </w:rPr>
        <w:t>. The evaluation of the programme estimates a carbon saving of 42000 tonnes over the three-year period.</w:t>
      </w:r>
      <w:r w:rsidR="002B1501">
        <w:rPr>
          <w:rStyle w:val="apple-style-span"/>
          <w:rFonts w:ascii="Arial" w:eastAsia="Times New Roman" w:hAnsi="Arial" w:cs="Arial"/>
          <w:color w:val="000000"/>
          <w:lang w:eastAsia="en-GB"/>
        </w:rPr>
        <w:t xml:space="preserve"> This estimate is explained in the section below on ‘measurement’.</w:t>
      </w:r>
    </w:p>
    <w:p w14:paraId="557634D0" w14:textId="29A975D8" w:rsidR="00633074" w:rsidRDefault="00410715" w:rsidP="008C65A6">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Other significant initiatives resulting in carbon savings within the Lake District are listed at Annex A and include:</w:t>
      </w:r>
    </w:p>
    <w:p w14:paraId="00344393" w14:textId="77777777" w:rsidR="004E71C6" w:rsidRPr="00633074" w:rsidRDefault="004E71C6" w:rsidP="004E71C6">
      <w:pPr>
        <w:numPr>
          <w:ilvl w:val="0"/>
          <w:numId w:val="8"/>
        </w:numPr>
        <w:rPr>
          <w:rStyle w:val="apple-style-span"/>
          <w:rFonts w:ascii="Arial" w:eastAsia="Times New Roman" w:hAnsi="Arial" w:cs="Arial"/>
          <w:color w:val="000000"/>
          <w:lang w:eastAsia="en-GB"/>
        </w:rPr>
      </w:pPr>
      <w:r>
        <w:rPr>
          <w:rFonts w:ascii="Arial" w:eastAsia="Times New Roman" w:hAnsi="Arial" w:cs="Arial"/>
          <w:color w:val="000000"/>
          <w:lang w:eastAsia="en-GB"/>
        </w:rPr>
        <w:t>Around 5</w:t>
      </w:r>
      <w:r w:rsidRPr="00633074">
        <w:rPr>
          <w:rFonts w:ascii="Arial" w:eastAsia="Times New Roman" w:hAnsi="Arial" w:cs="Arial"/>
          <w:color w:val="000000"/>
          <w:lang w:eastAsia="en-GB"/>
        </w:rPr>
        <w:t>,000 tonnes of CO</w:t>
      </w:r>
      <w:r w:rsidRPr="007F3BB4">
        <w:rPr>
          <w:rFonts w:ascii="Arial" w:eastAsia="Times New Roman" w:hAnsi="Arial" w:cs="Arial"/>
          <w:color w:val="000000"/>
          <w:vertAlign w:val="subscript"/>
          <w:lang w:eastAsia="en-GB"/>
        </w:rPr>
        <w:t>2</w:t>
      </w:r>
      <w:r w:rsidRPr="00633074">
        <w:rPr>
          <w:rFonts w:ascii="Arial" w:eastAsia="Times New Roman" w:hAnsi="Arial" w:cs="Arial"/>
          <w:color w:val="000000"/>
          <w:lang w:eastAsia="en-GB"/>
        </w:rPr>
        <w:t xml:space="preserve"> saved from waste and recycling initiatives, including recycling, food waste, </w:t>
      </w:r>
      <w:proofErr w:type="gramStart"/>
      <w:r w:rsidRPr="00633074">
        <w:rPr>
          <w:rFonts w:ascii="Arial" w:eastAsia="Times New Roman" w:hAnsi="Arial" w:cs="Arial"/>
          <w:color w:val="000000"/>
          <w:lang w:eastAsia="en-GB"/>
        </w:rPr>
        <w:t>waste</w:t>
      </w:r>
      <w:proofErr w:type="gramEnd"/>
      <w:r w:rsidRPr="00633074">
        <w:rPr>
          <w:rFonts w:ascii="Arial" w:eastAsia="Times New Roman" w:hAnsi="Arial" w:cs="Arial"/>
          <w:color w:val="000000"/>
          <w:lang w:eastAsia="en-GB"/>
        </w:rPr>
        <w:t xml:space="preserve"> prevention and encouraging reuse</w:t>
      </w:r>
      <w:r>
        <w:rPr>
          <w:rFonts w:ascii="Arial" w:eastAsia="Times New Roman" w:hAnsi="Arial" w:cs="Arial"/>
          <w:color w:val="000000"/>
          <w:lang w:eastAsia="en-GB"/>
        </w:rPr>
        <w:t>.</w:t>
      </w:r>
    </w:p>
    <w:p w14:paraId="78169262" w14:textId="77777777" w:rsidR="001343F0" w:rsidRPr="00633074" w:rsidRDefault="00633074" w:rsidP="00633074">
      <w:pPr>
        <w:numPr>
          <w:ilvl w:val="0"/>
          <w:numId w:val="8"/>
        </w:numPr>
        <w:rPr>
          <w:rFonts w:ascii="Arial" w:eastAsia="Times New Roman" w:hAnsi="Arial" w:cs="Arial"/>
          <w:color w:val="000000"/>
          <w:lang w:eastAsia="en-GB"/>
        </w:rPr>
      </w:pPr>
      <w:r w:rsidRPr="00633074">
        <w:rPr>
          <w:rFonts w:ascii="Arial" w:eastAsia="Times New Roman" w:hAnsi="Arial" w:cs="Arial"/>
          <w:color w:val="000000"/>
          <w:lang w:eastAsia="en-GB"/>
        </w:rPr>
        <w:t>The Low-carbon Cottages Toolkit, designed by Nurture Lakeland to help owners of self-catering accommodation save energy, resulting in an estimated 184 tonnes of CO</w:t>
      </w:r>
      <w:r w:rsidRPr="007F3BB4">
        <w:rPr>
          <w:rFonts w:ascii="Arial" w:eastAsia="Times New Roman" w:hAnsi="Arial" w:cs="Arial"/>
          <w:color w:val="000000"/>
          <w:vertAlign w:val="subscript"/>
          <w:lang w:eastAsia="en-GB"/>
        </w:rPr>
        <w:t>2</w:t>
      </w:r>
      <w:r w:rsidRPr="00633074">
        <w:rPr>
          <w:rFonts w:ascii="Arial" w:eastAsia="Times New Roman" w:hAnsi="Arial" w:cs="Arial"/>
          <w:color w:val="000000"/>
          <w:lang w:eastAsia="en-GB"/>
        </w:rPr>
        <w:t xml:space="preserve"> saved</w:t>
      </w:r>
    </w:p>
    <w:p w14:paraId="14FAB084" w14:textId="77777777" w:rsidR="001343F0" w:rsidRPr="00633074" w:rsidRDefault="00633074" w:rsidP="00633074">
      <w:pPr>
        <w:numPr>
          <w:ilvl w:val="0"/>
          <w:numId w:val="8"/>
        </w:numPr>
        <w:rPr>
          <w:rFonts w:ascii="Arial" w:eastAsia="Times New Roman" w:hAnsi="Arial" w:cs="Arial"/>
          <w:color w:val="000000"/>
          <w:lang w:eastAsia="en-GB"/>
        </w:rPr>
      </w:pPr>
      <w:r w:rsidRPr="00633074">
        <w:rPr>
          <w:rFonts w:ascii="Arial" w:eastAsia="Times New Roman" w:hAnsi="Arial" w:cs="Arial"/>
          <w:color w:val="000000"/>
          <w:lang w:eastAsia="en-GB"/>
        </w:rPr>
        <w:t>The Green Build Festival, and energy advice services run by Cumbria Action for Sustainability, with a saving of approximately 30 tonnes altogether</w:t>
      </w:r>
    </w:p>
    <w:p w14:paraId="57D5E7D0" w14:textId="77777777" w:rsidR="00633074" w:rsidRDefault="00633074">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br w:type="page"/>
      </w:r>
    </w:p>
    <w:p w14:paraId="37ABFC54" w14:textId="77777777" w:rsidR="007C28DA" w:rsidRDefault="007C28DA" w:rsidP="003365D3">
      <w:pPr>
        <w:rPr>
          <w:rStyle w:val="apple-style-span"/>
          <w:rFonts w:ascii="Arial" w:eastAsia="Times New Roman" w:hAnsi="Arial" w:cs="Arial"/>
          <w:b/>
          <w:color w:val="000000"/>
          <w:lang w:eastAsia="en-GB"/>
        </w:rPr>
      </w:pPr>
      <w:r>
        <w:rPr>
          <w:rStyle w:val="apple-style-span"/>
          <w:rFonts w:ascii="Arial" w:eastAsia="Times New Roman" w:hAnsi="Arial" w:cs="Arial"/>
          <w:b/>
          <w:color w:val="000000"/>
          <w:lang w:eastAsia="en-GB"/>
        </w:rPr>
        <w:lastRenderedPageBreak/>
        <w:t>A note on measurement</w:t>
      </w:r>
    </w:p>
    <w:p w14:paraId="5BFC05DF" w14:textId="77777777" w:rsidR="002B1501" w:rsidRDefault="002B1501" w:rsidP="00585C20">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We continue to improve the way that we collect data on carbon savings. In particular:</w:t>
      </w:r>
    </w:p>
    <w:p w14:paraId="6E7A104E" w14:textId="77777777" w:rsidR="002B1501" w:rsidRDefault="002B1501" w:rsidP="00585C20">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 xml:space="preserve">a) </w:t>
      </w:r>
      <w:proofErr w:type="spellStart"/>
      <w:r>
        <w:rPr>
          <w:rFonts w:ascii="Arial" w:eastAsia="Times New Roman" w:hAnsi="Arial" w:cs="Arial"/>
          <w:color w:val="000000"/>
          <w:lang w:eastAsia="en-GB"/>
        </w:rPr>
        <w:t>GoLakes</w:t>
      </w:r>
      <w:proofErr w:type="spellEnd"/>
      <w:r>
        <w:rPr>
          <w:rFonts w:ascii="Arial" w:eastAsia="Times New Roman" w:hAnsi="Arial" w:cs="Arial"/>
          <w:color w:val="000000"/>
          <w:lang w:eastAsia="en-GB"/>
        </w:rPr>
        <w:t xml:space="preserve"> Travel Programme: A full evaluation of this three-year project was carried out, </w:t>
      </w:r>
      <w:r w:rsidR="00D735C4">
        <w:rPr>
          <w:rFonts w:ascii="Arial" w:eastAsia="Times New Roman" w:hAnsi="Arial" w:cs="Arial"/>
          <w:color w:val="000000"/>
          <w:lang w:eastAsia="en-GB"/>
        </w:rPr>
        <w:t xml:space="preserve">based on surveys of visitors to the Lake District before and after the Programme. This revealed estimated carbon savings of 42000 tonnes as a result of the Programme. </w:t>
      </w:r>
    </w:p>
    <w:p w14:paraId="5BD06770" w14:textId="15D8A524" w:rsidR="00D735C4" w:rsidRDefault="00D735C4" w:rsidP="00585C20">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b) Renewable Energy Installations: In 2014 we undertook a comprehensive survey of renewable energy installations in the National Park, resulting in a much better understanding and reporting of carbon savings from renewable energy. We updated the figures for 2015, showing a slight increase. The development management team at the National Park now routinely collect information about planning applications for renewables installations (including, for example, buildings that incorporate renewable heat or electricity generation in their design), which will help to improve reporting in future years.</w:t>
      </w:r>
    </w:p>
    <w:p w14:paraId="651D0B20" w14:textId="2F218B25" w:rsidR="00D735C4" w:rsidRDefault="00D735C4" w:rsidP="00D735C4">
      <w:pPr>
        <w:rPr>
          <w:rFonts w:ascii="Arial" w:hAnsi="Arial" w:cs="Arial"/>
        </w:rPr>
      </w:pPr>
      <w:r>
        <w:rPr>
          <w:rFonts w:ascii="Arial" w:eastAsia="Times New Roman" w:hAnsi="Arial" w:cs="Arial"/>
          <w:color w:val="000000"/>
          <w:lang w:eastAsia="en-GB"/>
        </w:rPr>
        <w:t xml:space="preserve">c) </w:t>
      </w:r>
      <w:r w:rsidR="00633074">
        <w:rPr>
          <w:rFonts w:ascii="Arial" w:eastAsia="Times New Roman" w:hAnsi="Arial" w:cs="Arial"/>
          <w:color w:val="000000"/>
          <w:lang w:eastAsia="en-GB"/>
        </w:rPr>
        <w:t xml:space="preserve">Carbon saving from land management: </w:t>
      </w:r>
      <w:r>
        <w:rPr>
          <w:rFonts w:ascii="Arial" w:eastAsia="Times New Roman" w:hAnsi="Arial" w:cs="Arial"/>
          <w:color w:val="000000"/>
          <w:lang w:eastAsia="en-GB"/>
        </w:rPr>
        <w:t>In 2014 we significantly improved the way that we measure carbon savings from woodland creation</w:t>
      </w:r>
      <w:r w:rsidR="00DC1135">
        <w:rPr>
          <w:rFonts w:ascii="Arial" w:eastAsia="Times New Roman" w:hAnsi="Arial" w:cs="Arial"/>
          <w:color w:val="000000"/>
          <w:lang w:eastAsia="en-GB"/>
        </w:rPr>
        <w:t xml:space="preserve">, and will look to make similar improvements to the way we measure savings </w:t>
      </w:r>
      <w:r w:rsidR="004E71C6">
        <w:rPr>
          <w:rFonts w:ascii="Arial" w:eastAsia="Times New Roman" w:hAnsi="Arial" w:cs="Arial"/>
          <w:color w:val="000000"/>
          <w:lang w:eastAsia="en-GB"/>
        </w:rPr>
        <w:t>from peatland</w:t>
      </w:r>
      <w:r>
        <w:rPr>
          <w:rFonts w:ascii="Arial" w:eastAsia="Times New Roman" w:hAnsi="Arial" w:cs="Arial"/>
          <w:color w:val="000000"/>
          <w:lang w:eastAsia="en-GB"/>
        </w:rPr>
        <w:t xml:space="preserve"> </w:t>
      </w:r>
      <w:r w:rsidR="00DC1135">
        <w:rPr>
          <w:rFonts w:ascii="Arial" w:eastAsia="Times New Roman" w:hAnsi="Arial" w:cs="Arial"/>
          <w:color w:val="000000"/>
          <w:lang w:eastAsia="en-GB"/>
        </w:rPr>
        <w:t xml:space="preserve">restoration in future years. </w:t>
      </w:r>
      <w:r w:rsidRPr="00EF2B30">
        <w:rPr>
          <w:rFonts w:ascii="Arial" w:hAnsi="Arial" w:cs="Arial"/>
        </w:rPr>
        <w:t>See Annex B for the assumptions behind these calculations.</w:t>
      </w:r>
      <w:r>
        <w:rPr>
          <w:rFonts w:ascii="Arial" w:hAnsi="Arial" w:cs="Arial"/>
        </w:rPr>
        <w:t xml:space="preserve"> In 2015 we have not updated these figures due to time constraints.</w:t>
      </w:r>
      <w:r w:rsidR="002331FF">
        <w:rPr>
          <w:rFonts w:ascii="Arial" w:hAnsi="Arial" w:cs="Arial"/>
        </w:rPr>
        <w:t xml:space="preserve"> </w:t>
      </w:r>
    </w:p>
    <w:p w14:paraId="2640C9DB" w14:textId="77777777" w:rsidR="000F54A7" w:rsidRPr="00585C20" w:rsidRDefault="00D735C4" w:rsidP="0022003D">
      <w:pPr>
        <w:rPr>
          <w:rStyle w:val="apple-style-span"/>
          <w:rFonts w:ascii="Arial" w:eastAsia="Times New Roman" w:hAnsi="Arial" w:cs="Arial"/>
          <w:color w:val="000000"/>
          <w:lang w:eastAsia="en-GB"/>
        </w:rPr>
      </w:pPr>
      <w:r>
        <w:rPr>
          <w:rFonts w:ascii="Arial" w:hAnsi="Arial" w:cs="Arial"/>
        </w:rPr>
        <w:t>It should be noted that</w:t>
      </w:r>
      <w:r w:rsidR="005B7457">
        <w:rPr>
          <w:rFonts w:ascii="Arial" w:hAnsi="Arial" w:cs="Arial"/>
        </w:rPr>
        <w:t>,</w:t>
      </w:r>
      <w:r>
        <w:rPr>
          <w:rFonts w:ascii="Arial" w:hAnsi="Arial" w:cs="Arial"/>
        </w:rPr>
        <w:t xml:space="preserve"> </w:t>
      </w:r>
      <w:r>
        <w:rPr>
          <w:rFonts w:ascii="Arial" w:eastAsia="Times New Roman" w:hAnsi="Arial" w:cs="Arial"/>
          <w:color w:val="000000"/>
          <w:lang w:eastAsia="en-GB"/>
        </w:rPr>
        <w:t>in</w:t>
      </w:r>
      <w:r w:rsidR="00F46EA4">
        <w:rPr>
          <w:rFonts w:ascii="Arial" w:eastAsia="Times New Roman" w:hAnsi="Arial" w:cs="Arial"/>
          <w:color w:val="000000"/>
          <w:lang w:eastAsia="en-GB"/>
        </w:rPr>
        <w:t xml:space="preserve"> addition to these savings, there are actions which will result in carbon savings, </w:t>
      </w:r>
      <w:r w:rsidR="008C65A6" w:rsidRPr="00CB0FCC">
        <w:rPr>
          <w:rFonts w:ascii="Arial" w:eastAsia="Times New Roman" w:hAnsi="Arial" w:cs="Arial"/>
          <w:color w:val="000000"/>
          <w:lang w:eastAsia="en-GB"/>
        </w:rPr>
        <w:t>but can’t be easily estimated. For example, the switch to superfast broadband may result in reduced business travel, but we don’t have a good way of estimating sav</w:t>
      </w:r>
      <w:r w:rsidR="008B7606">
        <w:rPr>
          <w:rFonts w:ascii="Arial" w:eastAsia="Times New Roman" w:hAnsi="Arial" w:cs="Arial"/>
          <w:color w:val="000000"/>
          <w:lang w:eastAsia="en-GB"/>
        </w:rPr>
        <w:t>ings. There may</w:t>
      </w:r>
      <w:r w:rsidR="00601AEF">
        <w:rPr>
          <w:rFonts w:ascii="Arial" w:eastAsia="Times New Roman" w:hAnsi="Arial" w:cs="Arial"/>
          <w:color w:val="000000"/>
          <w:lang w:eastAsia="en-GB"/>
        </w:rPr>
        <w:t xml:space="preserve"> also be actions which increase carbon emissions</w:t>
      </w:r>
      <w:r w:rsidR="00601AEF" w:rsidRPr="008B7606">
        <w:rPr>
          <w:rFonts w:ascii="Arial" w:eastAsia="Times New Roman" w:hAnsi="Arial" w:cs="Arial"/>
          <w:color w:val="000000"/>
          <w:lang w:eastAsia="en-GB"/>
        </w:rPr>
        <w:t xml:space="preserve">, </w:t>
      </w:r>
      <w:r w:rsidR="008B7606" w:rsidRPr="008B7606">
        <w:rPr>
          <w:rFonts w:ascii="Arial" w:eastAsia="Times New Roman" w:hAnsi="Arial" w:cs="Arial"/>
          <w:color w:val="000000"/>
          <w:lang w:eastAsia="en-GB"/>
        </w:rPr>
        <w:t>such as</w:t>
      </w:r>
      <w:r w:rsidR="00601AEF" w:rsidRPr="008B7606">
        <w:rPr>
          <w:rFonts w:ascii="Arial" w:eastAsia="Times New Roman" w:hAnsi="Arial" w:cs="Arial"/>
          <w:color w:val="000000"/>
          <w:lang w:eastAsia="en-GB"/>
        </w:rPr>
        <w:t xml:space="preserve"> </w:t>
      </w:r>
      <w:r w:rsidR="008B7606" w:rsidRPr="008B7606">
        <w:rPr>
          <w:rFonts w:ascii="Arial" w:eastAsia="Times New Roman" w:hAnsi="Arial" w:cs="Arial"/>
          <w:color w:val="000000"/>
          <w:lang w:eastAsia="en-GB"/>
        </w:rPr>
        <w:t>new construction</w:t>
      </w:r>
      <w:r w:rsidR="008B7606">
        <w:rPr>
          <w:rFonts w:ascii="Arial" w:eastAsia="Times New Roman" w:hAnsi="Arial" w:cs="Arial"/>
          <w:color w:val="000000"/>
          <w:lang w:eastAsia="en-GB"/>
        </w:rPr>
        <w:t xml:space="preserve"> or increased traffic, </w:t>
      </w:r>
      <w:r w:rsidR="00601AEF">
        <w:rPr>
          <w:rFonts w:ascii="Arial" w:eastAsia="Times New Roman" w:hAnsi="Arial" w:cs="Arial"/>
          <w:color w:val="000000"/>
          <w:lang w:eastAsia="en-GB"/>
        </w:rPr>
        <w:t>which we have not been able to measure.</w:t>
      </w:r>
    </w:p>
    <w:p w14:paraId="1E8C9A5F" w14:textId="77777777" w:rsidR="008C65A6" w:rsidRPr="000F2B5A" w:rsidRDefault="00C82694" w:rsidP="008C65A6">
      <w:pPr>
        <w:rPr>
          <w:rStyle w:val="apple-style-span"/>
          <w:rFonts w:ascii="Arial" w:eastAsia="Times New Roman" w:hAnsi="Arial" w:cs="Arial"/>
          <w:b/>
          <w:color w:val="000000"/>
          <w:lang w:eastAsia="en-GB"/>
        </w:rPr>
      </w:pPr>
      <w:r w:rsidRPr="000F2B5A">
        <w:rPr>
          <w:rStyle w:val="apple-style-span"/>
          <w:rFonts w:ascii="Arial" w:eastAsia="Times New Roman" w:hAnsi="Arial" w:cs="Arial"/>
          <w:b/>
          <w:color w:val="000000"/>
          <w:lang w:eastAsia="en-GB"/>
        </w:rPr>
        <w:t>Progress against the target</w:t>
      </w:r>
    </w:p>
    <w:p w14:paraId="130AF0C0" w14:textId="6233976C" w:rsidR="000F2B5A" w:rsidRPr="000F2B5A" w:rsidRDefault="008B7606" w:rsidP="00974234">
      <w:pPr>
        <w:rPr>
          <w:rStyle w:val="apple-style-span"/>
          <w:rFonts w:ascii="Arial" w:eastAsia="Times New Roman" w:hAnsi="Arial" w:cs="Arial"/>
          <w:color w:val="000000"/>
          <w:lang w:eastAsia="en-GB"/>
        </w:rPr>
      </w:pPr>
      <w:r w:rsidRPr="008033BD">
        <w:rPr>
          <w:rStyle w:val="apple-style-span"/>
          <w:rFonts w:ascii="Arial" w:eastAsia="Times New Roman" w:hAnsi="Arial" w:cs="Arial"/>
          <w:color w:val="000000"/>
          <w:lang w:eastAsia="en-GB"/>
        </w:rPr>
        <w:t>We have seen an increase in carbon savings</w:t>
      </w:r>
      <w:r w:rsidR="005B7457">
        <w:rPr>
          <w:rStyle w:val="apple-style-span"/>
          <w:rFonts w:ascii="Arial" w:eastAsia="Times New Roman" w:hAnsi="Arial" w:cs="Arial"/>
          <w:color w:val="000000"/>
          <w:lang w:eastAsia="en-GB"/>
        </w:rPr>
        <w:t xml:space="preserve">, due in large part to the success of the </w:t>
      </w:r>
      <w:proofErr w:type="spellStart"/>
      <w:r w:rsidR="005B7457">
        <w:rPr>
          <w:rStyle w:val="apple-style-span"/>
          <w:rFonts w:ascii="Arial" w:eastAsia="Times New Roman" w:hAnsi="Arial" w:cs="Arial"/>
          <w:color w:val="000000"/>
          <w:lang w:eastAsia="en-GB"/>
        </w:rPr>
        <w:t>GoLakes</w:t>
      </w:r>
      <w:proofErr w:type="spellEnd"/>
      <w:r w:rsidR="005B7457">
        <w:rPr>
          <w:rStyle w:val="apple-style-span"/>
          <w:rFonts w:ascii="Arial" w:eastAsia="Times New Roman" w:hAnsi="Arial" w:cs="Arial"/>
          <w:color w:val="000000"/>
          <w:lang w:eastAsia="en-GB"/>
        </w:rPr>
        <w:t xml:space="preserve"> Travel Project. </w:t>
      </w:r>
      <w:r w:rsidR="00B11F20">
        <w:rPr>
          <w:rStyle w:val="apple-style-span"/>
          <w:rFonts w:ascii="Arial" w:eastAsia="Times New Roman" w:hAnsi="Arial" w:cs="Arial"/>
          <w:color w:val="000000"/>
          <w:lang w:eastAsia="en-GB"/>
        </w:rPr>
        <w:t xml:space="preserve">As a result we </w:t>
      </w:r>
      <w:r w:rsidR="001343F0">
        <w:rPr>
          <w:rStyle w:val="apple-style-span"/>
          <w:rFonts w:ascii="Arial" w:eastAsia="Times New Roman" w:hAnsi="Arial" w:cs="Arial"/>
          <w:color w:val="000000"/>
          <w:lang w:eastAsia="en-GB"/>
        </w:rPr>
        <w:t xml:space="preserve">are nearly meeting our target. </w:t>
      </w:r>
      <w:r w:rsidR="008033BD" w:rsidRPr="00EF2B30">
        <w:rPr>
          <w:rStyle w:val="apple-style-span"/>
          <w:rFonts w:ascii="Arial" w:eastAsia="Times New Roman" w:hAnsi="Arial" w:cs="Arial"/>
          <w:color w:val="000000"/>
          <w:lang w:eastAsia="en-GB"/>
        </w:rPr>
        <w:t xml:space="preserve">We are saving </w:t>
      </w:r>
      <w:r w:rsidR="001343F0">
        <w:rPr>
          <w:rStyle w:val="apple-style-span"/>
          <w:rFonts w:ascii="Arial" w:eastAsia="Times New Roman" w:hAnsi="Arial" w:cs="Arial"/>
          <w:color w:val="000000"/>
          <w:lang w:eastAsia="en-GB"/>
        </w:rPr>
        <w:t>102</w:t>
      </w:r>
      <w:r w:rsidR="00C328CD">
        <w:rPr>
          <w:rStyle w:val="apple-style-span"/>
          <w:rFonts w:ascii="Arial" w:eastAsia="Times New Roman" w:hAnsi="Arial" w:cs="Arial"/>
          <w:color w:val="000000"/>
          <w:lang w:eastAsia="en-GB"/>
        </w:rPr>
        <w:t>,0</w:t>
      </w:r>
      <w:r w:rsidR="00D67301">
        <w:rPr>
          <w:rStyle w:val="apple-style-span"/>
          <w:rFonts w:ascii="Arial" w:eastAsia="Times New Roman" w:hAnsi="Arial" w:cs="Arial"/>
          <w:color w:val="000000"/>
          <w:lang w:eastAsia="en-GB"/>
        </w:rPr>
        <w:t>00</w:t>
      </w:r>
      <w:r w:rsidR="005B7457" w:rsidRPr="00EF2B30">
        <w:rPr>
          <w:rStyle w:val="apple-style-span"/>
          <w:rFonts w:ascii="Arial" w:eastAsia="Times New Roman" w:hAnsi="Arial" w:cs="Arial"/>
          <w:color w:val="000000"/>
          <w:lang w:eastAsia="en-GB"/>
        </w:rPr>
        <w:t xml:space="preserve"> </w:t>
      </w:r>
      <w:r w:rsidR="00C82694" w:rsidRPr="00EF2B30">
        <w:rPr>
          <w:rStyle w:val="apple-style-span"/>
          <w:rFonts w:ascii="Arial" w:eastAsia="Times New Roman" w:hAnsi="Arial" w:cs="Arial"/>
          <w:color w:val="000000"/>
          <w:lang w:eastAsia="en-GB"/>
        </w:rPr>
        <w:t>tonnes</w:t>
      </w:r>
      <w:r w:rsidR="00D851D0">
        <w:rPr>
          <w:rStyle w:val="apple-style-span"/>
          <w:rFonts w:ascii="Arial" w:eastAsia="Times New Roman" w:hAnsi="Arial" w:cs="Arial"/>
          <w:color w:val="000000"/>
          <w:lang w:eastAsia="en-GB"/>
        </w:rPr>
        <w:t xml:space="preserve"> under a mid-range assessment,</w:t>
      </w:r>
      <w:r w:rsidR="008033BD" w:rsidRPr="00EF2B30">
        <w:rPr>
          <w:rStyle w:val="apple-style-span"/>
          <w:rFonts w:ascii="Arial" w:eastAsia="Times New Roman" w:hAnsi="Arial" w:cs="Arial"/>
          <w:color w:val="000000"/>
          <w:lang w:eastAsia="en-GB"/>
        </w:rPr>
        <w:t xml:space="preserve"> </w:t>
      </w:r>
      <w:r w:rsidR="00D67301">
        <w:rPr>
          <w:rStyle w:val="apple-style-span"/>
          <w:rFonts w:ascii="Arial" w:eastAsia="Times New Roman" w:hAnsi="Arial" w:cs="Arial"/>
          <w:color w:val="000000"/>
          <w:lang w:eastAsia="en-GB"/>
        </w:rPr>
        <w:t xml:space="preserve">or </w:t>
      </w:r>
      <w:r w:rsidR="001343F0">
        <w:rPr>
          <w:rStyle w:val="apple-style-span"/>
          <w:rFonts w:ascii="Arial" w:eastAsia="Times New Roman" w:hAnsi="Arial" w:cs="Arial"/>
          <w:color w:val="000000"/>
          <w:lang w:eastAsia="en-GB"/>
        </w:rPr>
        <w:t>4.4</w:t>
      </w:r>
      <w:r w:rsidR="008033BD" w:rsidRPr="00EF2B30">
        <w:rPr>
          <w:rStyle w:val="apple-style-span"/>
          <w:rFonts w:ascii="Arial" w:eastAsia="Times New Roman" w:hAnsi="Arial" w:cs="Arial"/>
          <w:color w:val="000000"/>
          <w:lang w:eastAsia="en-GB"/>
        </w:rPr>
        <w:t xml:space="preserve">% of the baseline, </w:t>
      </w:r>
      <w:r w:rsidR="001343F0">
        <w:rPr>
          <w:rStyle w:val="apple-style-span"/>
          <w:rFonts w:ascii="Arial" w:eastAsia="Times New Roman" w:hAnsi="Arial" w:cs="Arial"/>
          <w:color w:val="000000"/>
          <w:lang w:eastAsia="en-GB"/>
        </w:rPr>
        <w:t>nearly meeting</w:t>
      </w:r>
      <w:r w:rsidR="00D67301">
        <w:rPr>
          <w:rStyle w:val="apple-style-span"/>
          <w:rFonts w:ascii="Arial" w:eastAsia="Times New Roman" w:hAnsi="Arial" w:cs="Arial"/>
          <w:color w:val="000000"/>
          <w:lang w:eastAsia="en-GB"/>
        </w:rPr>
        <w:t xml:space="preserve"> the target of 115,000 tonnes</w:t>
      </w:r>
      <w:r w:rsidR="00D851D0">
        <w:rPr>
          <w:rStyle w:val="apple-style-span"/>
          <w:rFonts w:ascii="Arial" w:eastAsia="Times New Roman" w:hAnsi="Arial" w:cs="Arial"/>
          <w:color w:val="000000"/>
          <w:lang w:eastAsia="en-GB"/>
        </w:rPr>
        <w:t>, or 5% savings after five years</w:t>
      </w:r>
      <w:r w:rsidR="00D67301">
        <w:rPr>
          <w:rStyle w:val="apple-style-span"/>
          <w:rFonts w:ascii="Arial" w:eastAsia="Times New Roman" w:hAnsi="Arial" w:cs="Arial"/>
          <w:color w:val="000000"/>
          <w:lang w:eastAsia="en-GB"/>
        </w:rPr>
        <w:t xml:space="preserve">. Note that this figure </w:t>
      </w:r>
      <w:r w:rsidR="00D851D0">
        <w:rPr>
          <w:rStyle w:val="apple-style-span"/>
          <w:rFonts w:ascii="Arial" w:eastAsia="Times New Roman" w:hAnsi="Arial" w:cs="Arial"/>
          <w:color w:val="000000"/>
          <w:lang w:eastAsia="en-GB"/>
        </w:rPr>
        <w:t>does not include</w:t>
      </w:r>
      <w:r w:rsidR="00D67301">
        <w:rPr>
          <w:rStyle w:val="apple-style-span"/>
          <w:rFonts w:ascii="Arial" w:eastAsia="Times New Roman" w:hAnsi="Arial" w:cs="Arial"/>
          <w:color w:val="000000"/>
          <w:lang w:eastAsia="en-GB"/>
        </w:rPr>
        <w:t xml:space="preserve"> </w:t>
      </w:r>
      <w:r w:rsidR="00D851D0">
        <w:rPr>
          <w:rStyle w:val="apple-style-span"/>
          <w:rFonts w:ascii="Arial" w:eastAsia="Times New Roman" w:hAnsi="Arial" w:cs="Arial"/>
          <w:color w:val="000000"/>
          <w:lang w:eastAsia="en-GB"/>
        </w:rPr>
        <w:t>carbon savings from land management.</w:t>
      </w:r>
    </w:p>
    <w:p w14:paraId="76A5A0A7" w14:textId="584B6EEC" w:rsidR="00D851D0" w:rsidRDefault="00C82694" w:rsidP="00974234">
      <w:pPr>
        <w:rPr>
          <w:rStyle w:val="apple-style-span"/>
          <w:rFonts w:ascii="Arial" w:eastAsia="Times New Roman" w:hAnsi="Arial" w:cs="Arial"/>
          <w:color w:val="000000"/>
          <w:lang w:eastAsia="en-GB"/>
        </w:rPr>
      </w:pPr>
      <w:r w:rsidRPr="000F2B5A">
        <w:rPr>
          <w:rStyle w:val="apple-style-span"/>
          <w:rFonts w:ascii="Arial" w:eastAsia="Times New Roman" w:hAnsi="Arial" w:cs="Arial"/>
          <w:color w:val="000000"/>
          <w:lang w:eastAsia="en-GB"/>
        </w:rPr>
        <w:t>The graph below shows our performance against the target</w:t>
      </w:r>
      <w:r w:rsidR="00D851D0">
        <w:rPr>
          <w:rStyle w:val="apple-style-span"/>
          <w:rFonts w:ascii="Arial" w:eastAsia="Times New Roman" w:hAnsi="Arial" w:cs="Arial"/>
          <w:color w:val="000000"/>
          <w:lang w:eastAsia="en-GB"/>
        </w:rPr>
        <w:t xml:space="preserve">, using ‘optimistic’ </w:t>
      </w:r>
      <w:r w:rsidR="00C328CD">
        <w:rPr>
          <w:rStyle w:val="apple-style-span"/>
          <w:rFonts w:ascii="Arial" w:eastAsia="Times New Roman" w:hAnsi="Arial" w:cs="Arial"/>
          <w:color w:val="000000"/>
          <w:lang w:eastAsia="en-GB"/>
        </w:rPr>
        <w:t>and</w:t>
      </w:r>
      <w:r w:rsidR="00D851D0">
        <w:rPr>
          <w:rStyle w:val="apple-style-span"/>
          <w:rFonts w:ascii="Arial" w:eastAsia="Times New Roman" w:hAnsi="Arial" w:cs="Arial"/>
          <w:color w:val="000000"/>
          <w:lang w:eastAsia="en-GB"/>
        </w:rPr>
        <w:t xml:space="preserve"> ‘mid-range’ assumptions.</w:t>
      </w:r>
    </w:p>
    <w:p w14:paraId="3B2A41FB" w14:textId="51213C7A" w:rsidR="000F668C" w:rsidRPr="004E71C6" w:rsidRDefault="00D851D0" w:rsidP="00CB0FCC">
      <w:pPr>
        <w:rPr>
          <w:rFonts w:ascii="Arial" w:eastAsia="Times New Roman" w:hAnsi="Arial" w:cs="Arial"/>
          <w:color w:val="000000"/>
          <w:lang w:eastAsia="en-GB"/>
        </w:rPr>
      </w:pPr>
      <w:r>
        <w:rPr>
          <w:rStyle w:val="apple-style-span"/>
          <w:rFonts w:ascii="Arial" w:eastAsia="Times New Roman" w:hAnsi="Arial" w:cs="Arial"/>
          <w:color w:val="000000"/>
          <w:lang w:eastAsia="en-GB"/>
        </w:rPr>
        <w:t xml:space="preserve"> </w:t>
      </w:r>
      <w:r w:rsidR="001343F0">
        <w:rPr>
          <w:noProof/>
          <w:lang w:eastAsia="en-GB"/>
        </w:rPr>
        <w:drawing>
          <wp:inline distT="0" distB="0" distL="0" distR="0" wp14:anchorId="5A92E744" wp14:editId="5B4620B7">
            <wp:extent cx="5486400" cy="2614295"/>
            <wp:effectExtent l="0" t="0" r="2540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0954F1" w14:textId="2232CD6F" w:rsidR="000F668C" w:rsidRPr="00EF2B30" w:rsidRDefault="002048DA" w:rsidP="00CB0FCC">
      <w:pPr>
        <w:rPr>
          <w:noProof/>
          <w:lang w:val="en-US"/>
        </w:rPr>
      </w:pPr>
      <w:r w:rsidRPr="00EF2B30">
        <w:rPr>
          <w:rFonts w:ascii="Arial" w:hAnsi="Arial" w:cs="Arial"/>
          <w:b/>
          <w:i/>
          <w:color w:val="000000"/>
          <w:sz w:val="20"/>
          <w:szCs w:val="20"/>
        </w:rPr>
        <w:t xml:space="preserve">Progress towards year </w:t>
      </w:r>
      <w:r w:rsidR="005B7457">
        <w:rPr>
          <w:rFonts w:ascii="Arial" w:hAnsi="Arial" w:cs="Arial"/>
          <w:b/>
          <w:i/>
          <w:color w:val="000000"/>
          <w:sz w:val="20"/>
          <w:szCs w:val="20"/>
        </w:rPr>
        <w:t>5</w:t>
      </w:r>
      <w:r w:rsidR="005B7457" w:rsidRPr="00EF2B30">
        <w:rPr>
          <w:rFonts w:ascii="Arial" w:hAnsi="Arial" w:cs="Arial"/>
          <w:b/>
          <w:i/>
          <w:color w:val="000000"/>
          <w:sz w:val="20"/>
          <w:szCs w:val="20"/>
        </w:rPr>
        <w:t xml:space="preserve"> </w:t>
      </w:r>
      <w:r w:rsidRPr="00EF2B30">
        <w:rPr>
          <w:rFonts w:ascii="Arial" w:hAnsi="Arial" w:cs="Arial"/>
          <w:b/>
          <w:i/>
          <w:color w:val="000000"/>
          <w:sz w:val="20"/>
          <w:szCs w:val="20"/>
        </w:rPr>
        <w:t xml:space="preserve">reduction target of </w:t>
      </w:r>
      <w:r w:rsidR="005B7457">
        <w:rPr>
          <w:rFonts w:ascii="Arial" w:hAnsi="Arial" w:cs="Arial"/>
          <w:b/>
          <w:i/>
          <w:color w:val="000000"/>
          <w:sz w:val="20"/>
          <w:szCs w:val="20"/>
        </w:rPr>
        <w:t>115</w:t>
      </w:r>
      <w:r w:rsidRPr="00EF2B30">
        <w:rPr>
          <w:rFonts w:ascii="Arial" w:hAnsi="Arial" w:cs="Arial"/>
          <w:b/>
          <w:i/>
          <w:color w:val="000000"/>
          <w:sz w:val="20"/>
          <w:szCs w:val="20"/>
        </w:rPr>
        <w:t>,000 tonnes CO2e</w:t>
      </w:r>
      <w:r w:rsidR="009E3278">
        <w:rPr>
          <w:rFonts w:ascii="Arial" w:hAnsi="Arial" w:cs="Arial"/>
          <w:b/>
          <w:i/>
          <w:color w:val="000000"/>
          <w:sz w:val="20"/>
          <w:szCs w:val="20"/>
        </w:rPr>
        <w:t>, not including land management</w:t>
      </w:r>
      <w:r w:rsidR="000461D9">
        <w:rPr>
          <w:rFonts w:ascii="Arial" w:hAnsi="Arial" w:cs="Arial"/>
          <w:b/>
          <w:i/>
          <w:color w:val="000000"/>
          <w:sz w:val="20"/>
          <w:szCs w:val="20"/>
        </w:rPr>
        <w:t xml:space="preserve"> </w:t>
      </w:r>
    </w:p>
    <w:p w14:paraId="1AE98862" w14:textId="7088F8CB" w:rsidR="00EA7160" w:rsidRDefault="00EA7160" w:rsidP="00CB0FCC">
      <w:pPr>
        <w:rPr>
          <w:rFonts w:ascii="Arial" w:hAnsi="Arial" w:cs="Arial"/>
          <w:noProof/>
          <w:lang w:val="en-US"/>
        </w:rPr>
      </w:pPr>
      <w:r w:rsidRPr="00EF2B30">
        <w:rPr>
          <w:rFonts w:ascii="Arial" w:hAnsi="Arial" w:cs="Arial"/>
          <w:noProof/>
          <w:lang w:val="en-US"/>
        </w:rPr>
        <w:lastRenderedPageBreak/>
        <w:t xml:space="preserve">If land management (carbon savings from woodland creation, and </w:t>
      </w:r>
      <w:r w:rsidR="00141C45" w:rsidRPr="00EF2B30">
        <w:rPr>
          <w:rFonts w:ascii="Arial" w:hAnsi="Arial" w:cs="Arial"/>
          <w:noProof/>
          <w:lang w:val="en-US"/>
        </w:rPr>
        <w:t xml:space="preserve">restoration of </w:t>
      </w:r>
      <w:r w:rsidRPr="00EF2B30">
        <w:rPr>
          <w:rFonts w:ascii="Arial" w:hAnsi="Arial" w:cs="Arial"/>
          <w:noProof/>
          <w:lang w:val="en-US"/>
        </w:rPr>
        <w:t xml:space="preserve">peatland) is included, and we take an optimistic scenario, </w:t>
      </w:r>
      <w:r w:rsidR="001343F0">
        <w:rPr>
          <w:rFonts w:ascii="Arial" w:hAnsi="Arial" w:cs="Arial"/>
          <w:noProof/>
          <w:lang w:val="en-US"/>
        </w:rPr>
        <w:t>our target is exceeded. The t</w:t>
      </w:r>
      <w:r w:rsidR="00D851D0">
        <w:rPr>
          <w:rFonts w:ascii="Arial" w:hAnsi="Arial" w:cs="Arial"/>
          <w:noProof/>
          <w:lang w:val="en-US"/>
        </w:rPr>
        <w:t xml:space="preserve">otal savings are </w:t>
      </w:r>
      <w:r w:rsidR="001343F0">
        <w:rPr>
          <w:rFonts w:ascii="Arial" w:hAnsi="Arial" w:cs="Arial"/>
          <w:noProof/>
          <w:lang w:val="en-US"/>
        </w:rPr>
        <w:t xml:space="preserve"> nearly 120,000 tonnes, or 5.2</w:t>
      </w:r>
      <w:r w:rsidR="00D851D0">
        <w:rPr>
          <w:rFonts w:ascii="Arial" w:hAnsi="Arial" w:cs="Arial"/>
          <w:noProof/>
          <w:lang w:val="en-US"/>
        </w:rPr>
        <w:t xml:space="preserve">% </w:t>
      </w:r>
      <w:r w:rsidR="001343F0">
        <w:rPr>
          <w:rFonts w:ascii="Arial" w:hAnsi="Arial" w:cs="Arial"/>
          <w:noProof/>
          <w:lang w:val="en-US"/>
        </w:rPr>
        <w:t>of the 2010 baseline</w:t>
      </w:r>
      <w:r w:rsidR="004E71C6">
        <w:rPr>
          <w:rFonts w:ascii="Arial" w:hAnsi="Arial" w:cs="Arial"/>
          <w:noProof/>
          <w:lang w:val="en-US"/>
        </w:rPr>
        <w:t>.</w:t>
      </w:r>
    </w:p>
    <w:p w14:paraId="0C21DC04" w14:textId="34997694" w:rsidR="008033BD" w:rsidRDefault="00D851D0" w:rsidP="00CB0FCC">
      <w:pPr>
        <w:rPr>
          <w:rFonts w:ascii="Arial" w:hAnsi="Arial" w:cs="Arial"/>
          <w:noProof/>
          <w:lang w:val="en-US"/>
        </w:rPr>
      </w:pPr>
      <w:r w:rsidRPr="00D851D0">
        <w:rPr>
          <w:noProof/>
          <w:lang w:val="en-US"/>
        </w:rPr>
        <w:t xml:space="preserve"> </w:t>
      </w:r>
      <w:r w:rsidR="001343F0">
        <w:rPr>
          <w:noProof/>
          <w:lang w:eastAsia="en-GB"/>
        </w:rPr>
        <w:drawing>
          <wp:inline distT="0" distB="0" distL="0" distR="0" wp14:anchorId="7E66D232" wp14:editId="499ABE7A">
            <wp:extent cx="5486400" cy="3215640"/>
            <wp:effectExtent l="0" t="0" r="25400" b="355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0232B7" w14:textId="77777777" w:rsidR="009E3278" w:rsidRPr="00EF2B30" w:rsidRDefault="009E3278" w:rsidP="009E3278">
      <w:pPr>
        <w:rPr>
          <w:noProof/>
          <w:lang w:val="en-US"/>
        </w:rPr>
      </w:pPr>
      <w:r w:rsidRPr="00EF2B30">
        <w:rPr>
          <w:rFonts w:ascii="Arial" w:hAnsi="Arial" w:cs="Arial"/>
          <w:b/>
          <w:i/>
          <w:color w:val="000000"/>
          <w:sz w:val="20"/>
          <w:szCs w:val="20"/>
        </w:rPr>
        <w:t xml:space="preserve">Progress towards year </w:t>
      </w:r>
      <w:r w:rsidR="005B7457">
        <w:rPr>
          <w:rFonts w:ascii="Arial" w:hAnsi="Arial" w:cs="Arial"/>
          <w:b/>
          <w:i/>
          <w:color w:val="000000"/>
          <w:sz w:val="20"/>
          <w:szCs w:val="20"/>
        </w:rPr>
        <w:t>5</w:t>
      </w:r>
      <w:r w:rsidR="005B7457" w:rsidRPr="00EF2B30">
        <w:rPr>
          <w:rFonts w:ascii="Arial" w:hAnsi="Arial" w:cs="Arial"/>
          <w:b/>
          <w:i/>
          <w:color w:val="000000"/>
          <w:sz w:val="20"/>
          <w:szCs w:val="20"/>
        </w:rPr>
        <w:t xml:space="preserve"> </w:t>
      </w:r>
      <w:r w:rsidRPr="00EF2B30">
        <w:rPr>
          <w:rFonts w:ascii="Arial" w:hAnsi="Arial" w:cs="Arial"/>
          <w:b/>
          <w:i/>
          <w:color w:val="000000"/>
          <w:sz w:val="20"/>
          <w:szCs w:val="20"/>
        </w:rPr>
        <w:t xml:space="preserve">reduction target of </w:t>
      </w:r>
      <w:r w:rsidR="005B7457">
        <w:rPr>
          <w:rFonts w:ascii="Arial" w:hAnsi="Arial" w:cs="Arial"/>
          <w:b/>
          <w:i/>
          <w:color w:val="000000"/>
          <w:sz w:val="20"/>
          <w:szCs w:val="20"/>
        </w:rPr>
        <w:t>115</w:t>
      </w:r>
      <w:r w:rsidRPr="00EF2B30">
        <w:rPr>
          <w:rFonts w:ascii="Arial" w:hAnsi="Arial" w:cs="Arial"/>
          <w:b/>
          <w:i/>
          <w:color w:val="000000"/>
          <w:sz w:val="20"/>
          <w:szCs w:val="20"/>
        </w:rPr>
        <w:t>,000 tonnes CO2e</w:t>
      </w:r>
      <w:r>
        <w:rPr>
          <w:rFonts w:ascii="Arial" w:hAnsi="Arial" w:cs="Arial"/>
          <w:b/>
          <w:i/>
          <w:color w:val="000000"/>
          <w:sz w:val="20"/>
          <w:szCs w:val="20"/>
        </w:rPr>
        <w:t>, including land management</w:t>
      </w:r>
    </w:p>
    <w:p w14:paraId="11603EDF" w14:textId="77777777" w:rsidR="00A413A2" w:rsidRDefault="00A413A2">
      <w:pPr>
        <w:rPr>
          <w:rFonts w:ascii="Arial" w:hAnsi="Arial" w:cs="Arial"/>
          <w:noProof/>
          <w:lang w:val="en-US"/>
        </w:rPr>
      </w:pPr>
    </w:p>
    <w:p w14:paraId="3458A0D1" w14:textId="705E3745" w:rsidR="005B7457" w:rsidRDefault="00EA7160" w:rsidP="00CB0FCC">
      <w:pPr>
        <w:rPr>
          <w:rFonts w:ascii="Arial" w:hAnsi="Arial" w:cs="Arial"/>
          <w:noProof/>
          <w:lang w:val="en-US"/>
        </w:rPr>
      </w:pPr>
      <w:r>
        <w:rPr>
          <w:rFonts w:ascii="Arial" w:hAnsi="Arial" w:cs="Arial"/>
          <w:noProof/>
          <w:lang w:val="en-US"/>
        </w:rPr>
        <w:t xml:space="preserve">The graph below, of cumulative carbon savings, shows our progress against the target. The blue line shows our target of 1% savings per year, rising to </w:t>
      </w:r>
      <w:r w:rsidR="005B7457">
        <w:rPr>
          <w:rFonts w:ascii="Arial" w:hAnsi="Arial" w:cs="Arial"/>
          <w:noProof/>
          <w:lang w:val="en-US"/>
        </w:rPr>
        <w:t>5</w:t>
      </w:r>
      <w:r>
        <w:rPr>
          <w:rFonts w:ascii="Arial" w:hAnsi="Arial" w:cs="Arial"/>
          <w:noProof/>
          <w:lang w:val="en-US"/>
        </w:rPr>
        <w:t xml:space="preserve">% in year </w:t>
      </w:r>
      <w:r w:rsidR="005B7457">
        <w:rPr>
          <w:rFonts w:ascii="Arial" w:hAnsi="Arial" w:cs="Arial"/>
          <w:noProof/>
          <w:lang w:val="en-US"/>
        </w:rPr>
        <w:t>5</w:t>
      </w:r>
      <w:r>
        <w:rPr>
          <w:rFonts w:ascii="Arial" w:hAnsi="Arial" w:cs="Arial"/>
          <w:noProof/>
          <w:lang w:val="en-US"/>
        </w:rPr>
        <w:t>. The red line shows the actual savings, with the dotted line as a projection for future years. The steep increase in actual savings shown is</w:t>
      </w:r>
      <w:r w:rsidR="00F66651">
        <w:rPr>
          <w:rFonts w:ascii="Arial" w:hAnsi="Arial" w:cs="Arial"/>
          <w:noProof/>
          <w:lang w:val="en-US"/>
        </w:rPr>
        <w:t xml:space="preserve"> in part</w:t>
      </w:r>
      <w:r>
        <w:rPr>
          <w:rFonts w:ascii="Arial" w:hAnsi="Arial" w:cs="Arial"/>
          <w:noProof/>
          <w:lang w:val="en-US"/>
        </w:rPr>
        <w:t xml:space="preserve"> a result of better measurement, as explained above. Therefore we would not expect savings to continue at this rate, unless significant breakthroughs are achieved in carbon management.</w:t>
      </w:r>
    </w:p>
    <w:p w14:paraId="2540B72A" w14:textId="46D5591F" w:rsidR="00F66651" w:rsidRDefault="001343F0" w:rsidP="00CB0FCC">
      <w:pPr>
        <w:rPr>
          <w:rFonts w:ascii="Arial" w:hAnsi="Arial" w:cs="Arial"/>
          <w:noProof/>
          <w:lang w:val="en-US"/>
        </w:rPr>
      </w:pPr>
      <w:r>
        <w:rPr>
          <w:noProof/>
          <w:lang w:eastAsia="en-GB"/>
        </w:rPr>
        <w:drawing>
          <wp:inline distT="0" distB="0" distL="0" distR="0" wp14:anchorId="01C8E5CA" wp14:editId="13241C99">
            <wp:extent cx="5486400" cy="2728595"/>
            <wp:effectExtent l="0" t="0" r="2540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D5C01B" w14:textId="37817E9C" w:rsidR="000F668C" w:rsidRPr="000F668C" w:rsidRDefault="003365D3" w:rsidP="00CB0FCC">
      <w:pPr>
        <w:rPr>
          <w:rStyle w:val="apple-style-span"/>
          <w:rFonts w:ascii="Arial" w:hAnsi="Arial" w:cs="Arial"/>
          <w:b/>
          <w:i/>
          <w:color w:val="000000"/>
          <w:sz w:val="20"/>
          <w:szCs w:val="20"/>
        </w:rPr>
      </w:pPr>
      <w:r>
        <w:rPr>
          <w:rStyle w:val="apple-style-span"/>
          <w:rFonts w:ascii="Arial" w:hAnsi="Arial" w:cs="Arial"/>
          <w:b/>
          <w:i/>
          <w:color w:val="000000"/>
          <w:sz w:val="20"/>
          <w:szCs w:val="20"/>
        </w:rPr>
        <w:t xml:space="preserve"> </w:t>
      </w:r>
      <w:r w:rsidR="000F668C">
        <w:rPr>
          <w:rStyle w:val="apple-style-span"/>
          <w:rFonts w:ascii="Arial" w:hAnsi="Arial" w:cs="Arial"/>
          <w:b/>
          <w:i/>
          <w:color w:val="000000"/>
          <w:sz w:val="20"/>
          <w:szCs w:val="20"/>
        </w:rPr>
        <w:t>Cumulative carbon savings over</w:t>
      </w:r>
      <w:r w:rsidR="002048DA">
        <w:rPr>
          <w:rStyle w:val="apple-style-span"/>
          <w:rFonts w:ascii="Arial" w:hAnsi="Arial" w:cs="Arial"/>
          <w:b/>
          <w:i/>
          <w:color w:val="000000"/>
          <w:sz w:val="20"/>
          <w:szCs w:val="20"/>
        </w:rPr>
        <w:t xml:space="preserve"> </w:t>
      </w:r>
      <w:r w:rsidR="00F66651">
        <w:rPr>
          <w:rStyle w:val="apple-style-span"/>
          <w:rFonts w:ascii="Arial" w:hAnsi="Arial" w:cs="Arial"/>
          <w:b/>
          <w:i/>
          <w:color w:val="000000"/>
          <w:sz w:val="20"/>
          <w:szCs w:val="20"/>
        </w:rPr>
        <w:t xml:space="preserve">five </w:t>
      </w:r>
      <w:r w:rsidR="00EA7160">
        <w:rPr>
          <w:rStyle w:val="apple-style-span"/>
          <w:rFonts w:ascii="Arial" w:hAnsi="Arial" w:cs="Arial"/>
          <w:b/>
          <w:i/>
          <w:color w:val="000000"/>
          <w:sz w:val="20"/>
          <w:szCs w:val="20"/>
        </w:rPr>
        <w:t>years: target vs actual</w:t>
      </w:r>
    </w:p>
    <w:p w14:paraId="4070F34D" w14:textId="77777777" w:rsidR="001343F0" w:rsidRDefault="001343F0" w:rsidP="00C82694">
      <w:pPr>
        <w:rPr>
          <w:rStyle w:val="apple-style-span"/>
          <w:rFonts w:ascii="Arial" w:eastAsia="Times New Roman" w:hAnsi="Arial" w:cs="Arial"/>
          <w:b/>
          <w:color w:val="000000"/>
          <w:lang w:eastAsia="en-GB"/>
        </w:rPr>
      </w:pPr>
    </w:p>
    <w:p w14:paraId="7DE2FDF6" w14:textId="77777777" w:rsidR="004E71C6" w:rsidRDefault="004E71C6" w:rsidP="00C82694">
      <w:pPr>
        <w:rPr>
          <w:rStyle w:val="apple-style-span"/>
          <w:rFonts w:ascii="Arial" w:eastAsia="Times New Roman" w:hAnsi="Arial" w:cs="Arial"/>
          <w:b/>
          <w:color w:val="000000"/>
          <w:lang w:eastAsia="en-GB"/>
        </w:rPr>
      </w:pPr>
    </w:p>
    <w:p w14:paraId="4837AABE" w14:textId="77777777" w:rsidR="00C82694" w:rsidRPr="00457FE4" w:rsidRDefault="00C82694" w:rsidP="00C82694">
      <w:pPr>
        <w:rPr>
          <w:rStyle w:val="apple-style-span"/>
          <w:rFonts w:ascii="Arial" w:eastAsia="Times New Roman" w:hAnsi="Arial" w:cs="Arial"/>
          <w:b/>
          <w:color w:val="000000"/>
          <w:lang w:eastAsia="en-GB"/>
        </w:rPr>
      </w:pPr>
      <w:r w:rsidRPr="00457FE4">
        <w:rPr>
          <w:rStyle w:val="apple-style-span"/>
          <w:rFonts w:ascii="Arial" w:eastAsia="Times New Roman" w:hAnsi="Arial" w:cs="Arial"/>
          <w:b/>
          <w:color w:val="000000"/>
          <w:lang w:eastAsia="en-GB"/>
        </w:rPr>
        <w:lastRenderedPageBreak/>
        <w:t>Further actions</w:t>
      </w:r>
    </w:p>
    <w:p w14:paraId="1A9E1A2F" w14:textId="77777777" w:rsidR="008033BD" w:rsidRDefault="005B7457" w:rsidP="005C1851">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The</w:t>
      </w:r>
      <w:r w:rsidR="005C1851">
        <w:rPr>
          <w:rStyle w:val="apple-style-span"/>
          <w:rFonts w:ascii="Arial" w:eastAsia="Times New Roman" w:hAnsi="Arial" w:cs="Arial"/>
          <w:color w:val="000000"/>
          <w:lang w:eastAsia="en-GB"/>
        </w:rPr>
        <w:t xml:space="preserve"> Lake District Na</w:t>
      </w:r>
      <w:r w:rsidR="00EA7160">
        <w:rPr>
          <w:rStyle w:val="apple-style-span"/>
          <w:rFonts w:ascii="Arial" w:eastAsia="Times New Roman" w:hAnsi="Arial" w:cs="Arial"/>
          <w:color w:val="000000"/>
          <w:lang w:eastAsia="en-GB"/>
        </w:rPr>
        <w:t>tional Park Partnership</w:t>
      </w:r>
      <w:r w:rsidR="000461D9">
        <w:rPr>
          <w:rStyle w:val="apple-style-span"/>
          <w:rFonts w:ascii="Arial" w:eastAsia="Times New Roman" w:hAnsi="Arial" w:cs="Arial"/>
          <w:color w:val="000000"/>
          <w:lang w:eastAsia="en-GB"/>
        </w:rPr>
        <w:t xml:space="preserve">’s Climate Change sub-group has carried out its annual review and refresh of the Partnership’s Climate Change Action Plan, to continue working towards the target of an additional 1% savings.  </w:t>
      </w:r>
      <w:r w:rsidR="00EA7160">
        <w:rPr>
          <w:rStyle w:val="apple-style-span"/>
          <w:rFonts w:ascii="Arial" w:eastAsia="Times New Roman" w:hAnsi="Arial" w:cs="Arial"/>
          <w:color w:val="000000"/>
          <w:lang w:eastAsia="en-GB"/>
        </w:rPr>
        <w:t xml:space="preserve"> </w:t>
      </w:r>
    </w:p>
    <w:p w14:paraId="3E5F4AC6" w14:textId="77777777" w:rsidR="000F54A7" w:rsidRPr="00EA7160" w:rsidRDefault="00534356" w:rsidP="00534356">
      <w:pPr>
        <w:rPr>
          <w:rStyle w:val="apple-style-span"/>
          <w:rFonts w:ascii="Arial" w:eastAsia="Times New Roman" w:hAnsi="Arial" w:cs="Arial"/>
          <w:color w:val="000000"/>
          <w:highlight w:val="yellow"/>
          <w:lang w:eastAsia="en-GB"/>
        </w:rPr>
      </w:pPr>
      <w:r>
        <w:rPr>
          <w:rStyle w:val="apple-style-span"/>
          <w:rFonts w:ascii="Arial" w:eastAsia="Times New Roman" w:hAnsi="Arial" w:cs="Arial"/>
          <w:color w:val="000000"/>
          <w:lang w:eastAsia="en-GB"/>
        </w:rPr>
        <w:t>This includes further action on all the areas listed above, such as sustainable tourism; support to businesses; home energy efficiency and sustainable transport. However, some of these actions are dependent on external funding, for example from European funds.</w:t>
      </w:r>
    </w:p>
    <w:p w14:paraId="68C475A1" w14:textId="04A1535D" w:rsidR="003A20FB" w:rsidRDefault="003A20FB">
      <w:pPr>
        <w:rPr>
          <w:rStyle w:val="apple-style-span"/>
          <w:rFonts w:ascii="Arial" w:eastAsia="Times New Roman" w:hAnsi="Arial" w:cs="Arial"/>
          <w:b/>
          <w:color w:val="000000"/>
          <w:lang w:eastAsia="en-GB"/>
        </w:rPr>
      </w:pPr>
      <w:r w:rsidRPr="003A20FB">
        <w:rPr>
          <w:rStyle w:val="apple-style-span"/>
          <w:rFonts w:ascii="Arial" w:eastAsia="Times New Roman" w:hAnsi="Arial" w:cs="Arial"/>
          <w:b/>
          <w:color w:val="000000"/>
          <w:lang w:eastAsia="en-GB"/>
        </w:rPr>
        <w:t>Becky Willis</w:t>
      </w:r>
      <w:r w:rsidR="00703DF2">
        <w:rPr>
          <w:rStyle w:val="apple-style-span"/>
          <w:rFonts w:ascii="Arial" w:eastAsia="Times New Roman" w:hAnsi="Arial" w:cs="Arial"/>
          <w:b/>
          <w:color w:val="000000"/>
          <w:lang w:eastAsia="en-GB"/>
        </w:rPr>
        <w:t xml:space="preserve"> </w:t>
      </w:r>
      <w:r w:rsidR="005B7457">
        <w:rPr>
          <w:rStyle w:val="apple-style-span"/>
          <w:rFonts w:ascii="Arial" w:eastAsia="Times New Roman" w:hAnsi="Arial" w:cs="Arial"/>
          <w:b/>
          <w:color w:val="000000"/>
          <w:lang w:eastAsia="en-GB"/>
        </w:rPr>
        <w:t>September 2015</w:t>
      </w:r>
    </w:p>
    <w:p w14:paraId="53E18A50" w14:textId="5FB69C9C" w:rsidR="00486C44" w:rsidRDefault="00486C44">
      <w:pPr>
        <w:rPr>
          <w:rStyle w:val="apple-style-span"/>
          <w:rFonts w:ascii="Arial" w:eastAsia="Times New Roman" w:hAnsi="Arial" w:cs="Arial"/>
          <w:b/>
          <w:color w:val="000000"/>
          <w:lang w:eastAsia="en-GB"/>
        </w:rPr>
      </w:pPr>
    </w:p>
    <w:p w14:paraId="0E242D9C" w14:textId="77777777" w:rsidR="003D20EB" w:rsidRDefault="003D20EB">
      <w:pPr>
        <w:rPr>
          <w:rStyle w:val="apple-style-span"/>
          <w:rFonts w:ascii="Arial" w:eastAsia="Times New Roman" w:hAnsi="Arial" w:cs="Arial"/>
          <w:b/>
          <w:color w:val="000000"/>
          <w:lang w:eastAsia="en-GB"/>
        </w:rPr>
      </w:pPr>
      <w:r>
        <w:rPr>
          <w:rStyle w:val="apple-style-span"/>
          <w:rFonts w:ascii="Arial" w:eastAsia="Times New Roman" w:hAnsi="Arial" w:cs="Arial"/>
          <w:b/>
          <w:color w:val="000000"/>
          <w:lang w:eastAsia="en-GB"/>
        </w:rPr>
        <w:br w:type="page"/>
      </w:r>
    </w:p>
    <w:p w14:paraId="0E83FD53" w14:textId="01EA21ED" w:rsidR="00A545B1" w:rsidRDefault="00486C44" w:rsidP="0025093A">
      <w:pPr>
        <w:rPr>
          <w:rStyle w:val="apple-style-span"/>
          <w:rFonts w:ascii="Arial" w:eastAsia="Times New Roman" w:hAnsi="Arial" w:cs="Arial"/>
          <w:b/>
          <w:color w:val="000000"/>
          <w:lang w:eastAsia="en-GB"/>
        </w:rPr>
      </w:pPr>
      <w:r>
        <w:rPr>
          <w:rStyle w:val="apple-style-span"/>
          <w:rFonts w:ascii="Arial" w:eastAsia="Times New Roman" w:hAnsi="Arial" w:cs="Arial"/>
          <w:b/>
          <w:color w:val="000000"/>
          <w:lang w:eastAsia="en-GB"/>
        </w:rPr>
        <w:lastRenderedPageBreak/>
        <w:t>Annex A: Summary of carbon saving actions in the Lake District National Park</w:t>
      </w:r>
    </w:p>
    <w:p w14:paraId="789A1FF5" w14:textId="77777777" w:rsidR="00974234" w:rsidRDefault="00974234" w:rsidP="0025093A">
      <w:pPr>
        <w:rPr>
          <w:rStyle w:val="apple-style-span"/>
          <w:rFonts w:ascii="Arial" w:eastAsia="Times New Roman" w:hAnsi="Arial" w:cs="Arial"/>
          <w:color w:val="000000"/>
          <w:lang w:eastAsia="en-GB"/>
        </w:rPr>
      </w:pPr>
      <w:r w:rsidRPr="00974234">
        <w:rPr>
          <w:rStyle w:val="apple-style-span"/>
          <w:rFonts w:ascii="Arial" w:eastAsia="Times New Roman" w:hAnsi="Arial" w:cs="Arial"/>
          <w:color w:val="000000"/>
          <w:lang w:eastAsia="en-GB"/>
        </w:rPr>
        <w:t>This table shows the carbon saving actions identified across the National Park, and a mid-range estimate of savings from each action.</w:t>
      </w:r>
      <w:r>
        <w:rPr>
          <w:rStyle w:val="apple-style-span"/>
          <w:rFonts w:ascii="Arial" w:eastAsia="Times New Roman" w:hAnsi="Arial" w:cs="Arial"/>
          <w:color w:val="000000"/>
          <w:lang w:eastAsia="en-GB"/>
        </w:rPr>
        <w:t xml:space="preserve"> A more detailed list, the full calculations and an explanation of assumptions made are available.</w:t>
      </w:r>
    </w:p>
    <w:tbl>
      <w:tblPr>
        <w:tblW w:w="10020" w:type="dxa"/>
        <w:tblInd w:w="93" w:type="dxa"/>
        <w:tblLook w:val="04A0" w:firstRow="1" w:lastRow="0" w:firstColumn="1" w:lastColumn="0" w:noHBand="0" w:noVBand="1"/>
      </w:tblPr>
      <w:tblGrid>
        <w:gridCol w:w="3967"/>
        <w:gridCol w:w="1571"/>
        <w:gridCol w:w="3141"/>
        <w:gridCol w:w="1341"/>
      </w:tblGrid>
      <w:tr w:rsidR="006146A4" w:rsidRPr="006146A4" w14:paraId="213CD680" w14:textId="77777777" w:rsidTr="006146A4">
        <w:trPr>
          <w:trHeight w:val="675"/>
        </w:trPr>
        <w:tc>
          <w:tcPr>
            <w:tcW w:w="407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067A8C35" w14:textId="77777777" w:rsidR="006146A4" w:rsidRPr="006146A4" w:rsidRDefault="006146A4" w:rsidP="006146A4">
            <w:pPr>
              <w:spacing w:after="0" w:line="240" w:lineRule="auto"/>
              <w:jc w:val="center"/>
              <w:rPr>
                <w:rFonts w:ascii="Calibri" w:eastAsia="Times New Roman" w:hAnsi="Calibri" w:cs="Times New Roman"/>
                <w:b/>
                <w:bCs/>
                <w:color w:val="000000"/>
                <w:sz w:val="24"/>
                <w:szCs w:val="24"/>
              </w:rPr>
            </w:pPr>
            <w:r w:rsidRPr="006146A4">
              <w:rPr>
                <w:rFonts w:ascii="Calibri" w:eastAsia="Times New Roman" w:hAnsi="Calibri" w:cs="Times New Roman"/>
                <w:b/>
                <w:bCs/>
                <w:color w:val="000000"/>
                <w:sz w:val="24"/>
                <w:szCs w:val="24"/>
              </w:rPr>
              <w:t>Action</w:t>
            </w:r>
          </w:p>
        </w:tc>
        <w:tc>
          <w:tcPr>
            <w:tcW w:w="1385"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26619231" w14:textId="77777777" w:rsidR="006146A4" w:rsidRPr="006146A4" w:rsidRDefault="006146A4" w:rsidP="006146A4">
            <w:pPr>
              <w:spacing w:after="0" w:line="240" w:lineRule="auto"/>
              <w:rPr>
                <w:rFonts w:ascii="Calibri" w:eastAsia="Times New Roman" w:hAnsi="Calibri" w:cs="Times New Roman"/>
                <w:b/>
                <w:bCs/>
                <w:color w:val="000000"/>
                <w:sz w:val="24"/>
                <w:szCs w:val="24"/>
              </w:rPr>
            </w:pPr>
            <w:r w:rsidRPr="006146A4">
              <w:rPr>
                <w:rFonts w:ascii="Calibri" w:eastAsia="Times New Roman" w:hAnsi="Calibri" w:cs="Times New Roman"/>
                <w:b/>
                <w:bCs/>
                <w:color w:val="000000"/>
                <w:sz w:val="24"/>
                <w:szCs w:val="24"/>
              </w:rPr>
              <w:t>Partners</w:t>
            </w:r>
          </w:p>
        </w:tc>
        <w:tc>
          <w:tcPr>
            <w:tcW w:w="3212" w:type="dxa"/>
            <w:vMerge w:val="restart"/>
            <w:tcBorders>
              <w:top w:val="single" w:sz="8" w:space="0" w:color="auto"/>
              <w:left w:val="nil"/>
              <w:bottom w:val="single" w:sz="8" w:space="0" w:color="000000"/>
              <w:right w:val="single" w:sz="4" w:space="0" w:color="auto"/>
            </w:tcBorders>
            <w:shd w:val="clear" w:color="000000" w:fill="D9D9D9"/>
            <w:vAlign w:val="center"/>
            <w:hideMark/>
          </w:tcPr>
          <w:p w14:paraId="0832197A" w14:textId="77777777" w:rsidR="006146A4" w:rsidRPr="006146A4" w:rsidRDefault="006146A4" w:rsidP="006146A4">
            <w:pPr>
              <w:spacing w:after="0" w:line="240" w:lineRule="auto"/>
              <w:rPr>
                <w:rFonts w:ascii="Calibri" w:eastAsia="Times New Roman" w:hAnsi="Calibri" w:cs="Times New Roman"/>
                <w:b/>
                <w:bCs/>
                <w:color w:val="000000"/>
                <w:sz w:val="24"/>
                <w:szCs w:val="24"/>
              </w:rPr>
            </w:pPr>
            <w:r w:rsidRPr="006146A4">
              <w:rPr>
                <w:rFonts w:ascii="Calibri" w:eastAsia="Times New Roman" w:hAnsi="Calibri" w:cs="Times New Roman"/>
                <w:b/>
                <w:bCs/>
                <w:color w:val="000000"/>
                <w:sz w:val="24"/>
                <w:szCs w:val="24"/>
              </w:rPr>
              <w:t xml:space="preserve"> Comments </w:t>
            </w:r>
          </w:p>
        </w:tc>
        <w:tc>
          <w:tcPr>
            <w:tcW w:w="1344" w:type="dxa"/>
            <w:vMerge w:val="restart"/>
            <w:tcBorders>
              <w:top w:val="single" w:sz="8" w:space="0" w:color="auto"/>
              <w:left w:val="nil"/>
              <w:bottom w:val="single" w:sz="8" w:space="0" w:color="000000"/>
              <w:right w:val="single" w:sz="4" w:space="0" w:color="auto"/>
            </w:tcBorders>
            <w:shd w:val="clear" w:color="000000" w:fill="D9D9D9"/>
            <w:vAlign w:val="center"/>
            <w:hideMark/>
          </w:tcPr>
          <w:p w14:paraId="05080F3A" w14:textId="1B58BF77" w:rsidR="006146A4" w:rsidRPr="006146A4" w:rsidRDefault="006146A4" w:rsidP="006146A4">
            <w:pPr>
              <w:spacing w:after="0" w:line="240" w:lineRule="auto"/>
              <w:jc w:val="center"/>
              <w:rPr>
                <w:rFonts w:ascii="Calibri" w:eastAsia="Times New Roman" w:hAnsi="Calibri" w:cs="Times New Roman"/>
                <w:b/>
                <w:bCs/>
                <w:color w:val="000000"/>
                <w:sz w:val="24"/>
                <w:szCs w:val="24"/>
              </w:rPr>
            </w:pPr>
            <w:r w:rsidRPr="006146A4">
              <w:rPr>
                <w:rFonts w:ascii="Calibri" w:eastAsia="Times New Roman" w:hAnsi="Calibri" w:cs="Times New Roman"/>
                <w:b/>
                <w:bCs/>
                <w:color w:val="000000"/>
                <w:sz w:val="24"/>
                <w:szCs w:val="24"/>
              </w:rPr>
              <w:t xml:space="preserve"> </w:t>
            </w:r>
            <w:proofErr w:type="spellStart"/>
            <w:r w:rsidRPr="006146A4">
              <w:rPr>
                <w:rFonts w:ascii="Calibri" w:eastAsia="Times New Roman" w:hAnsi="Calibri" w:cs="Times New Roman"/>
                <w:b/>
                <w:bCs/>
                <w:color w:val="000000"/>
                <w:sz w:val="24"/>
                <w:szCs w:val="24"/>
              </w:rPr>
              <w:t>Mid range</w:t>
            </w:r>
            <w:proofErr w:type="spellEnd"/>
            <w:r w:rsidRPr="006146A4">
              <w:rPr>
                <w:rFonts w:ascii="Calibri" w:eastAsia="Times New Roman" w:hAnsi="Calibri" w:cs="Times New Roman"/>
                <w:b/>
                <w:bCs/>
                <w:color w:val="000000"/>
                <w:sz w:val="24"/>
                <w:szCs w:val="24"/>
              </w:rPr>
              <w:t xml:space="preserve"> CO2e saving </w:t>
            </w:r>
            <w:r w:rsidR="00D8745E">
              <w:rPr>
                <w:rFonts w:ascii="Calibri" w:eastAsia="Times New Roman" w:hAnsi="Calibri" w:cs="Times New Roman"/>
                <w:b/>
                <w:bCs/>
                <w:color w:val="000000"/>
                <w:sz w:val="24"/>
                <w:szCs w:val="24"/>
              </w:rPr>
              <w:t>(Tonnes)</w:t>
            </w:r>
          </w:p>
        </w:tc>
      </w:tr>
      <w:tr w:rsidR="006146A4" w:rsidRPr="006146A4" w14:paraId="688AA8EC" w14:textId="77777777" w:rsidTr="006146A4">
        <w:trPr>
          <w:trHeight w:val="1035"/>
        </w:trPr>
        <w:tc>
          <w:tcPr>
            <w:tcW w:w="4079" w:type="dxa"/>
            <w:vMerge/>
            <w:tcBorders>
              <w:top w:val="single" w:sz="8" w:space="0" w:color="auto"/>
              <w:left w:val="single" w:sz="4" w:space="0" w:color="auto"/>
              <w:bottom w:val="single" w:sz="8" w:space="0" w:color="000000"/>
              <w:right w:val="single" w:sz="4" w:space="0" w:color="auto"/>
            </w:tcBorders>
            <w:vAlign w:val="center"/>
            <w:hideMark/>
          </w:tcPr>
          <w:p w14:paraId="35FDA958" w14:textId="77777777" w:rsidR="006146A4" w:rsidRPr="006146A4" w:rsidRDefault="006146A4" w:rsidP="006146A4">
            <w:pPr>
              <w:spacing w:after="0" w:line="240" w:lineRule="auto"/>
              <w:rPr>
                <w:rFonts w:ascii="Calibri" w:eastAsia="Times New Roman" w:hAnsi="Calibri" w:cs="Times New Roman"/>
                <w:b/>
                <w:bCs/>
                <w:color w:val="000000"/>
                <w:sz w:val="24"/>
                <w:szCs w:val="24"/>
              </w:rPr>
            </w:pPr>
          </w:p>
        </w:tc>
        <w:tc>
          <w:tcPr>
            <w:tcW w:w="1385" w:type="dxa"/>
            <w:vMerge/>
            <w:tcBorders>
              <w:top w:val="single" w:sz="8" w:space="0" w:color="auto"/>
              <w:left w:val="single" w:sz="4" w:space="0" w:color="auto"/>
              <w:bottom w:val="single" w:sz="8" w:space="0" w:color="000000"/>
              <w:right w:val="single" w:sz="4" w:space="0" w:color="auto"/>
            </w:tcBorders>
            <w:vAlign w:val="center"/>
            <w:hideMark/>
          </w:tcPr>
          <w:p w14:paraId="5F565B53" w14:textId="77777777" w:rsidR="006146A4" w:rsidRPr="006146A4" w:rsidRDefault="006146A4" w:rsidP="006146A4">
            <w:pPr>
              <w:spacing w:after="0" w:line="240" w:lineRule="auto"/>
              <w:rPr>
                <w:rFonts w:ascii="Calibri" w:eastAsia="Times New Roman" w:hAnsi="Calibri" w:cs="Times New Roman"/>
                <w:b/>
                <w:bCs/>
                <w:color w:val="000000"/>
                <w:sz w:val="24"/>
                <w:szCs w:val="24"/>
              </w:rPr>
            </w:pPr>
          </w:p>
        </w:tc>
        <w:tc>
          <w:tcPr>
            <w:tcW w:w="3212" w:type="dxa"/>
            <w:vMerge/>
            <w:tcBorders>
              <w:top w:val="single" w:sz="8" w:space="0" w:color="auto"/>
              <w:left w:val="nil"/>
              <w:bottom w:val="single" w:sz="8" w:space="0" w:color="000000"/>
              <w:right w:val="single" w:sz="4" w:space="0" w:color="auto"/>
            </w:tcBorders>
            <w:vAlign w:val="center"/>
            <w:hideMark/>
          </w:tcPr>
          <w:p w14:paraId="0EFA6E80" w14:textId="77777777" w:rsidR="006146A4" w:rsidRPr="006146A4" w:rsidRDefault="006146A4" w:rsidP="006146A4">
            <w:pPr>
              <w:spacing w:after="0" w:line="240" w:lineRule="auto"/>
              <w:rPr>
                <w:rFonts w:ascii="Calibri" w:eastAsia="Times New Roman" w:hAnsi="Calibri" w:cs="Times New Roman"/>
                <w:b/>
                <w:bCs/>
                <w:color w:val="000000"/>
                <w:sz w:val="24"/>
                <w:szCs w:val="24"/>
              </w:rPr>
            </w:pPr>
          </w:p>
        </w:tc>
        <w:tc>
          <w:tcPr>
            <w:tcW w:w="1344" w:type="dxa"/>
            <w:vMerge/>
            <w:tcBorders>
              <w:top w:val="single" w:sz="8" w:space="0" w:color="auto"/>
              <w:left w:val="nil"/>
              <w:bottom w:val="single" w:sz="8" w:space="0" w:color="000000"/>
              <w:right w:val="single" w:sz="4" w:space="0" w:color="auto"/>
            </w:tcBorders>
            <w:vAlign w:val="center"/>
            <w:hideMark/>
          </w:tcPr>
          <w:p w14:paraId="386DD4D4" w14:textId="77777777" w:rsidR="006146A4" w:rsidRPr="006146A4" w:rsidRDefault="006146A4" w:rsidP="006146A4">
            <w:pPr>
              <w:spacing w:after="0" w:line="240" w:lineRule="auto"/>
              <w:rPr>
                <w:rFonts w:ascii="Calibri" w:eastAsia="Times New Roman" w:hAnsi="Calibri" w:cs="Times New Roman"/>
                <w:b/>
                <w:bCs/>
                <w:color w:val="000000"/>
                <w:sz w:val="24"/>
                <w:szCs w:val="24"/>
              </w:rPr>
            </w:pPr>
          </w:p>
        </w:tc>
      </w:tr>
      <w:tr w:rsidR="006146A4" w:rsidRPr="006146A4" w14:paraId="71969AF7" w14:textId="77777777" w:rsidTr="006146A4">
        <w:trPr>
          <w:trHeight w:val="500"/>
        </w:trPr>
        <w:tc>
          <w:tcPr>
            <w:tcW w:w="10020" w:type="dxa"/>
            <w:gridSpan w:val="4"/>
            <w:tcBorders>
              <w:top w:val="single" w:sz="8" w:space="0" w:color="auto"/>
              <w:left w:val="single" w:sz="4" w:space="0" w:color="auto"/>
              <w:bottom w:val="single" w:sz="4" w:space="0" w:color="auto"/>
              <w:right w:val="single" w:sz="4" w:space="0" w:color="000000"/>
            </w:tcBorders>
            <w:shd w:val="clear" w:color="000000" w:fill="FFFFFF"/>
            <w:vAlign w:val="center"/>
            <w:hideMark/>
          </w:tcPr>
          <w:p w14:paraId="2A7F52C2" w14:textId="77777777" w:rsidR="006146A4" w:rsidRPr="006146A4" w:rsidRDefault="006146A4" w:rsidP="006146A4">
            <w:pPr>
              <w:spacing w:after="0" w:line="240" w:lineRule="auto"/>
              <w:rPr>
                <w:rFonts w:ascii="Calibri" w:eastAsia="Times New Roman" w:hAnsi="Calibri" w:cs="Times New Roman"/>
                <w:b/>
                <w:bCs/>
                <w:color w:val="000000"/>
                <w:sz w:val="24"/>
                <w:szCs w:val="24"/>
              </w:rPr>
            </w:pPr>
            <w:r w:rsidRPr="006146A4">
              <w:rPr>
                <w:rFonts w:ascii="Calibri" w:eastAsia="Times New Roman" w:hAnsi="Calibri" w:cs="Times New Roman"/>
                <w:b/>
                <w:bCs/>
                <w:color w:val="000000"/>
                <w:sz w:val="24"/>
                <w:szCs w:val="24"/>
              </w:rPr>
              <w:t>Accommodation, food &amp; drink</w:t>
            </w:r>
          </w:p>
        </w:tc>
      </w:tr>
      <w:tr w:rsidR="006146A4" w:rsidRPr="006146A4" w14:paraId="79532557"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39C3E24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Carbon Calculator for Tourism Businesses; Pilot scheme and now available on website</w:t>
            </w:r>
          </w:p>
        </w:tc>
        <w:tc>
          <w:tcPr>
            <w:tcW w:w="1385" w:type="dxa"/>
            <w:tcBorders>
              <w:top w:val="nil"/>
              <w:left w:val="single" w:sz="4" w:space="0" w:color="auto"/>
              <w:bottom w:val="nil"/>
              <w:right w:val="single" w:sz="4" w:space="0" w:color="auto"/>
            </w:tcBorders>
            <w:shd w:val="clear" w:color="auto" w:fill="auto"/>
            <w:vAlign w:val="center"/>
            <w:hideMark/>
          </w:tcPr>
          <w:p w14:paraId="2ACD8575"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CT</w:t>
            </w:r>
          </w:p>
        </w:tc>
        <w:tc>
          <w:tcPr>
            <w:tcW w:w="3212" w:type="dxa"/>
            <w:tcBorders>
              <w:top w:val="nil"/>
              <w:left w:val="nil"/>
              <w:bottom w:val="nil"/>
              <w:right w:val="single" w:sz="4" w:space="0" w:color="auto"/>
            </w:tcBorders>
            <w:shd w:val="clear" w:color="auto" w:fill="auto"/>
            <w:vAlign w:val="center"/>
            <w:hideMark/>
          </w:tcPr>
          <w:p w14:paraId="2985990B"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054D160A"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102 </w:t>
            </w:r>
          </w:p>
        </w:tc>
      </w:tr>
      <w:tr w:rsidR="006146A4" w:rsidRPr="006146A4" w14:paraId="610E43E4"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05CC8527" w14:textId="77777777" w:rsidR="006146A4" w:rsidRPr="006146A4" w:rsidRDefault="006146A4" w:rsidP="006146A4">
            <w:pPr>
              <w:spacing w:after="0" w:line="240" w:lineRule="auto"/>
              <w:rPr>
                <w:rFonts w:ascii="Calibri" w:eastAsia="Times New Roman" w:hAnsi="Calibri" w:cs="Times New Roman"/>
                <w:color w:val="000000"/>
                <w:sz w:val="20"/>
                <w:szCs w:val="20"/>
              </w:rPr>
            </w:pPr>
            <w:r w:rsidRPr="006146A4">
              <w:rPr>
                <w:rFonts w:ascii="Calibri" w:eastAsia="Times New Roman" w:hAnsi="Calibri" w:cs="Times New Roman"/>
                <w:color w:val="000000"/>
                <w:sz w:val="20"/>
                <w:szCs w:val="20"/>
              </w:rPr>
              <w:t>Green Workshops for Tourism Businesses during 2010.</w:t>
            </w:r>
          </w:p>
        </w:tc>
        <w:tc>
          <w:tcPr>
            <w:tcW w:w="1385" w:type="dxa"/>
            <w:tcBorders>
              <w:top w:val="nil"/>
              <w:left w:val="single" w:sz="4" w:space="0" w:color="auto"/>
              <w:bottom w:val="nil"/>
              <w:right w:val="single" w:sz="4" w:space="0" w:color="auto"/>
            </w:tcBorders>
            <w:shd w:val="clear" w:color="auto" w:fill="auto"/>
            <w:vAlign w:val="center"/>
            <w:hideMark/>
          </w:tcPr>
          <w:p w14:paraId="121CD71A" w14:textId="77777777" w:rsidR="006146A4" w:rsidRPr="006146A4" w:rsidRDefault="006146A4" w:rsidP="006146A4">
            <w:pPr>
              <w:spacing w:after="0" w:line="240" w:lineRule="auto"/>
              <w:rPr>
                <w:rFonts w:ascii="Calibri" w:eastAsia="Times New Roman" w:hAnsi="Calibri" w:cs="Times New Roman"/>
                <w:color w:val="000000"/>
                <w:sz w:val="20"/>
                <w:szCs w:val="20"/>
              </w:rPr>
            </w:pPr>
            <w:r w:rsidRPr="006146A4">
              <w:rPr>
                <w:rFonts w:ascii="Calibri" w:eastAsia="Times New Roman" w:hAnsi="Calibri" w:cs="Times New Roman"/>
                <w:color w:val="000000"/>
                <w:sz w:val="20"/>
                <w:szCs w:val="20"/>
              </w:rPr>
              <w:t>CT</w:t>
            </w:r>
          </w:p>
        </w:tc>
        <w:tc>
          <w:tcPr>
            <w:tcW w:w="3212" w:type="dxa"/>
            <w:tcBorders>
              <w:top w:val="nil"/>
              <w:left w:val="nil"/>
              <w:bottom w:val="nil"/>
              <w:right w:val="single" w:sz="4" w:space="0" w:color="auto"/>
            </w:tcBorders>
            <w:shd w:val="clear" w:color="auto" w:fill="auto"/>
            <w:vAlign w:val="center"/>
            <w:hideMark/>
          </w:tcPr>
          <w:p w14:paraId="7774C12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5523FF84"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413 </w:t>
            </w:r>
          </w:p>
        </w:tc>
      </w:tr>
      <w:tr w:rsidR="006146A4" w:rsidRPr="006146A4" w14:paraId="088BFFF5" w14:textId="77777777" w:rsidTr="006146A4">
        <w:trPr>
          <w:trHeight w:val="840"/>
        </w:trPr>
        <w:tc>
          <w:tcPr>
            <w:tcW w:w="4079" w:type="dxa"/>
            <w:tcBorders>
              <w:top w:val="nil"/>
              <w:left w:val="single" w:sz="4" w:space="0" w:color="auto"/>
              <w:bottom w:val="nil"/>
              <w:right w:val="nil"/>
            </w:tcBorders>
            <w:shd w:val="clear" w:color="auto" w:fill="auto"/>
            <w:vAlign w:val="center"/>
            <w:hideMark/>
          </w:tcPr>
          <w:p w14:paraId="7B4F72F7"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Promotion of green accreditation schemes to the industry</w:t>
            </w:r>
          </w:p>
        </w:tc>
        <w:tc>
          <w:tcPr>
            <w:tcW w:w="1385" w:type="dxa"/>
            <w:tcBorders>
              <w:top w:val="nil"/>
              <w:left w:val="single" w:sz="4" w:space="0" w:color="auto"/>
              <w:bottom w:val="nil"/>
              <w:right w:val="single" w:sz="4" w:space="0" w:color="auto"/>
            </w:tcBorders>
            <w:shd w:val="clear" w:color="auto" w:fill="auto"/>
            <w:vAlign w:val="center"/>
            <w:hideMark/>
          </w:tcPr>
          <w:p w14:paraId="31FA7893"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CT / Nurture Lakeland</w:t>
            </w:r>
          </w:p>
        </w:tc>
        <w:tc>
          <w:tcPr>
            <w:tcW w:w="3212" w:type="dxa"/>
            <w:tcBorders>
              <w:top w:val="nil"/>
              <w:left w:val="nil"/>
              <w:bottom w:val="nil"/>
              <w:right w:val="single" w:sz="4" w:space="0" w:color="auto"/>
            </w:tcBorders>
            <w:shd w:val="clear" w:color="auto" w:fill="auto"/>
            <w:vAlign w:val="center"/>
            <w:hideMark/>
          </w:tcPr>
          <w:p w14:paraId="70F06934"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5200ECDF"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28 </w:t>
            </w:r>
          </w:p>
        </w:tc>
      </w:tr>
      <w:tr w:rsidR="006146A4" w:rsidRPr="006146A4" w14:paraId="0F401DD7"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7DE6FE6A"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 xml:space="preserve">Taste Cumbria Programme 2010-13. </w:t>
            </w:r>
          </w:p>
        </w:tc>
        <w:tc>
          <w:tcPr>
            <w:tcW w:w="1385" w:type="dxa"/>
            <w:tcBorders>
              <w:top w:val="nil"/>
              <w:left w:val="single" w:sz="4" w:space="0" w:color="auto"/>
              <w:bottom w:val="nil"/>
              <w:right w:val="single" w:sz="4" w:space="0" w:color="auto"/>
            </w:tcBorders>
            <w:shd w:val="clear" w:color="auto" w:fill="auto"/>
            <w:vAlign w:val="center"/>
            <w:hideMark/>
          </w:tcPr>
          <w:p w14:paraId="21BB335A"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CT</w:t>
            </w:r>
          </w:p>
        </w:tc>
        <w:tc>
          <w:tcPr>
            <w:tcW w:w="3212" w:type="dxa"/>
            <w:tcBorders>
              <w:top w:val="nil"/>
              <w:left w:val="nil"/>
              <w:bottom w:val="nil"/>
              <w:right w:val="single" w:sz="4" w:space="0" w:color="auto"/>
            </w:tcBorders>
            <w:shd w:val="clear" w:color="auto" w:fill="auto"/>
            <w:vAlign w:val="center"/>
            <w:hideMark/>
          </w:tcPr>
          <w:p w14:paraId="25ADCD80"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17B17E1F"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683 </w:t>
            </w:r>
          </w:p>
        </w:tc>
      </w:tr>
      <w:tr w:rsidR="006146A4" w:rsidRPr="006146A4" w14:paraId="0EF6131A"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29C58BE3" w14:textId="77777777" w:rsidR="006146A4" w:rsidRPr="006146A4" w:rsidRDefault="006146A4" w:rsidP="006146A4">
            <w:pPr>
              <w:spacing w:after="0" w:line="240" w:lineRule="auto"/>
              <w:rPr>
                <w:rFonts w:ascii="Calibri" w:eastAsia="Times New Roman" w:hAnsi="Calibri" w:cs="Times New Roman"/>
                <w:color w:val="000000"/>
                <w:sz w:val="20"/>
                <w:szCs w:val="20"/>
              </w:rPr>
            </w:pPr>
            <w:r w:rsidRPr="006146A4">
              <w:rPr>
                <w:rFonts w:ascii="Calibri" w:eastAsia="Times New Roman" w:hAnsi="Calibri" w:cs="Times New Roman"/>
                <w:color w:val="000000"/>
                <w:sz w:val="20"/>
                <w:szCs w:val="20"/>
              </w:rPr>
              <w:t xml:space="preserve">Cumbria Food and Drink Summit </w:t>
            </w:r>
          </w:p>
        </w:tc>
        <w:tc>
          <w:tcPr>
            <w:tcW w:w="1385" w:type="dxa"/>
            <w:tcBorders>
              <w:top w:val="nil"/>
              <w:left w:val="single" w:sz="4" w:space="0" w:color="auto"/>
              <w:bottom w:val="nil"/>
              <w:right w:val="single" w:sz="4" w:space="0" w:color="auto"/>
            </w:tcBorders>
            <w:shd w:val="clear" w:color="auto" w:fill="auto"/>
            <w:vAlign w:val="center"/>
            <w:hideMark/>
          </w:tcPr>
          <w:p w14:paraId="1A944195" w14:textId="77777777" w:rsidR="006146A4" w:rsidRPr="006146A4" w:rsidRDefault="006146A4" w:rsidP="006146A4">
            <w:pPr>
              <w:spacing w:after="0" w:line="240" w:lineRule="auto"/>
              <w:rPr>
                <w:rFonts w:ascii="Calibri" w:eastAsia="Times New Roman" w:hAnsi="Calibri" w:cs="Times New Roman"/>
                <w:color w:val="000000"/>
                <w:sz w:val="20"/>
                <w:szCs w:val="20"/>
              </w:rPr>
            </w:pPr>
            <w:r w:rsidRPr="006146A4">
              <w:rPr>
                <w:rFonts w:ascii="Calibri" w:eastAsia="Times New Roman" w:hAnsi="Calibri" w:cs="Times New Roman"/>
                <w:color w:val="000000"/>
                <w:sz w:val="20"/>
                <w:szCs w:val="20"/>
              </w:rPr>
              <w:t>CT</w:t>
            </w:r>
          </w:p>
        </w:tc>
        <w:tc>
          <w:tcPr>
            <w:tcW w:w="3212" w:type="dxa"/>
            <w:tcBorders>
              <w:top w:val="nil"/>
              <w:left w:val="nil"/>
              <w:bottom w:val="nil"/>
              <w:right w:val="single" w:sz="4" w:space="0" w:color="auto"/>
            </w:tcBorders>
            <w:shd w:val="clear" w:color="auto" w:fill="auto"/>
            <w:vAlign w:val="center"/>
            <w:hideMark/>
          </w:tcPr>
          <w:p w14:paraId="44A4BADC"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7EA15991"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40 </w:t>
            </w:r>
          </w:p>
        </w:tc>
      </w:tr>
      <w:tr w:rsidR="006146A4" w:rsidRPr="006146A4" w14:paraId="0D2EE707"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1147970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Tourism Connect Grant Scheme</w:t>
            </w:r>
          </w:p>
        </w:tc>
        <w:tc>
          <w:tcPr>
            <w:tcW w:w="1385" w:type="dxa"/>
            <w:tcBorders>
              <w:top w:val="nil"/>
              <w:left w:val="single" w:sz="4" w:space="0" w:color="auto"/>
              <w:bottom w:val="nil"/>
              <w:right w:val="single" w:sz="4" w:space="0" w:color="auto"/>
            </w:tcBorders>
            <w:shd w:val="clear" w:color="auto" w:fill="auto"/>
            <w:vAlign w:val="center"/>
            <w:hideMark/>
          </w:tcPr>
          <w:p w14:paraId="0278AA94"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CT</w:t>
            </w:r>
          </w:p>
        </w:tc>
        <w:tc>
          <w:tcPr>
            <w:tcW w:w="3212" w:type="dxa"/>
            <w:tcBorders>
              <w:top w:val="nil"/>
              <w:left w:val="nil"/>
              <w:bottom w:val="nil"/>
              <w:right w:val="single" w:sz="4" w:space="0" w:color="auto"/>
            </w:tcBorders>
            <w:shd w:val="clear" w:color="auto" w:fill="auto"/>
            <w:vAlign w:val="center"/>
            <w:hideMark/>
          </w:tcPr>
          <w:p w14:paraId="6A349F7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7FD799A9"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186 </w:t>
            </w:r>
          </w:p>
        </w:tc>
      </w:tr>
      <w:tr w:rsidR="006146A4" w:rsidRPr="006146A4" w14:paraId="1275D85B" w14:textId="77777777" w:rsidTr="006146A4">
        <w:trPr>
          <w:trHeight w:val="840"/>
        </w:trPr>
        <w:tc>
          <w:tcPr>
            <w:tcW w:w="4079" w:type="dxa"/>
            <w:tcBorders>
              <w:top w:val="nil"/>
              <w:left w:val="single" w:sz="4" w:space="0" w:color="auto"/>
              <w:bottom w:val="nil"/>
              <w:right w:val="nil"/>
            </w:tcBorders>
            <w:shd w:val="clear" w:color="auto" w:fill="auto"/>
            <w:vAlign w:val="center"/>
            <w:hideMark/>
          </w:tcPr>
          <w:p w14:paraId="5B61AA1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Low Carbon Beacon area</w:t>
            </w:r>
          </w:p>
        </w:tc>
        <w:tc>
          <w:tcPr>
            <w:tcW w:w="1385" w:type="dxa"/>
            <w:tcBorders>
              <w:top w:val="nil"/>
              <w:left w:val="single" w:sz="4" w:space="0" w:color="auto"/>
              <w:bottom w:val="nil"/>
              <w:right w:val="single" w:sz="4" w:space="0" w:color="auto"/>
            </w:tcBorders>
            <w:shd w:val="clear" w:color="auto" w:fill="auto"/>
            <w:vAlign w:val="center"/>
            <w:hideMark/>
          </w:tcPr>
          <w:p w14:paraId="4CC8320A"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Nurture Lakeland/LDNPA</w:t>
            </w:r>
          </w:p>
        </w:tc>
        <w:tc>
          <w:tcPr>
            <w:tcW w:w="3212" w:type="dxa"/>
            <w:tcBorders>
              <w:top w:val="nil"/>
              <w:left w:val="nil"/>
              <w:bottom w:val="nil"/>
              <w:right w:val="single" w:sz="4" w:space="0" w:color="auto"/>
            </w:tcBorders>
            <w:shd w:val="clear" w:color="auto" w:fill="auto"/>
            <w:vAlign w:val="center"/>
            <w:hideMark/>
          </w:tcPr>
          <w:p w14:paraId="37348E1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763CB843"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355 </w:t>
            </w:r>
          </w:p>
        </w:tc>
      </w:tr>
      <w:tr w:rsidR="006146A4" w:rsidRPr="006146A4" w14:paraId="5CA40FC8"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4DF9D1D5"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Enworks</w:t>
            </w:r>
            <w:proofErr w:type="spellEnd"/>
          </w:p>
        </w:tc>
        <w:tc>
          <w:tcPr>
            <w:tcW w:w="1385" w:type="dxa"/>
            <w:tcBorders>
              <w:top w:val="nil"/>
              <w:left w:val="single" w:sz="4" w:space="0" w:color="auto"/>
              <w:bottom w:val="nil"/>
              <w:right w:val="single" w:sz="4" w:space="0" w:color="auto"/>
            </w:tcBorders>
            <w:shd w:val="clear" w:color="auto" w:fill="auto"/>
            <w:vAlign w:val="center"/>
            <w:hideMark/>
          </w:tcPr>
          <w:p w14:paraId="03F3A9C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CBEN / CREA</w:t>
            </w:r>
          </w:p>
        </w:tc>
        <w:tc>
          <w:tcPr>
            <w:tcW w:w="3212" w:type="dxa"/>
            <w:tcBorders>
              <w:top w:val="nil"/>
              <w:left w:val="nil"/>
              <w:bottom w:val="nil"/>
              <w:right w:val="single" w:sz="4" w:space="0" w:color="auto"/>
            </w:tcBorders>
            <w:shd w:val="clear" w:color="auto" w:fill="auto"/>
            <w:vAlign w:val="center"/>
            <w:hideMark/>
          </w:tcPr>
          <w:p w14:paraId="35C40EA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3D721533"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2,126 </w:t>
            </w:r>
          </w:p>
        </w:tc>
      </w:tr>
      <w:tr w:rsidR="006146A4" w:rsidRPr="006146A4" w14:paraId="0523AA91"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1CFE45B9"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Enworks</w:t>
            </w:r>
            <w:proofErr w:type="spellEnd"/>
            <w:r w:rsidRPr="006146A4">
              <w:rPr>
                <w:rFonts w:ascii="Calibri" w:eastAsia="Times New Roman" w:hAnsi="Calibri" w:cs="Times New Roman"/>
                <w:sz w:val="20"/>
                <w:szCs w:val="20"/>
              </w:rPr>
              <w:t xml:space="preserve"> toolkit</w:t>
            </w:r>
          </w:p>
        </w:tc>
        <w:tc>
          <w:tcPr>
            <w:tcW w:w="1385" w:type="dxa"/>
            <w:tcBorders>
              <w:top w:val="nil"/>
              <w:left w:val="single" w:sz="4" w:space="0" w:color="auto"/>
              <w:bottom w:val="nil"/>
              <w:right w:val="single" w:sz="4" w:space="0" w:color="auto"/>
            </w:tcBorders>
            <w:shd w:val="clear" w:color="auto" w:fill="auto"/>
            <w:vAlign w:val="center"/>
            <w:hideMark/>
          </w:tcPr>
          <w:p w14:paraId="61C58A6B"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CREA</w:t>
            </w:r>
          </w:p>
        </w:tc>
        <w:tc>
          <w:tcPr>
            <w:tcW w:w="3212" w:type="dxa"/>
            <w:tcBorders>
              <w:top w:val="nil"/>
              <w:left w:val="nil"/>
              <w:bottom w:val="nil"/>
              <w:right w:val="single" w:sz="4" w:space="0" w:color="auto"/>
            </w:tcBorders>
            <w:shd w:val="clear" w:color="auto" w:fill="auto"/>
            <w:vAlign w:val="center"/>
            <w:hideMark/>
          </w:tcPr>
          <w:p w14:paraId="725C1E42"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5301BFB0"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156 </w:t>
            </w:r>
          </w:p>
        </w:tc>
      </w:tr>
      <w:tr w:rsidR="006146A4" w:rsidRPr="006146A4" w14:paraId="66385405"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4453382B"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Enworks</w:t>
            </w:r>
            <w:proofErr w:type="spellEnd"/>
            <w:r w:rsidRPr="006146A4">
              <w:rPr>
                <w:rFonts w:ascii="Calibri" w:eastAsia="Times New Roman" w:hAnsi="Calibri" w:cs="Times New Roman"/>
                <w:sz w:val="20"/>
                <w:szCs w:val="20"/>
              </w:rPr>
              <w:t xml:space="preserve"> toolkit</w:t>
            </w:r>
          </w:p>
        </w:tc>
        <w:tc>
          <w:tcPr>
            <w:tcW w:w="1385" w:type="dxa"/>
            <w:tcBorders>
              <w:top w:val="nil"/>
              <w:left w:val="single" w:sz="4" w:space="0" w:color="auto"/>
              <w:bottom w:val="nil"/>
              <w:right w:val="single" w:sz="4" w:space="0" w:color="auto"/>
            </w:tcBorders>
            <w:shd w:val="clear" w:color="auto" w:fill="auto"/>
            <w:vAlign w:val="center"/>
            <w:hideMark/>
          </w:tcPr>
          <w:p w14:paraId="479EAC00"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CREA</w:t>
            </w:r>
          </w:p>
        </w:tc>
        <w:tc>
          <w:tcPr>
            <w:tcW w:w="3212" w:type="dxa"/>
            <w:tcBorders>
              <w:top w:val="nil"/>
              <w:left w:val="nil"/>
              <w:bottom w:val="nil"/>
              <w:right w:val="single" w:sz="4" w:space="0" w:color="auto"/>
            </w:tcBorders>
            <w:shd w:val="clear" w:color="auto" w:fill="auto"/>
            <w:vAlign w:val="center"/>
            <w:hideMark/>
          </w:tcPr>
          <w:p w14:paraId="2D3968CC"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0E762A10"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309 </w:t>
            </w:r>
          </w:p>
        </w:tc>
      </w:tr>
      <w:tr w:rsidR="006146A4" w:rsidRPr="006146A4" w14:paraId="4A225675"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19FC241A"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Enworks</w:t>
            </w:r>
            <w:proofErr w:type="spellEnd"/>
            <w:r w:rsidRPr="006146A4">
              <w:rPr>
                <w:rFonts w:ascii="Calibri" w:eastAsia="Times New Roman" w:hAnsi="Calibri" w:cs="Times New Roman"/>
                <w:sz w:val="20"/>
                <w:szCs w:val="20"/>
              </w:rPr>
              <w:t xml:space="preserve"> toolkit</w:t>
            </w:r>
          </w:p>
        </w:tc>
        <w:tc>
          <w:tcPr>
            <w:tcW w:w="1385" w:type="dxa"/>
            <w:tcBorders>
              <w:top w:val="nil"/>
              <w:left w:val="single" w:sz="4" w:space="0" w:color="auto"/>
              <w:bottom w:val="nil"/>
              <w:right w:val="single" w:sz="4" w:space="0" w:color="auto"/>
            </w:tcBorders>
            <w:shd w:val="clear" w:color="auto" w:fill="auto"/>
            <w:vAlign w:val="center"/>
            <w:hideMark/>
          </w:tcPr>
          <w:p w14:paraId="7901BC94"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CREA</w:t>
            </w:r>
          </w:p>
        </w:tc>
        <w:tc>
          <w:tcPr>
            <w:tcW w:w="3212" w:type="dxa"/>
            <w:tcBorders>
              <w:top w:val="nil"/>
              <w:left w:val="nil"/>
              <w:bottom w:val="nil"/>
              <w:right w:val="single" w:sz="4" w:space="0" w:color="auto"/>
            </w:tcBorders>
            <w:shd w:val="clear" w:color="auto" w:fill="auto"/>
            <w:vAlign w:val="center"/>
            <w:hideMark/>
          </w:tcPr>
          <w:p w14:paraId="52AC7060"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3C600165"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1,078 </w:t>
            </w:r>
          </w:p>
        </w:tc>
      </w:tr>
      <w:tr w:rsidR="006146A4" w:rsidRPr="006146A4" w14:paraId="02F800C0"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225BAD62"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Reduced flow showerheads; blog and mailing list</w:t>
            </w:r>
          </w:p>
        </w:tc>
        <w:tc>
          <w:tcPr>
            <w:tcW w:w="1385" w:type="dxa"/>
            <w:tcBorders>
              <w:top w:val="nil"/>
              <w:left w:val="single" w:sz="4" w:space="0" w:color="auto"/>
              <w:bottom w:val="nil"/>
              <w:right w:val="single" w:sz="4" w:space="0" w:color="auto"/>
            </w:tcBorders>
            <w:shd w:val="clear" w:color="auto" w:fill="auto"/>
            <w:vAlign w:val="center"/>
            <w:hideMark/>
          </w:tcPr>
          <w:p w14:paraId="32174B24"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Nurture Lakeland</w:t>
            </w:r>
          </w:p>
        </w:tc>
        <w:tc>
          <w:tcPr>
            <w:tcW w:w="3212" w:type="dxa"/>
            <w:tcBorders>
              <w:top w:val="nil"/>
              <w:left w:val="nil"/>
              <w:bottom w:val="nil"/>
              <w:right w:val="single" w:sz="4" w:space="0" w:color="auto"/>
            </w:tcBorders>
            <w:shd w:val="clear" w:color="auto" w:fill="auto"/>
            <w:vAlign w:val="center"/>
            <w:hideMark/>
          </w:tcPr>
          <w:p w14:paraId="42AA62F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1DA2A09A"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82 </w:t>
            </w:r>
          </w:p>
        </w:tc>
      </w:tr>
      <w:tr w:rsidR="006146A4" w:rsidRPr="006146A4" w14:paraId="37ADD6CD"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7F41803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Laundry cards</w:t>
            </w:r>
          </w:p>
        </w:tc>
        <w:tc>
          <w:tcPr>
            <w:tcW w:w="1385" w:type="dxa"/>
            <w:tcBorders>
              <w:top w:val="nil"/>
              <w:left w:val="single" w:sz="4" w:space="0" w:color="auto"/>
              <w:bottom w:val="nil"/>
              <w:right w:val="single" w:sz="4" w:space="0" w:color="auto"/>
            </w:tcBorders>
            <w:shd w:val="clear" w:color="auto" w:fill="auto"/>
            <w:vAlign w:val="center"/>
            <w:hideMark/>
          </w:tcPr>
          <w:p w14:paraId="0EDFCBB8"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Nurture Lakeland</w:t>
            </w:r>
          </w:p>
        </w:tc>
        <w:tc>
          <w:tcPr>
            <w:tcW w:w="3212" w:type="dxa"/>
            <w:tcBorders>
              <w:top w:val="nil"/>
              <w:left w:val="nil"/>
              <w:bottom w:val="nil"/>
              <w:right w:val="single" w:sz="4" w:space="0" w:color="auto"/>
            </w:tcBorders>
            <w:shd w:val="clear" w:color="auto" w:fill="auto"/>
            <w:vAlign w:val="center"/>
            <w:hideMark/>
          </w:tcPr>
          <w:p w14:paraId="3A971C40"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522384E3"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26 </w:t>
            </w:r>
          </w:p>
        </w:tc>
      </w:tr>
      <w:tr w:rsidR="006146A4" w:rsidRPr="006146A4" w14:paraId="46B49DAD"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23164440"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Water saving events</w:t>
            </w:r>
          </w:p>
        </w:tc>
        <w:tc>
          <w:tcPr>
            <w:tcW w:w="1385" w:type="dxa"/>
            <w:tcBorders>
              <w:top w:val="nil"/>
              <w:left w:val="single" w:sz="4" w:space="0" w:color="auto"/>
              <w:bottom w:val="nil"/>
              <w:right w:val="single" w:sz="4" w:space="0" w:color="auto"/>
            </w:tcBorders>
            <w:shd w:val="clear" w:color="auto" w:fill="auto"/>
            <w:vAlign w:val="center"/>
            <w:hideMark/>
          </w:tcPr>
          <w:p w14:paraId="2845138F"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Nurture Lakeland</w:t>
            </w:r>
          </w:p>
        </w:tc>
        <w:tc>
          <w:tcPr>
            <w:tcW w:w="3212" w:type="dxa"/>
            <w:tcBorders>
              <w:top w:val="nil"/>
              <w:left w:val="nil"/>
              <w:bottom w:val="nil"/>
              <w:right w:val="single" w:sz="4" w:space="0" w:color="auto"/>
            </w:tcBorders>
            <w:shd w:val="clear" w:color="auto" w:fill="auto"/>
            <w:vAlign w:val="center"/>
            <w:hideMark/>
          </w:tcPr>
          <w:p w14:paraId="7D0C1349"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534CDC84"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11 </w:t>
            </w:r>
          </w:p>
        </w:tc>
      </w:tr>
      <w:tr w:rsidR="006146A4" w:rsidRPr="006146A4" w14:paraId="4A4DB61A"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1A11DB0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Embleton spa Hotel heating</w:t>
            </w:r>
          </w:p>
        </w:tc>
        <w:tc>
          <w:tcPr>
            <w:tcW w:w="1385" w:type="dxa"/>
            <w:tcBorders>
              <w:top w:val="nil"/>
              <w:left w:val="single" w:sz="4" w:space="0" w:color="auto"/>
              <w:bottom w:val="nil"/>
              <w:right w:val="single" w:sz="4" w:space="0" w:color="auto"/>
            </w:tcBorders>
            <w:shd w:val="clear" w:color="auto" w:fill="auto"/>
            <w:vAlign w:val="center"/>
            <w:hideMark/>
          </w:tcPr>
          <w:p w14:paraId="3A0B7115"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CREA</w:t>
            </w:r>
          </w:p>
        </w:tc>
        <w:tc>
          <w:tcPr>
            <w:tcW w:w="3212" w:type="dxa"/>
            <w:tcBorders>
              <w:top w:val="nil"/>
              <w:left w:val="nil"/>
              <w:bottom w:val="nil"/>
              <w:right w:val="single" w:sz="4" w:space="0" w:color="auto"/>
            </w:tcBorders>
            <w:shd w:val="clear" w:color="auto" w:fill="auto"/>
            <w:vAlign w:val="center"/>
            <w:hideMark/>
          </w:tcPr>
          <w:p w14:paraId="63FE038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22DB18A8"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153 </w:t>
            </w:r>
          </w:p>
        </w:tc>
      </w:tr>
      <w:tr w:rsidR="006146A4" w:rsidRPr="006146A4" w14:paraId="0359B946"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224FF1D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Assisting businesses with eco-installations</w:t>
            </w:r>
          </w:p>
        </w:tc>
        <w:tc>
          <w:tcPr>
            <w:tcW w:w="1385" w:type="dxa"/>
            <w:tcBorders>
              <w:top w:val="nil"/>
              <w:left w:val="single" w:sz="4" w:space="0" w:color="auto"/>
              <w:bottom w:val="nil"/>
              <w:right w:val="single" w:sz="4" w:space="0" w:color="auto"/>
            </w:tcBorders>
            <w:shd w:val="clear" w:color="auto" w:fill="auto"/>
            <w:vAlign w:val="center"/>
            <w:hideMark/>
          </w:tcPr>
          <w:p w14:paraId="6FFCA7C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CREA/LDNPA</w:t>
            </w:r>
          </w:p>
        </w:tc>
        <w:tc>
          <w:tcPr>
            <w:tcW w:w="3212" w:type="dxa"/>
            <w:tcBorders>
              <w:top w:val="nil"/>
              <w:left w:val="nil"/>
              <w:bottom w:val="nil"/>
              <w:right w:val="single" w:sz="4" w:space="0" w:color="auto"/>
            </w:tcBorders>
            <w:shd w:val="clear" w:color="auto" w:fill="auto"/>
            <w:vAlign w:val="center"/>
            <w:hideMark/>
          </w:tcPr>
          <w:p w14:paraId="4ABC863B"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3D766DA9"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225 </w:t>
            </w:r>
          </w:p>
        </w:tc>
      </w:tr>
      <w:tr w:rsidR="006146A4" w:rsidRPr="006146A4" w14:paraId="70B953BD"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242573D8"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Assisting businesses with eco-installations</w:t>
            </w:r>
          </w:p>
        </w:tc>
        <w:tc>
          <w:tcPr>
            <w:tcW w:w="1385" w:type="dxa"/>
            <w:tcBorders>
              <w:top w:val="nil"/>
              <w:left w:val="single" w:sz="4" w:space="0" w:color="auto"/>
              <w:bottom w:val="nil"/>
              <w:right w:val="single" w:sz="4" w:space="0" w:color="auto"/>
            </w:tcBorders>
            <w:shd w:val="clear" w:color="auto" w:fill="auto"/>
            <w:vAlign w:val="center"/>
            <w:hideMark/>
          </w:tcPr>
          <w:p w14:paraId="4BD9EEE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NL</w:t>
            </w:r>
          </w:p>
        </w:tc>
        <w:tc>
          <w:tcPr>
            <w:tcW w:w="3212" w:type="dxa"/>
            <w:tcBorders>
              <w:top w:val="nil"/>
              <w:left w:val="nil"/>
              <w:bottom w:val="nil"/>
              <w:right w:val="single" w:sz="4" w:space="0" w:color="auto"/>
            </w:tcBorders>
            <w:shd w:val="clear" w:color="auto" w:fill="auto"/>
            <w:vAlign w:val="center"/>
            <w:hideMark/>
          </w:tcPr>
          <w:p w14:paraId="02AEC7B3"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062FBEDA"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60 </w:t>
            </w:r>
          </w:p>
        </w:tc>
      </w:tr>
      <w:tr w:rsidR="006146A4" w:rsidRPr="006146A4" w14:paraId="31AB44DF"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10CE606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Reduced oil consumption in cottages</w:t>
            </w:r>
          </w:p>
        </w:tc>
        <w:tc>
          <w:tcPr>
            <w:tcW w:w="1385" w:type="dxa"/>
            <w:tcBorders>
              <w:top w:val="nil"/>
              <w:left w:val="single" w:sz="4" w:space="0" w:color="auto"/>
              <w:bottom w:val="nil"/>
              <w:right w:val="single" w:sz="4" w:space="0" w:color="auto"/>
            </w:tcBorders>
            <w:shd w:val="clear" w:color="auto" w:fill="auto"/>
            <w:vAlign w:val="center"/>
            <w:hideMark/>
          </w:tcPr>
          <w:p w14:paraId="585434F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NT</w:t>
            </w:r>
          </w:p>
        </w:tc>
        <w:tc>
          <w:tcPr>
            <w:tcW w:w="3212" w:type="dxa"/>
            <w:tcBorders>
              <w:top w:val="nil"/>
              <w:left w:val="nil"/>
              <w:bottom w:val="nil"/>
              <w:right w:val="single" w:sz="4" w:space="0" w:color="auto"/>
            </w:tcBorders>
            <w:shd w:val="clear" w:color="auto" w:fill="auto"/>
            <w:vAlign w:val="center"/>
            <w:hideMark/>
          </w:tcPr>
          <w:p w14:paraId="3181C040"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 xml:space="preserve">Achieved savings for reporting period (figures from NT). </w:t>
            </w:r>
          </w:p>
        </w:tc>
        <w:tc>
          <w:tcPr>
            <w:tcW w:w="1344" w:type="dxa"/>
            <w:tcBorders>
              <w:top w:val="nil"/>
              <w:left w:val="nil"/>
              <w:bottom w:val="nil"/>
              <w:right w:val="single" w:sz="4" w:space="0" w:color="auto"/>
            </w:tcBorders>
            <w:shd w:val="clear" w:color="auto" w:fill="auto"/>
            <w:vAlign w:val="center"/>
            <w:hideMark/>
          </w:tcPr>
          <w:p w14:paraId="59B93822"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10 </w:t>
            </w:r>
          </w:p>
        </w:tc>
      </w:tr>
      <w:tr w:rsidR="006146A4" w:rsidRPr="006146A4" w14:paraId="6D5D1202"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127DF4A8"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Love your Lakes campaign to reduce water use and improve water quality</w:t>
            </w:r>
          </w:p>
        </w:tc>
        <w:tc>
          <w:tcPr>
            <w:tcW w:w="1385" w:type="dxa"/>
            <w:tcBorders>
              <w:top w:val="nil"/>
              <w:left w:val="single" w:sz="4" w:space="0" w:color="auto"/>
              <w:bottom w:val="nil"/>
              <w:right w:val="single" w:sz="4" w:space="0" w:color="auto"/>
            </w:tcBorders>
            <w:shd w:val="clear" w:color="auto" w:fill="auto"/>
            <w:vAlign w:val="center"/>
            <w:hideMark/>
          </w:tcPr>
          <w:p w14:paraId="051F9C1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NL</w:t>
            </w:r>
          </w:p>
        </w:tc>
        <w:tc>
          <w:tcPr>
            <w:tcW w:w="3212" w:type="dxa"/>
            <w:tcBorders>
              <w:top w:val="nil"/>
              <w:left w:val="nil"/>
              <w:bottom w:val="nil"/>
              <w:right w:val="single" w:sz="4" w:space="0" w:color="auto"/>
            </w:tcBorders>
            <w:shd w:val="clear" w:color="auto" w:fill="auto"/>
            <w:vAlign w:val="center"/>
            <w:hideMark/>
          </w:tcPr>
          <w:p w14:paraId="28B4B82A"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3809DC81"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 </w:t>
            </w:r>
          </w:p>
        </w:tc>
      </w:tr>
      <w:tr w:rsidR="006146A4" w:rsidRPr="006146A4" w14:paraId="0EC42CE8"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2688CC1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lastRenderedPageBreak/>
              <w:t>Love your Lakes campaign to reduce water use and improve water quality</w:t>
            </w:r>
          </w:p>
        </w:tc>
        <w:tc>
          <w:tcPr>
            <w:tcW w:w="1385" w:type="dxa"/>
            <w:tcBorders>
              <w:top w:val="nil"/>
              <w:left w:val="single" w:sz="4" w:space="0" w:color="auto"/>
              <w:bottom w:val="nil"/>
              <w:right w:val="single" w:sz="4" w:space="0" w:color="auto"/>
            </w:tcBorders>
            <w:shd w:val="clear" w:color="auto" w:fill="auto"/>
            <w:vAlign w:val="center"/>
            <w:hideMark/>
          </w:tcPr>
          <w:p w14:paraId="69096D08"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NL</w:t>
            </w:r>
          </w:p>
        </w:tc>
        <w:tc>
          <w:tcPr>
            <w:tcW w:w="3212" w:type="dxa"/>
            <w:tcBorders>
              <w:top w:val="nil"/>
              <w:left w:val="nil"/>
              <w:bottom w:val="nil"/>
              <w:right w:val="single" w:sz="4" w:space="0" w:color="auto"/>
            </w:tcBorders>
            <w:shd w:val="clear" w:color="auto" w:fill="auto"/>
            <w:vAlign w:val="center"/>
            <w:hideMark/>
          </w:tcPr>
          <w:p w14:paraId="29A8C957"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4B40C4A1"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6 </w:t>
            </w:r>
          </w:p>
        </w:tc>
      </w:tr>
      <w:tr w:rsidR="006146A4" w:rsidRPr="006146A4" w14:paraId="0C81918D"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16FB80A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Low Carbon Cottages - supporting owners to make energy savings</w:t>
            </w:r>
          </w:p>
        </w:tc>
        <w:tc>
          <w:tcPr>
            <w:tcW w:w="1385" w:type="dxa"/>
            <w:tcBorders>
              <w:top w:val="nil"/>
              <w:left w:val="single" w:sz="4" w:space="0" w:color="auto"/>
              <w:bottom w:val="nil"/>
              <w:right w:val="single" w:sz="4" w:space="0" w:color="auto"/>
            </w:tcBorders>
            <w:shd w:val="clear" w:color="auto" w:fill="auto"/>
            <w:vAlign w:val="center"/>
            <w:hideMark/>
          </w:tcPr>
          <w:p w14:paraId="498314E7"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NL</w:t>
            </w:r>
          </w:p>
        </w:tc>
        <w:tc>
          <w:tcPr>
            <w:tcW w:w="3212" w:type="dxa"/>
            <w:tcBorders>
              <w:top w:val="nil"/>
              <w:left w:val="nil"/>
              <w:bottom w:val="nil"/>
              <w:right w:val="single" w:sz="4" w:space="0" w:color="auto"/>
            </w:tcBorders>
            <w:shd w:val="clear" w:color="auto" w:fill="auto"/>
            <w:vAlign w:val="center"/>
            <w:hideMark/>
          </w:tcPr>
          <w:p w14:paraId="44C5CF63"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73B1F143"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 </w:t>
            </w:r>
          </w:p>
        </w:tc>
      </w:tr>
      <w:tr w:rsidR="006146A4" w:rsidRPr="006146A4" w14:paraId="4EC5438B" w14:textId="77777777" w:rsidTr="006146A4">
        <w:trPr>
          <w:trHeight w:val="580"/>
        </w:trPr>
        <w:tc>
          <w:tcPr>
            <w:tcW w:w="4079" w:type="dxa"/>
            <w:tcBorders>
              <w:top w:val="nil"/>
              <w:left w:val="single" w:sz="4" w:space="0" w:color="auto"/>
              <w:bottom w:val="nil"/>
              <w:right w:val="nil"/>
            </w:tcBorders>
            <w:shd w:val="clear" w:color="auto" w:fill="auto"/>
            <w:vAlign w:val="center"/>
            <w:hideMark/>
          </w:tcPr>
          <w:p w14:paraId="61B98B9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Low carbon cottages toolkit for sustainable retrofit</w:t>
            </w:r>
          </w:p>
        </w:tc>
        <w:tc>
          <w:tcPr>
            <w:tcW w:w="1385" w:type="dxa"/>
            <w:tcBorders>
              <w:top w:val="nil"/>
              <w:left w:val="single" w:sz="4" w:space="0" w:color="auto"/>
              <w:bottom w:val="nil"/>
              <w:right w:val="single" w:sz="4" w:space="0" w:color="auto"/>
            </w:tcBorders>
            <w:shd w:val="clear" w:color="auto" w:fill="auto"/>
            <w:vAlign w:val="center"/>
            <w:hideMark/>
          </w:tcPr>
          <w:p w14:paraId="262CF0A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NL</w:t>
            </w:r>
          </w:p>
        </w:tc>
        <w:tc>
          <w:tcPr>
            <w:tcW w:w="3212" w:type="dxa"/>
            <w:tcBorders>
              <w:top w:val="nil"/>
              <w:left w:val="nil"/>
              <w:bottom w:val="nil"/>
              <w:right w:val="single" w:sz="4" w:space="0" w:color="auto"/>
            </w:tcBorders>
            <w:shd w:val="clear" w:color="auto" w:fill="auto"/>
            <w:vAlign w:val="center"/>
            <w:hideMark/>
          </w:tcPr>
          <w:p w14:paraId="251822FC"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2A02F6DD"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184 </w:t>
            </w:r>
          </w:p>
        </w:tc>
      </w:tr>
      <w:tr w:rsidR="006146A4" w:rsidRPr="006146A4" w14:paraId="3DB60BEB" w14:textId="77777777" w:rsidTr="006146A4">
        <w:trPr>
          <w:trHeight w:val="400"/>
        </w:trPr>
        <w:tc>
          <w:tcPr>
            <w:tcW w:w="4079" w:type="dxa"/>
            <w:tcBorders>
              <w:top w:val="single" w:sz="8" w:space="0" w:color="auto"/>
              <w:left w:val="single" w:sz="4" w:space="0" w:color="auto"/>
              <w:bottom w:val="nil"/>
              <w:right w:val="nil"/>
            </w:tcBorders>
            <w:shd w:val="clear" w:color="000000" w:fill="D9D9D9"/>
            <w:vAlign w:val="center"/>
            <w:hideMark/>
          </w:tcPr>
          <w:p w14:paraId="00BCFB60"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85" w:type="dxa"/>
            <w:tcBorders>
              <w:top w:val="single" w:sz="8" w:space="0" w:color="auto"/>
              <w:left w:val="single" w:sz="4" w:space="0" w:color="auto"/>
              <w:bottom w:val="nil"/>
              <w:right w:val="single" w:sz="4" w:space="0" w:color="auto"/>
            </w:tcBorders>
            <w:shd w:val="clear" w:color="000000" w:fill="D9D9D9"/>
            <w:vAlign w:val="center"/>
            <w:hideMark/>
          </w:tcPr>
          <w:p w14:paraId="6D04371D"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3212" w:type="dxa"/>
            <w:tcBorders>
              <w:top w:val="single" w:sz="8" w:space="0" w:color="auto"/>
              <w:left w:val="nil"/>
              <w:bottom w:val="nil"/>
              <w:right w:val="single" w:sz="4" w:space="0" w:color="auto"/>
            </w:tcBorders>
            <w:shd w:val="clear" w:color="000000" w:fill="D9D9D9"/>
            <w:vAlign w:val="center"/>
            <w:hideMark/>
          </w:tcPr>
          <w:p w14:paraId="55C337F0"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44" w:type="dxa"/>
            <w:tcBorders>
              <w:top w:val="single" w:sz="8" w:space="0" w:color="auto"/>
              <w:left w:val="nil"/>
              <w:bottom w:val="nil"/>
              <w:right w:val="single" w:sz="4" w:space="0" w:color="auto"/>
            </w:tcBorders>
            <w:shd w:val="clear" w:color="000000" w:fill="D9D9D9"/>
            <w:vAlign w:val="center"/>
            <w:hideMark/>
          </w:tcPr>
          <w:p w14:paraId="3D45E6DA" w14:textId="77777777" w:rsidR="006146A4" w:rsidRPr="006146A4" w:rsidRDefault="006146A4" w:rsidP="006146A4">
            <w:pPr>
              <w:spacing w:after="0" w:line="240" w:lineRule="auto"/>
              <w:jc w:val="center"/>
              <w:rPr>
                <w:rFonts w:ascii="Calibri" w:eastAsia="Times New Roman" w:hAnsi="Calibri" w:cs="Times New Roman"/>
                <w:b/>
                <w:bCs/>
                <w:sz w:val="32"/>
                <w:szCs w:val="32"/>
              </w:rPr>
            </w:pPr>
            <w:r w:rsidRPr="006146A4">
              <w:rPr>
                <w:rFonts w:ascii="Calibri" w:eastAsia="Times New Roman" w:hAnsi="Calibri" w:cs="Times New Roman"/>
                <w:b/>
                <w:bCs/>
                <w:sz w:val="32"/>
                <w:szCs w:val="32"/>
              </w:rPr>
              <w:t xml:space="preserve"> 6,233 </w:t>
            </w:r>
          </w:p>
        </w:tc>
      </w:tr>
      <w:tr w:rsidR="006146A4" w:rsidRPr="006146A4" w14:paraId="2A6CD854" w14:textId="77777777" w:rsidTr="006146A4">
        <w:trPr>
          <w:trHeight w:val="400"/>
        </w:trPr>
        <w:tc>
          <w:tcPr>
            <w:tcW w:w="1002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BF3FE3B" w14:textId="77777777" w:rsidR="006146A4" w:rsidRPr="006146A4" w:rsidRDefault="006146A4" w:rsidP="006146A4">
            <w:pPr>
              <w:spacing w:after="0" w:line="240" w:lineRule="auto"/>
              <w:rPr>
                <w:rFonts w:ascii="Calibri" w:eastAsia="Times New Roman" w:hAnsi="Calibri" w:cs="Times New Roman"/>
                <w:b/>
                <w:bCs/>
                <w:sz w:val="24"/>
                <w:szCs w:val="24"/>
              </w:rPr>
            </w:pPr>
            <w:r w:rsidRPr="006146A4">
              <w:rPr>
                <w:rFonts w:ascii="Calibri" w:eastAsia="Times New Roman" w:hAnsi="Calibri" w:cs="Times New Roman"/>
                <w:b/>
                <w:bCs/>
                <w:sz w:val="24"/>
                <w:szCs w:val="24"/>
              </w:rPr>
              <w:t>Home energy</w:t>
            </w:r>
          </w:p>
        </w:tc>
      </w:tr>
      <w:tr w:rsidR="006146A4" w:rsidRPr="006146A4" w14:paraId="346E5873" w14:textId="77777777" w:rsidTr="006146A4">
        <w:trPr>
          <w:trHeight w:val="840"/>
        </w:trPr>
        <w:tc>
          <w:tcPr>
            <w:tcW w:w="4079" w:type="dxa"/>
            <w:tcBorders>
              <w:top w:val="nil"/>
              <w:left w:val="single" w:sz="4" w:space="0" w:color="auto"/>
              <w:bottom w:val="nil"/>
              <w:right w:val="nil"/>
            </w:tcBorders>
            <w:shd w:val="clear" w:color="auto" w:fill="auto"/>
            <w:vAlign w:val="center"/>
            <w:hideMark/>
          </w:tcPr>
          <w:p w14:paraId="2CB3DF84"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Warm Homes Project; CERT funded project to offer energy efficiency surveys to Cumbrian households</w:t>
            </w:r>
          </w:p>
        </w:tc>
        <w:tc>
          <w:tcPr>
            <w:tcW w:w="1385" w:type="dxa"/>
            <w:tcBorders>
              <w:top w:val="nil"/>
              <w:left w:val="single" w:sz="4" w:space="0" w:color="auto"/>
              <w:bottom w:val="nil"/>
              <w:right w:val="single" w:sz="4" w:space="0" w:color="auto"/>
            </w:tcBorders>
            <w:shd w:val="clear" w:color="auto" w:fill="auto"/>
            <w:vAlign w:val="center"/>
            <w:hideMark/>
          </w:tcPr>
          <w:p w14:paraId="0B928BFF"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LDNPA</w:t>
            </w:r>
          </w:p>
        </w:tc>
        <w:tc>
          <w:tcPr>
            <w:tcW w:w="3212" w:type="dxa"/>
            <w:tcBorders>
              <w:top w:val="nil"/>
              <w:left w:val="nil"/>
              <w:bottom w:val="nil"/>
              <w:right w:val="single" w:sz="4" w:space="0" w:color="auto"/>
            </w:tcBorders>
            <w:shd w:val="clear" w:color="auto" w:fill="auto"/>
            <w:vAlign w:val="center"/>
            <w:hideMark/>
          </w:tcPr>
          <w:p w14:paraId="10115C3A"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050BE574"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11,200 </w:t>
            </w:r>
          </w:p>
        </w:tc>
      </w:tr>
      <w:tr w:rsidR="006146A4" w:rsidRPr="006146A4" w14:paraId="4FC59103"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08440E4B"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Seeing the Stars; engaging people on energy efficiency</w:t>
            </w:r>
          </w:p>
        </w:tc>
        <w:tc>
          <w:tcPr>
            <w:tcW w:w="1385" w:type="dxa"/>
            <w:tcBorders>
              <w:top w:val="nil"/>
              <w:left w:val="single" w:sz="4" w:space="0" w:color="auto"/>
              <w:bottom w:val="nil"/>
              <w:right w:val="single" w:sz="4" w:space="0" w:color="auto"/>
            </w:tcBorders>
            <w:shd w:val="clear" w:color="auto" w:fill="auto"/>
            <w:vAlign w:val="center"/>
            <w:hideMark/>
          </w:tcPr>
          <w:p w14:paraId="35E516E8"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FLD / EST</w:t>
            </w:r>
          </w:p>
        </w:tc>
        <w:tc>
          <w:tcPr>
            <w:tcW w:w="3212" w:type="dxa"/>
            <w:tcBorders>
              <w:top w:val="nil"/>
              <w:left w:val="nil"/>
              <w:bottom w:val="nil"/>
              <w:right w:val="single" w:sz="4" w:space="0" w:color="auto"/>
            </w:tcBorders>
            <w:shd w:val="clear" w:color="auto" w:fill="auto"/>
            <w:vAlign w:val="center"/>
            <w:hideMark/>
          </w:tcPr>
          <w:p w14:paraId="30AC9CF2"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690DC182"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47 </w:t>
            </w:r>
          </w:p>
        </w:tc>
      </w:tr>
      <w:tr w:rsidR="006146A4" w:rsidRPr="006146A4" w14:paraId="5C72FB1A" w14:textId="77777777" w:rsidTr="006146A4">
        <w:trPr>
          <w:trHeight w:val="840"/>
        </w:trPr>
        <w:tc>
          <w:tcPr>
            <w:tcW w:w="4079" w:type="dxa"/>
            <w:tcBorders>
              <w:top w:val="nil"/>
              <w:left w:val="single" w:sz="4" w:space="0" w:color="auto"/>
              <w:bottom w:val="nil"/>
              <w:right w:val="nil"/>
            </w:tcBorders>
            <w:shd w:val="clear" w:color="auto" w:fill="auto"/>
            <w:vAlign w:val="center"/>
            <w:hideMark/>
          </w:tcPr>
          <w:p w14:paraId="6958F26F"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Green Ways to Work programme</w:t>
            </w:r>
          </w:p>
        </w:tc>
        <w:tc>
          <w:tcPr>
            <w:tcW w:w="1385" w:type="dxa"/>
            <w:tcBorders>
              <w:top w:val="nil"/>
              <w:left w:val="single" w:sz="4" w:space="0" w:color="auto"/>
              <w:bottom w:val="nil"/>
              <w:right w:val="single" w:sz="4" w:space="0" w:color="auto"/>
            </w:tcBorders>
            <w:shd w:val="clear" w:color="auto" w:fill="auto"/>
            <w:vAlign w:val="center"/>
            <w:hideMark/>
          </w:tcPr>
          <w:p w14:paraId="14597E1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Impact Housing/</w:t>
            </w:r>
            <w:proofErr w:type="spellStart"/>
            <w:r w:rsidRPr="006146A4">
              <w:rPr>
                <w:rFonts w:ascii="Calibri" w:eastAsia="Times New Roman" w:hAnsi="Calibri" w:cs="Times New Roman"/>
                <w:sz w:val="20"/>
                <w:szCs w:val="20"/>
              </w:rPr>
              <w:t>CAfS</w:t>
            </w:r>
            <w:proofErr w:type="spellEnd"/>
            <w:r w:rsidRPr="006146A4">
              <w:rPr>
                <w:rFonts w:ascii="Calibri" w:eastAsia="Times New Roman" w:hAnsi="Calibri" w:cs="Times New Roman"/>
                <w:sz w:val="20"/>
                <w:szCs w:val="20"/>
              </w:rPr>
              <w:t xml:space="preserve"> </w:t>
            </w:r>
            <w:proofErr w:type="spellStart"/>
            <w:r w:rsidRPr="006146A4">
              <w:rPr>
                <w:rFonts w:ascii="Calibri" w:eastAsia="Times New Roman" w:hAnsi="Calibri" w:cs="Times New Roman"/>
                <w:sz w:val="20"/>
                <w:szCs w:val="20"/>
              </w:rPr>
              <w:t>etc</w:t>
            </w:r>
            <w:proofErr w:type="spellEnd"/>
          </w:p>
        </w:tc>
        <w:tc>
          <w:tcPr>
            <w:tcW w:w="3212" w:type="dxa"/>
            <w:tcBorders>
              <w:top w:val="nil"/>
              <w:left w:val="nil"/>
              <w:bottom w:val="nil"/>
              <w:right w:val="single" w:sz="4" w:space="0" w:color="auto"/>
            </w:tcBorders>
            <w:shd w:val="clear" w:color="auto" w:fill="auto"/>
            <w:vAlign w:val="center"/>
            <w:hideMark/>
          </w:tcPr>
          <w:p w14:paraId="484621A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4586B8F9"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294 </w:t>
            </w:r>
          </w:p>
        </w:tc>
      </w:tr>
      <w:tr w:rsidR="006146A4" w:rsidRPr="006146A4" w14:paraId="1ED3CE59"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4217FBB2"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SENS project</w:t>
            </w:r>
          </w:p>
        </w:tc>
        <w:tc>
          <w:tcPr>
            <w:tcW w:w="1385" w:type="dxa"/>
            <w:tcBorders>
              <w:top w:val="nil"/>
              <w:left w:val="single" w:sz="4" w:space="0" w:color="auto"/>
              <w:bottom w:val="nil"/>
              <w:right w:val="single" w:sz="4" w:space="0" w:color="auto"/>
            </w:tcBorders>
            <w:shd w:val="clear" w:color="auto" w:fill="auto"/>
            <w:vAlign w:val="center"/>
            <w:hideMark/>
          </w:tcPr>
          <w:p w14:paraId="2D1FC10B"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363D939F"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7354FF51"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181 </w:t>
            </w:r>
          </w:p>
        </w:tc>
      </w:tr>
      <w:tr w:rsidR="006146A4" w:rsidRPr="006146A4" w14:paraId="7E1DAE27"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3E9FF2F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Green Deal Festival</w:t>
            </w:r>
          </w:p>
        </w:tc>
        <w:tc>
          <w:tcPr>
            <w:tcW w:w="1385" w:type="dxa"/>
            <w:tcBorders>
              <w:top w:val="nil"/>
              <w:left w:val="single" w:sz="4" w:space="0" w:color="auto"/>
              <w:bottom w:val="nil"/>
              <w:right w:val="single" w:sz="4" w:space="0" w:color="auto"/>
            </w:tcBorders>
            <w:shd w:val="clear" w:color="auto" w:fill="auto"/>
            <w:vAlign w:val="center"/>
            <w:hideMark/>
          </w:tcPr>
          <w:p w14:paraId="1939B8C4"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5671FD69"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 </w:t>
            </w:r>
          </w:p>
        </w:tc>
        <w:tc>
          <w:tcPr>
            <w:tcW w:w="1344" w:type="dxa"/>
            <w:tcBorders>
              <w:top w:val="nil"/>
              <w:left w:val="nil"/>
              <w:bottom w:val="nil"/>
              <w:right w:val="single" w:sz="4" w:space="0" w:color="auto"/>
            </w:tcBorders>
            <w:shd w:val="clear" w:color="auto" w:fill="auto"/>
            <w:vAlign w:val="center"/>
            <w:hideMark/>
          </w:tcPr>
          <w:p w14:paraId="6E13868C"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9 </w:t>
            </w:r>
          </w:p>
        </w:tc>
      </w:tr>
      <w:tr w:rsidR="006146A4" w:rsidRPr="006146A4" w14:paraId="24F5E5C5"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53AF13C4"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Green Build events</w:t>
            </w:r>
          </w:p>
        </w:tc>
        <w:tc>
          <w:tcPr>
            <w:tcW w:w="1385" w:type="dxa"/>
            <w:tcBorders>
              <w:top w:val="nil"/>
              <w:left w:val="single" w:sz="4" w:space="0" w:color="auto"/>
              <w:bottom w:val="nil"/>
              <w:right w:val="single" w:sz="4" w:space="0" w:color="auto"/>
            </w:tcBorders>
            <w:shd w:val="clear" w:color="auto" w:fill="auto"/>
            <w:vAlign w:val="center"/>
            <w:hideMark/>
          </w:tcPr>
          <w:p w14:paraId="7E961AF2"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5F94A07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63DCB418"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5 </w:t>
            </w:r>
          </w:p>
        </w:tc>
      </w:tr>
      <w:tr w:rsidR="006146A4" w:rsidRPr="006146A4" w14:paraId="2BCDA966"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087C835F"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Green Open Homes</w:t>
            </w:r>
          </w:p>
        </w:tc>
        <w:tc>
          <w:tcPr>
            <w:tcW w:w="1385" w:type="dxa"/>
            <w:tcBorders>
              <w:top w:val="nil"/>
              <w:left w:val="single" w:sz="4" w:space="0" w:color="auto"/>
              <w:bottom w:val="nil"/>
              <w:right w:val="single" w:sz="4" w:space="0" w:color="auto"/>
            </w:tcBorders>
            <w:shd w:val="clear" w:color="auto" w:fill="auto"/>
            <w:vAlign w:val="center"/>
            <w:hideMark/>
          </w:tcPr>
          <w:p w14:paraId="2BC88DF5"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47FABD8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7946CA59"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6 </w:t>
            </w:r>
          </w:p>
        </w:tc>
      </w:tr>
      <w:tr w:rsidR="006146A4" w:rsidRPr="006146A4" w14:paraId="1A6553FA"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0BE88BA5"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Green Build Festival</w:t>
            </w:r>
          </w:p>
        </w:tc>
        <w:tc>
          <w:tcPr>
            <w:tcW w:w="1385" w:type="dxa"/>
            <w:tcBorders>
              <w:top w:val="nil"/>
              <w:left w:val="single" w:sz="4" w:space="0" w:color="auto"/>
              <w:bottom w:val="nil"/>
              <w:right w:val="single" w:sz="4" w:space="0" w:color="auto"/>
            </w:tcBorders>
            <w:shd w:val="clear" w:color="auto" w:fill="auto"/>
            <w:vAlign w:val="center"/>
            <w:hideMark/>
          </w:tcPr>
          <w:p w14:paraId="7341E765"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4256FF35"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1E89754A"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 </w:t>
            </w:r>
          </w:p>
        </w:tc>
      </w:tr>
      <w:tr w:rsidR="006146A4" w:rsidRPr="006146A4" w14:paraId="4AF2576B"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3C536B39"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Draughtproofing</w:t>
            </w:r>
            <w:proofErr w:type="spellEnd"/>
            <w:r w:rsidRPr="006146A4">
              <w:rPr>
                <w:rFonts w:ascii="Calibri" w:eastAsia="Times New Roman" w:hAnsi="Calibri" w:cs="Times New Roman"/>
                <w:sz w:val="20"/>
                <w:szCs w:val="20"/>
              </w:rPr>
              <w:t xml:space="preserve"> of homes</w:t>
            </w:r>
          </w:p>
        </w:tc>
        <w:tc>
          <w:tcPr>
            <w:tcW w:w="1385" w:type="dxa"/>
            <w:tcBorders>
              <w:top w:val="nil"/>
              <w:left w:val="single" w:sz="4" w:space="0" w:color="auto"/>
              <w:bottom w:val="nil"/>
              <w:right w:val="single" w:sz="4" w:space="0" w:color="auto"/>
            </w:tcBorders>
            <w:shd w:val="clear" w:color="auto" w:fill="auto"/>
            <w:vAlign w:val="center"/>
            <w:hideMark/>
          </w:tcPr>
          <w:p w14:paraId="67453588"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65239BB7"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2219983E"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3 </w:t>
            </w:r>
          </w:p>
        </w:tc>
      </w:tr>
      <w:tr w:rsidR="006146A4" w:rsidRPr="006146A4" w14:paraId="75688346"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4E1075FE"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Draughtproofing</w:t>
            </w:r>
            <w:proofErr w:type="spellEnd"/>
            <w:r w:rsidRPr="006146A4">
              <w:rPr>
                <w:rFonts w:ascii="Calibri" w:eastAsia="Times New Roman" w:hAnsi="Calibri" w:cs="Times New Roman"/>
                <w:sz w:val="20"/>
                <w:szCs w:val="20"/>
              </w:rPr>
              <w:t xml:space="preserve"> training</w:t>
            </w:r>
          </w:p>
        </w:tc>
        <w:tc>
          <w:tcPr>
            <w:tcW w:w="1385" w:type="dxa"/>
            <w:tcBorders>
              <w:top w:val="nil"/>
              <w:left w:val="single" w:sz="4" w:space="0" w:color="auto"/>
              <w:bottom w:val="nil"/>
              <w:right w:val="single" w:sz="4" w:space="0" w:color="auto"/>
            </w:tcBorders>
            <w:shd w:val="clear" w:color="auto" w:fill="auto"/>
            <w:vAlign w:val="center"/>
            <w:hideMark/>
          </w:tcPr>
          <w:p w14:paraId="688B6E1C"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480C0409"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10039B46"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2 </w:t>
            </w:r>
          </w:p>
        </w:tc>
      </w:tr>
      <w:tr w:rsidR="006146A4" w:rsidRPr="006146A4" w14:paraId="61FED1C7"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45811322"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One-to-one energy advice</w:t>
            </w:r>
          </w:p>
        </w:tc>
        <w:tc>
          <w:tcPr>
            <w:tcW w:w="1385" w:type="dxa"/>
            <w:tcBorders>
              <w:top w:val="nil"/>
              <w:left w:val="single" w:sz="4" w:space="0" w:color="auto"/>
              <w:bottom w:val="nil"/>
              <w:right w:val="single" w:sz="4" w:space="0" w:color="auto"/>
            </w:tcBorders>
            <w:shd w:val="clear" w:color="auto" w:fill="auto"/>
            <w:vAlign w:val="center"/>
            <w:hideMark/>
          </w:tcPr>
          <w:p w14:paraId="03C7DF30"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25C9F421"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4FA75899"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 </w:t>
            </w:r>
          </w:p>
        </w:tc>
      </w:tr>
      <w:tr w:rsidR="006146A4" w:rsidRPr="006146A4" w14:paraId="7C0C8410"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07C2A43A"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Training of frontline workers in energy efficiency</w:t>
            </w:r>
          </w:p>
        </w:tc>
        <w:tc>
          <w:tcPr>
            <w:tcW w:w="1385" w:type="dxa"/>
            <w:tcBorders>
              <w:top w:val="nil"/>
              <w:left w:val="single" w:sz="4" w:space="0" w:color="auto"/>
              <w:bottom w:val="nil"/>
              <w:right w:val="single" w:sz="4" w:space="0" w:color="auto"/>
            </w:tcBorders>
            <w:shd w:val="clear" w:color="auto" w:fill="auto"/>
            <w:vAlign w:val="center"/>
            <w:hideMark/>
          </w:tcPr>
          <w:p w14:paraId="5122EBE2"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43C01A63"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3BC12746"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 </w:t>
            </w:r>
          </w:p>
        </w:tc>
      </w:tr>
      <w:tr w:rsidR="006146A4" w:rsidRPr="006146A4" w14:paraId="44B0211E" w14:textId="77777777" w:rsidTr="006146A4">
        <w:trPr>
          <w:trHeight w:val="420"/>
        </w:trPr>
        <w:tc>
          <w:tcPr>
            <w:tcW w:w="4079" w:type="dxa"/>
            <w:tcBorders>
              <w:top w:val="nil"/>
              <w:left w:val="single" w:sz="4" w:space="0" w:color="auto"/>
              <w:bottom w:val="nil"/>
              <w:right w:val="nil"/>
            </w:tcBorders>
            <w:shd w:val="clear" w:color="auto" w:fill="auto"/>
            <w:vAlign w:val="center"/>
            <w:hideMark/>
          </w:tcPr>
          <w:p w14:paraId="07335FA3"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Energy audit of school in Bootle</w:t>
            </w:r>
          </w:p>
        </w:tc>
        <w:tc>
          <w:tcPr>
            <w:tcW w:w="1385" w:type="dxa"/>
            <w:tcBorders>
              <w:top w:val="nil"/>
              <w:left w:val="single" w:sz="4" w:space="0" w:color="auto"/>
              <w:bottom w:val="nil"/>
              <w:right w:val="single" w:sz="4" w:space="0" w:color="auto"/>
            </w:tcBorders>
            <w:shd w:val="clear" w:color="auto" w:fill="auto"/>
            <w:vAlign w:val="center"/>
            <w:hideMark/>
          </w:tcPr>
          <w:p w14:paraId="58E8B393"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Cafs</w:t>
            </w:r>
            <w:proofErr w:type="spellEnd"/>
          </w:p>
        </w:tc>
        <w:tc>
          <w:tcPr>
            <w:tcW w:w="3212" w:type="dxa"/>
            <w:tcBorders>
              <w:top w:val="nil"/>
              <w:left w:val="nil"/>
              <w:bottom w:val="nil"/>
              <w:right w:val="single" w:sz="4" w:space="0" w:color="auto"/>
            </w:tcBorders>
            <w:shd w:val="clear" w:color="auto" w:fill="auto"/>
            <w:vAlign w:val="center"/>
            <w:hideMark/>
          </w:tcPr>
          <w:p w14:paraId="723DF38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4DB570AB"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2 </w:t>
            </w:r>
          </w:p>
        </w:tc>
      </w:tr>
      <w:tr w:rsidR="006146A4" w:rsidRPr="006146A4" w14:paraId="6F549EC9" w14:textId="77777777" w:rsidTr="006146A4">
        <w:trPr>
          <w:trHeight w:val="400"/>
        </w:trPr>
        <w:tc>
          <w:tcPr>
            <w:tcW w:w="4079" w:type="dxa"/>
            <w:tcBorders>
              <w:top w:val="single" w:sz="8" w:space="0" w:color="auto"/>
              <w:left w:val="single" w:sz="4" w:space="0" w:color="auto"/>
              <w:bottom w:val="nil"/>
              <w:right w:val="nil"/>
            </w:tcBorders>
            <w:shd w:val="clear" w:color="000000" w:fill="D9D9D9"/>
            <w:vAlign w:val="center"/>
            <w:hideMark/>
          </w:tcPr>
          <w:p w14:paraId="33F3634D"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85" w:type="dxa"/>
            <w:tcBorders>
              <w:top w:val="single" w:sz="8" w:space="0" w:color="auto"/>
              <w:left w:val="single" w:sz="4" w:space="0" w:color="auto"/>
              <w:bottom w:val="nil"/>
              <w:right w:val="single" w:sz="4" w:space="0" w:color="auto"/>
            </w:tcBorders>
            <w:shd w:val="clear" w:color="000000" w:fill="D9D9D9"/>
            <w:vAlign w:val="center"/>
            <w:hideMark/>
          </w:tcPr>
          <w:p w14:paraId="1B354DED"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3212" w:type="dxa"/>
            <w:tcBorders>
              <w:top w:val="single" w:sz="8" w:space="0" w:color="auto"/>
              <w:left w:val="nil"/>
              <w:bottom w:val="nil"/>
              <w:right w:val="single" w:sz="4" w:space="0" w:color="auto"/>
            </w:tcBorders>
            <w:shd w:val="clear" w:color="000000" w:fill="D9D9D9"/>
            <w:vAlign w:val="center"/>
            <w:hideMark/>
          </w:tcPr>
          <w:p w14:paraId="66FB457A"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44" w:type="dxa"/>
            <w:tcBorders>
              <w:top w:val="single" w:sz="8" w:space="0" w:color="auto"/>
              <w:left w:val="nil"/>
              <w:bottom w:val="nil"/>
              <w:right w:val="single" w:sz="4" w:space="0" w:color="auto"/>
            </w:tcBorders>
            <w:shd w:val="clear" w:color="000000" w:fill="D9D9D9"/>
            <w:vAlign w:val="center"/>
            <w:hideMark/>
          </w:tcPr>
          <w:p w14:paraId="50A544FE" w14:textId="77777777" w:rsidR="006146A4" w:rsidRPr="006146A4" w:rsidRDefault="006146A4" w:rsidP="006146A4">
            <w:pPr>
              <w:spacing w:after="0" w:line="240" w:lineRule="auto"/>
              <w:jc w:val="center"/>
              <w:rPr>
                <w:rFonts w:ascii="Calibri" w:eastAsia="Times New Roman" w:hAnsi="Calibri" w:cs="Times New Roman"/>
                <w:b/>
                <w:bCs/>
                <w:sz w:val="32"/>
                <w:szCs w:val="32"/>
              </w:rPr>
            </w:pPr>
            <w:r w:rsidRPr="006146A4">
              <w:rPr>
                <w:rFonts w:ascii="Calibri" w:eastAsia="Times New Roman" w:hAnsi="Calibri" w:cs="Times New Roman"/>
                <w:b/>
                <w:bCs/>
                <w:sz w:val="32"/>
                <w:szCs w:val="32"/>
              </w:rPr>
              <w:t xml:space="preserve"> 11,751 </w:t>
            </w:r>
          </w:p>
        </w:tc>
      </w:tr>
      <w:tr w:rsidR="006146A4" w:rsidRPr="006146A4" w14:paraId="211CD3BD" w14:textId="77777777" w:rsidTr="006146A4">
        <w:trPr>
          <w:trHeight w:val="400"/>
        </w:trPr>
        <w:tc>
          <w:tcPr>
            <w:tcW w:w="1002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C5C6F0C" w14:textId="77777777" w:rsidR="006146A4" w:rsidRPr="006146A4" w:rsidRDefault="006146A4" w:rsidP="006146A4">
            <w:pPr>
              <w:spacing w:after="0" w:line="240" w:lineRule="auto"/>
              <w:rPr>
                <w:rFonts w:ascii="Calibri" w:eastAsia="Times New Roman" w:hAnsi="Calibri" w:cs="Times New Roman"/>
                <w:b/>
                <w:bCs/>
                <w:sz w:val="24"/>
                <w:szCs w:val="24"/>
              </w:rPr>
            </w:pPr>
            <w:r w:rsidRPr="006146A4">
              <w:rPr>
                <w:rFonts w:ascii="Calibri" w:eastAsia="Times New Roman" w:hAnsi="Calibri" w:cs="Times New Roman"/>
                <w:b/>
                <w:bCs/>
                <w:sz w:val="24"/>
                <w:szCs w:val="24"/>
              </w:rPr>
              <w:t>Public sector</w:t>
            </w:r>
          </w:p>
        </w:tc>
      </w:tr>
      <w:tr w:rsidR="006146A4" w:rsidRPr="006146A4" w14:paraId="381F7013"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69F3ABDC"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Waste Recycling</w:t>
            </w:r>
          </w:p>
        </w:tc>
        <w:tc>
          <w:tcPr>
            <w:tcW w:w="1385" w:type="dxa"/>
            <w:tcBorders>
              <w:top w:val="nil"/>
              <w:left w:val="single" w:sz="4" w:space="0" w:color="auto"/>
              <w:bottom w:val="nil"/>
              <w:right w:val="single" w:sz="4" w:space="0" w:color="auto"/>
            </w:tcBorders>
            <w:shd w:val="clear" w:color="auto" w:fill="auto"/>
            <w:vAlign w:val="center"/>
            <w:hideMark/>
          </w:tcPr>
          <w:p w14:paraId="44150B9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CCC</w:t>
            </w:r>
          </w:p>
        </w:tc>
        <w:tc>
          <w:tcPr>
            <w:tcW w:w="3212" w:type="dxa"/>
            <w:tcBorders>
              <w:top w:val="nil"/>
              <w:left w:val="nil"/>
              <w:bottom w:val="nil"/>
              <w:right w:val="single" w:sz="4" w:space="0" w:color="auto"/>
            </w:tcBorders>
            <w:shd w:val="clear" w:color="auto" w:fill="auto"/>
            <w:vAlign w:val="center"/>
            <w:hideMark/>
          </w:tcPr>
          <w:p w14:paraId="766A4C3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66FAA1D6"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4,432 </w:t>
            </w:r>
          </w:p>
        </w:tc>
      </w:tr>
      <w:tr w:rsidR="006146A4" w:rsidRPr="006146A4" w14:paraId="157555AB"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291B60DF"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Sale of food waste digesters</w:t>
            </w:r>
          </w:p>
        </w:tc>
        <w:tc>
          <w:tcPr>
            <w:tcW w:w="1385" w:type="dxa"/>
            <w:tcBorders>
              <w:top w:val="nil"/>
              <w:left w:val="single" w:sz="4" w:space="0" w:color="auto"/>
              <w:bottom w:val="nil"/>
              <w:right w:val="single" w:sz="4" w:space="0" w:color="auto"/>
            </w:tcBorders>
            <w:shd w:val="clear" w:color="auto" w:fill="auto"/>
            <w:vAlign w:val="center"/>
            <w:hideMark/>
          </w:tcPr>
          <w:p w14:paraId="1A6007E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CCC</w:t>
            </w:r>
          </w:p>
        </w:tc>
        <w:tc>
          <w:tcPr>
            <w:tcW w:w="3212" w:type="dxa"/>
            <w:tcBorders>
              <w:top w:val="nil"/>
              <w:left w:val="nil"/>
              <w:bottom w:val="nil"/>
              <w:right w:val="single" w:sz="4" w:space="0" w:color="auto"/>
            </w:tcBorders>
            <w:shd w:val="clear" w:color="auto" w:fill="auto"/>
            <w:vAlign w:val="center"/>
            <w:hideMark/>
          </w:tcPr>
          <w:p w14:paraId="711D02C9"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0100C43F"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11 </w:t>
            </w:r>
          </w:p>
        </w:tc>
      </w:tr>
      <w:tr w:rsidR="006146A4" w:rsidRPr="006146A4" w14:paraId="571CF28A"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51643E1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Sale of compost converters</w:t>
            </w:r>
          </w:p>
        </w:tc>
        <w:tc>
          <w:tcPr>
            <w:tcW w:w="1385" w:type="dxa"/>
            <w:tcBorders>
              <w:top w:val="nil"/>
              <w:left w:val="single" w:sz="4" w:space="0" w:color="auto"/>
              <w:bottom w:val="nil"/>
              <w:right w:val="single" w:sz="4" w:space="0" w:color="auto"/>
            </w:tcBorders>
            <w:shd w:val="clear" w:color="auto" w:fill="auto"/>
            <w:vAlign w:val="center"/>
            <w:hideMark/>
          </w:tcPr>
          <w:p w14:paraId="0DAFBE5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CCC</w:t>
            </w:r>
          </w:p>
        </w:tc>
        <w:tc>
          <w:tcPr>
            <w:tcW w:w="3212" w:type="dxa"/>
            <w:tcBorders>
              <w:top w:val="nil"/>
              <w:left w:val="nil"/>
              <w:bottom w:val="nil"/>
              <w:right w:val="single" w:sz="4" w:space="0" w:color="auto"/>
            </w:tcBorders>
            <w:shd w:val="clear" w:color="auto" w:fill="auto"/>
            <w:vAlign w:val="center"/>
            <w:hideMark/>
          </w:tcPr>
          <w:p w14:paraId="2A25924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7E6A827D"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3 </w:t>
            </w:r>
          </w:p>
        </w:tc>
      </w:tr>
      <w:tr w:rsidR="006146A4" w:rsidRPr="006146A4" w14:paraId="0A219AEE"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0C917F2A"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Waste prevention events</w:t>
            </w:r>
          </w:p>
        </w:tc>
        <w:tc>
          <w:tcPr>
            <w:tcW w:w="1385" w:type="dxa"/>
            <w:tcBorders>
              <w:top w:val="nil"/>
              <w:left w:val="single" w:sz="4" w:space="0" w:color="auto"/>
              <w:bottom w:val="nil"/>
              <w:right w:val="single" w:sz="4" w:space="0" w:color="auto"/>
            </w:tcBorders>
            <w:shd w:val="clear" w:color="auto" w:fill="auto"/>
            <w:vAlign w:val="center"/>
            <w:hideMark/>
          </w:tcPr>
          <w:p w14:paraId="44C8185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CCC</w:t>
            </w:r>
          </w:p>
        </w:tc>
        <w:tc>
          <w:tcPr>
            <w:tcW w:w="3212" w:type="dxa"/>
            <w:tcBorders>
              <w:top w:val="nil"/>
              <w:left w:val="nil"/>
              <w:bottom w:val="nil"/>
              <w:right w:val="single" w:sz="4" w:space="0" w:color="auto"/>
            </w:tcBorders>
            <w:shd w:val="clear" w:color="auto" w:fill="auto"/>
            <w:vAlign w:val="center"/>
            <w:hideMark/>
          </w:tcPr>
          <w:p w14:paraId="4B5BAB22"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16C12127"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3 </w:t>
            </w:r>
          </w:p>
        </w:tc>
      </w:tr>
      <w:tr w:rsidR="006146A4" w:rsidRPr="006146A4" w14:paraId="255E66EF" w14:textId="77777777" w:rsidTr="006146A4">
        <w:trPr>
          <w:trHeight w:val="840"/>
        </w:trPr>
        <w:tc>
          <w:tcPr>
            <w:tcW w:w="4079" w:type="dxa"/>
            <w:tcBorders>
              <w:top w:val="nil"/>
              <w:left w:val="single" w:sz="4" w:space="0" w:color="auto"/>
              <w:bottom w:val="nil"/>
              <w:right w:val="nil"/>
            </w:tcBorders>
            <w:shd w:val="clear" w:color="auto" w:fill="auto"/>
            <w:vAlign w:val="center"/>
            <w:hideMark/>
          </w:tcPr>
          <w:p w14:paraId="4641540F"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Reduction of operational footprint (unspecified actions, but relating to buildings, fleet and pumping)</w:t>
            </w:r>
          </w:p>
        </w:tc>
        <w:tc>
          <w:tcPr>
            <w:tcW w:w="1385" w:type="dxa"/>
            <w:tcBorders>
              <w:top w:val="nil"/>
              <w:left w:val="single" w:sz="4" w:space="0" w:color="auto"/>
              <w:bottom w:val="nil"/>
              <w:right w:val="single" w:sz="4" w:space="0" w:color="auto"/>
            </w:tcBorders>
            <w:shd w:val="clear" w:color="auto" w:fill="auto"/>
            <w:vAlign w:val="center"/>
            <w:hideMark/>
          </w:tcPr>
          <w:p w14:paraId="534294BF"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EA</w:t>
            </w:r>
          </w:p>
        </w:tc>
        <w:tc>
          <w:tcPr>
            <w:tcW w:w="3212" w:type="dxa"/>
            <w:tcBorders>
              <w:top w:val="nil"/>
              <w:left w:val="nil"/>
              <w:bottom w:val="nil"/>
              <w:right w:val="single" w:sz="4" w:space="0" w:color="auto"/>
            </w:tcBorders>
            <w:shd w:val="clear" w:color="auto" w:fill="auto"/>
            <w:vAlign w:val="center"/>
            <w:hideMark/>
          </w:tcPr>
          <w:p w14:paraId="3C51404C"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141C8671"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225 </w:t>
            </w:r>
          </w:p>
        </w:tc>
      </w:tr>
      <w:tr w:rsidR="006146A4" w:rsidRPr="006146A4" w14:paraId="4B01CB03" w14:textId="77777777" w:rsidTr="006146A4">
        <w:trPr>
          <w:trHeight w:val="420"/>
        </w:trPr>
        <w:tc>
          <w:tcPr>
            <w:tcW w:w="4079" w:type="dxa"/>
            <w:tcBorders>
              <w:top w:val="nil"/>
              <w:left w:val="single" w:sz="4" w:space="0" w:color="auto"/>
              <w:bottom w:val="nil"/>
              <w:right w:val="nil"/>
            </w:tcBorders>
            <w:shd w:val="clear" w:color="auto" w:fill="auto"/>
            <w:vAlign w:val="center"/>
            <w:hideMark/>
          </w:tcPr>
          <w:p w14:paraId="319F960C"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Freegle</w:t>
            </w:r>
            <w:proofErr w:type="spellEnd"/>
            <w:r w:rsidRPr="006146A4">
              <w:rPr>
                <w:rFonts w:ascii="Calibri" w:eastAsia="Times New Roman" w:hAnsi="Calibri" w:cs="Times New Roman"/>
                <w:sz w:val="20"/>
                <w:szCs w:val="20"/>
              </w:rPr>
              <w:t xml:space="preserve"> reuse</w:t>
            </w:r>
          </w:p>
        </w:tc>
        <w:tc>
          <w:tcPr>
            <w:tcW w:w="1385" w:type="dxa"/>
            <w:tcBorders>
              <w:top w:val="nil"/>
              <w:left w:val="single" w:sz="4" w:space="0" w:color="auto"/>
              <w:bottom w:val="single" w:sz="8" w:space="0" w:color="auto"/>
              <w:right w:val="single" w:sz="4" w:space="0" w:color="auto"/>
            </w:tcBorders>
            <w:shd w:val="clear" w:color="auto" w:fill="auto"/>
            <w:vAlign w:val="center"/>
            <w:hideMark/>
          </w:tcPr>
          <w:p w14:paraId="524C1F2D" w14:textId="77777777" w:rsidR="006146A4" w:rsidRPr="006146A4" w:rsidRDefault="006146A4" w:rsidP="006146A4">
            <w:pPr>
              <w:spacing w:after="0" w:line="240" w:lineRule="auto"/>
              <w:rPr>
                <w:rFonts w:ascii="Calibri" w:eastAsia="Times New Roman" w:hAnsi="Calibri" w:cs="Times New Roman"/>
                <w:sz w:val="20"/>
                <w:szCs w:val="20"/>
              </w:rPr>
            </w:pPr>
            <w:proofErr w:type="spellStart"/>
            <w:r w:rsidRPr="006146A4">
              <w:rPr>
                <w:rFonts w:ascii="Calibri" w:eastAsia="Times New Roman" w:hAnsi="Calibri" w:cs="Times New Roman"/>
                <w:sz w:val="20"/>
                <w:szCs w:val="20"/>
              </w:rPr>
              <w:t>Freegle</w:t>
            </w:r>
            <w:proofErr w:type="spellEnd"/>
          </w:p>
        </w:tc>
        <w:tc>
          <w:tcPr>
            <w:tcW w:w="3212" w:type="dxa"/>
            <w:tcBorders>
              <w:top w:val="nil"/>
              <w:left w:val="nil"/>
              <w:bottom w:val="nil"/>
              <w:right w:val="single" w:sz="4" w:space="0" w:color="auto"/>
            </w:tcBorders>
            <w:shd w:val="clear" w:color="auto" w:fill="auto"/>
            <w:vAlign w:val="center"/>
            <w:hideMark/>
          </w:tcPr>
          <w:p w14:paraId="4D54F2D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4EF5E93E"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 </w:t>
            </w:r>
          </w:p>
        </w:tc>
      </w:tr>
      <w:tr w:rsidR="006146A4" w:rsidRPr="006146A4" w14:paraId="50E36C0B" w14:textId="77777777" w:rsidTr="006146A4">
        <w:trPr>
          <w:trHeight w:val="420"/>
        </w:trPr>
        <w:tc>
          <w:tcPr>
            <w:tcW w:w="4079" w:type="dxa"/>
            <w:tcBorders>
              <w:top w:val="single" w:sz="8" w:space="0" w:color="auto"/>
              <w:left w:val="single" w:sz="4" w:space="0" w:color="auto"/>
              <w:bottom w:val="single" w:sz="8" w:space="0" w:color="auto"/>
              <w:right w:val="nil"/>
            </w:tcBorders>
            <w:shd w:val="clear" w:color="000000" w:fill="D9D9D9"/>
            <w:vAlign w:val="center"/>
            <w:hideMark/>
          </w:tcPr>
          <w:p w14:paraId="1ED6039D"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85" w:type="dxa"/>
            <w:tcBorders>
              <w:top w:val="nil"/>
              <w:left w:val="single" w:sz="4" w:space="0" w:color="auto"/>
              <w:bottom w:val="single" w:sz="8" w:space="0" w:color="auto"/>
              <w:right w:val="single" w:sz="4" w:space="0" w:color="auto"/>
            </w:tcBorders>
            <w:shd w:val="clear" w:color="000000" w:fill="D9D9D9"/>
            <w:vAlign w:val="center"/>
            <w:hideMark/>
          </w:tcPr>
          <w:p w14:paraId="1355697E"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3212" w:type="dxa"/>
            <w:tcBorders>
              <w:top w:val="single" w:sz="8" w:space="0" w:color="auto"/>
              <w:left w:val="nil"/>
              <w:bottom w:val="single" w:sz="8" w:space="0" w:color="auto"/>
              <w:right w:val="single" w:sz="4" w:space="0" w:color="auto"/>
            </w:tcBorders>
            <w:shd w:val="clear" w:color="000000" w:fill="D9D9D9"/>
            <w:vAlign w:val="center"/>
            <w:hideMark/>
          </w:tcPr>
          <w:p w14:paraId="4EBCB6E0"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44" w:type="dxa"/>
            <w:tcBorders>
              <w:top w:val="single" w:sz="8" w:space="0" w:color="auto"/>
              <w:left w:val="nil"/>
              <w:bottom w:val="single" w:sz="8" w:space="0" w:color="auto"/>
              <w:right w:val="single" w:sz="4" w:space="0" w:color="auto"/>
            </w:tcBorders>
            <w:shd w:val="clear" w:color="000000" w:fill="D9D9D9"/>
            <w:vAlign w:val="center"/>
            <w:hideMark/>
          </w:tcPr>
          <w:p w14:paraId="38C0A0BE" w14:textId="77777777" w:rsidR="006146A4" w:rsidRPr="006146A4" w:rsidRDefault="006146A4" w:rsidP="006146A4">
            <w:pPr>
              <w:spacing w:after="0" w:line="240" w:lineRule="auto"/>
              <w:jc w:val="center"/>
              <w:rPr>
                <w:rFonts w:ascii="Calibri" w:eastAsia="Times New Roman" w:hAnsi="Calibri" w:cs="Times New Roman"/>
                <w:b/>
                <w:bCs/>
                <w:sz w:val="32"/>
                <w:szCs w:val="32"/>
              </w:rPr>
            </w:pPr>
            <w:r w:rsidRPr="006146A4">
              <w:rPr>
                <w:rFonts w:ascii="Calibri" w:eastAsia="Times New Roman" w:hAnsi="Calibri" w:cs="Times New Roman"/>
                <w:b/>
                <w:bCs/>
                <w:sz w:val="32"/>
                <w:szCs w:val="32"/>
              </w:rPr>
              <w:t xml:space="preserve"> 4,675 </w:t>
            </w:r>
          </w:p>
        </w:tc>
      </w:tr>
      <w:tr w:rsidR="006146A4" w:rsidRPr="006146A4" w14:paraId="15124159" w14:textId="77777777" w:rsidTr="006146A4">
        <w:trPr>
          <w:trHeight w:val="420"/>
        </w:trPr>
        <w:tc>
          <w:tcPr>
            <w:tcW w:w="10020" w:type="dxa"/>
            <w:gridSpan w:val="4"/>
            <w:tcBorders>
              <w:top w:val="single" w:sz="8" w:space="0" w:color="auto"/>
              <w:left w:val="nil"/>
              <w:bottom w:val="single" w:sz="4" w:space="0" w:color="auto"/>
              <w:right w:val="single" w:sz="4" w:space="0" w:color="000000"/>
            </w:tcBorders>
            <w:shd w:val="clear" w:color="000000" w:fill="FFFFFF"/>
            <w:vAlign w:val="center"/>
            <w:hideMark/>
          </w:tcPr>
          <w:p w14:paraId="3FB4C5BA" w14:textId="77777777" w:rsidR="006146A4" w:rsidRPr="006146A4" w:rsidRDefault="006146A4" w:rsidP="006146A4">
            <w:pPr>
              <w:spacing w:after="0" w:line="240" w:lineRule="auto"/>
              <w:rPr>
                <w:rFonts w:ascii="Calibri" w:eastAsia="Times New Roman" w:hAnsi="Calibri" w:cs="Times New Roman"/>
                <w:b/>
                <w:bCs/>
                <w:sz w:val="24"/>
                <w:szCs w:val="24"/>
              </w:rPr>
            </w:pPr>
            <w:r w:rsidRPr="006146A4">
              <w:rPr>
                <w:rFonts w:ascii="Calibri" w:eastAsia="Times New Roman" w:hAnsi="Calibri" w:cs="Times New Roman"/>
                <w:b/>
                <w:bCs/>
                <w:sz w:val="24"/>
                <w:szCs w:val="24"/>
              </w:rPr>
              <w:t>Renewable energy</w:t>
            </w:r>
          </w:p>
        </w:tc>
      </w:tr>
      <w:tr w:rsidR="006146A4" w:rsidRPr="006146A4" w14:paraId="51F85488" w14:textId="77777777" w:rsidTr="006146A4">
        <w:trPr>
          <w:trHeight w:val="1700"/>
        </w:trPr>
        <w:tc>
          <w:tcPr>
            <w:tcW w:w="4079" w:type="dxa"/>
            <w:tcBorders>
              <w:top w:val="nil"/>
              <w:left w:val="single" w:sz="4" w:space="0" w:color="auto"/>
              <w:bottom w:val="nil"/>
              <w:right w:val="nil"/>
            </w:tcBorders>
            <w:shd w:val="clear" w:color="auto" w:fill="auto"/>
            <w:vAlign w:val="center"/>
            <w:hideMark/>
          </w:tcPr>
          <w:p w14:paraId="78619F7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lastRenderedPageBreak/>
              <w:t>Renewable installations across LDNP</w:t>
            </w:r>
          </w:p>
        </w:tc>
        <w:tc>
          <w:tcPr>
            <w:tcW w:w="1385" w:type="dxa"/>
            <w:tcBorders>
              <w:top w:val="nil"/>
              <w:left w:val="single" w:sz="4" w:space="0" w:color="auto"/>
              <w:bottom w:val="nil"/>
              <w:right w:val="single" w:sz="4" w:space="0" w:color="auto"/>
            </w:tcBorders>
            <w:shd w:val="clear" w:color="auto" w:fill="auto"/>
            <w:vAlign w:val="center"/>
            <w:hideMark/>
          </w:tcPr>
          <w:p w14:paraId="542F718B"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 xml:space="preserve">many </w:t>
            </w:r>
          </w:p>
        </w:tc>
        <w:tc>
          <w:tcPr>
            <w:tcW w:w="3212" w:type="dxa"/>
            <w:tcBorders>
              <w:top w:val="nil"/>
              <w:left w:val="nil"/>
              <w:bottom w:val="nil"/>
              <w:right w:val="single" w:sz="4" w:space="0" w:color="auto"/>
            </w:tcBorders>
            <w:shd w:val="clear" w:color="auto" w:fill="auto"/>
            <w:vAlign w:val="center"/>
            <w:hideMark/>
          </w:tcPr>
          <w:p w14:paraId="3B23CF1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 xml:space="preserve">Figure based on LDPNA research and includes installations by Cumbria Wildlife Trust, Environment Agency, National Trust and others, including businesses and households. See separate report. </w:t>
            </w:r>
          </w:p>
        </w:tc>
        <w:tc>
          <w:tcPr>
            <w:tcW w:w="1344" w:type="dxa"/>
            <w:tcBorders>
              <w:top w:val="nil"/>
              <w:left w:val="nil"/>
              <w:bottom w:val="nil"/>
              <w:right w:val="single" w:sz="4" w:space="0" w:color="auto"/>
            </w:tcBorders>
            <w:shd w:val="clear" w:color="auto" w:fill="auto"/>
            <w:vAlign w:val="center"/>
            <w:hideMark/>
          </w:tcPr>
          <w:p w14:paraId="67CD81C5"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38,857 </w:t>
            </w:r>
          </w:p>
        </w:tc>
      </w:tr>
      <w:tr w:rsidR="006146A4" w:rsidRPr="006146A4" w14:paraId="13D8692A" w14:textId="77777777" w:rsidTr="006146A4">
        <w:trPr>
          <w:trHeight w:val="400"/>
        </w:trPr>
        <w:tc>
          <w:tcPr>
            <w:tcW w:w="4079" w:type="dxa"/>
            <w:tcBorders>
              <w:top w:val="single" w:sz="8" w:space="0" w:color="auto"/>
              <w:left w:val="single" w:sz="4" w:space="0" w:color="auto"/>
              <w:bottom w:val="nil"/>
              <w:right w:val="nil"/>
            </w:tcBorders>
            <w:shd w:val="clear" w:color="000000" w:fill="D9D9D9"/>
            <w:vAlign w:val="center"/>
            <w:hideMark/>
          </w:tcPr>
          <w:p w14:paraId="3ECFC9D0"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85" w:type="dxa"/>
            <w:tcBorders>
              <w:top w:val="single" w:sz="8" w:space="0" w:color="auto"/>
              <w:left w:val="single" w:sz="4" w:space="0" w:color="auto"/>
              <w:bottom w:val="nil"/>
              <w:right w:val="single" w:sz="4" w:space="0" w:color="auto"/>
            </w:tcBorders>
            <w:shd w:val="clear" w:color="000000" w:fill="D9D9D9"/>
            <w:vAlign w:val="center"/>
            <w:hideMark/>
          </w:tcPr>
          <w:p w14:paraId="447DF353"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3212" w:type="dxa"/>
            <w:tcBorders>
              <w:top w:val="single" w:sz="8" w:space="0" w:color="auto"/>
              <w:left w:val="nil"/>
              <w:bottom w:val="nil"/>
              <w:right w:val="single" w:sz="4" w:space="0" w:color="auto"/>
            </w:tcBorders>
            <w:shd w:val="clear" w:color="000000" w:fill="D9D9D9"/>
            <w:vAlign w:val="center"/>
            <w:hideMark/>
          </w:tcPr>
          <w:p w14:paraId="2EEC8AEC"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44" w:type="dxa"/>
            <w:tcBorders>
              <w:top w:val="single" w:sz="8" w:space="0" w:color="auto"/>
              <w:left w:val="nil"/>
              <w:bottom w:val="nil"/>
              <w:right w:val="single" w:sz="4" w:space="0" w:color="auto"/>
            </w:tcBorders>
            <w:shd w:val="clear" w:color="000000" w:fill="D9D9D9"/>
            <w:vAlign w:val="center"/>
            <w:hideMark/>
          </w:tcPr>
          <w:p w14:paraId="439A5C6C" w14:textId="77777777" w:rsidR="006146A4" w:rsidRPr="006146A4" w:rsidRDefault="006146A4" w:rsidP="006146A4">
            <w:pPr>
              <w:spacing w:after="0" w:line="240" w:lineRule="auto"/>
              <w:jc w:val="center"/>
              <w:rPr>
                <w:rFonts w:ascii="Calibri" w:eastAsia="Times New Roman" w:hAnsi="Calibri" w:cs="Times New Roman"/>
                <w:b/>
                <w:bCs/>
                <w:sz w:val="32"/>
                <w:szCs w:val="32"/>
              </w:rPr>
            </w:pPr>
            <w:r w:rsidRPr="006146A4">
              <w:rPr>
                <w:rFonts w:ascii="Calibri" w:eastAsia="Times New Roman" w:hAnsi="Calibri" w:cs="Times New Roman"/>
                <w:b/>
                <w:bCs/>
                <w:sz w:val="32"/>
                <w:szCs w:val="32"/>
              </w:rPr>
              <w:t xml:space="preserve"> 38,857 </w:t>
            </w:r>
          </w:p>
        </w:tc>
      </w:tr>
      <w:tr w:rsidR="006146A4" w:rsidRPr="006146A4" w14:paraId="73A8BB2C" w14:textId="77777777" w:rsidTr="006146A4">
        <w:trPr>
          <w:trHeight w:val="400"/>
        </w:trPr>
        <w:tc>
          <w:tcPr>
            <w:tcW w:w="1002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0472022" w14:textId="77777777" w:rsidR="006146A4" w:rsidRPr="006146A4" w:rsidRDefault="006146A4" w:rsidP="006146A4">
            <w:pPr>
              <w:spacing w:after="0" w:line="240" w:lineRule="auto"/>
              <w:rPr>
                <w:rFonts w:ascii="Calibri" w:eastAsia="Times New Roman" w:hAnsi="Calibri" w:cs="Times New Roman"/>
                <w:b/>
                <w:bCs/>
                <w:sz w:val="24"/>
                <w:szCs w:val="24"/>
              </w:rPr>
            </w:pPr>
            <w:r w:rsidRPr="006146A4">
              <w:rPr>
                <w:rFonts w:ascii="Calibri" w:eastAsia="Times New Roman" w:hAnsi="Calibri" w:cs="Times New Roman"/>
                <w:b/>
                <w:bCs/>
                <w:sz w:val="24"/>
                <w:szCs w:val="24"/>
              </w:rPr>
              <w:t>Travel</w:t>
            </w:r>
          </w:p>
        </w:tc>
      </w:tr>
      <w:tr w:rsidR="006146A4" w:rsidRPr="006146A4" w14:paraId="4D243D35"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2B218CE2"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Smarter driving advice (direct to people)</w:t>
            </w:r>
          </w:p>
        </w:tc>
        <w:tc>
          <w:tcPr>
            <w:tcW w:w="1385" w:type="dxa"/>
            <w:tcBorders>
              <w:top w:val="nil"/>
              <w:left w:val="single" w:sz="4" w:space="0" w:color="auto"/>
              <w:bottom w:val="nil"/>
              <w:right w:val="single" w:sz="4" w:space="0" w:color="auto"/>
            </w:tcBorders>
            <w:shd w:val="clear" w:color="auto" w:fill="auto"/>
            <w:vAlign w:val="center"/>
            <w:hideMark/>
          </w:tcPr>
          <w:p w14:paraId="4126845B"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EST (</w:t>
            </w:r>
            <w:proofErr w:type="spellStart"/>
            <w:r w:rsidRPr="006146A4">
              <w:rPr>
                <w:rFonts w:ascii="Calibri" w:eastAsia="Times New Roman" w:hAnsi="Calibri" w:cs="Times New Roman"/>
                <w:sz w:val="20"/>
                <w:szCs w:val="20"/>
              </w:rPr>
              <w:t>tadea</w:t>
            </w:r>
            <w:proofErr w:type="spellEnd"/>
            <w:r w:rsidRPr="006146A4">
              <w:rPr>
                <w:rFonts w:ascii="Calibri" w:eastAsia="Times New Roman" w:hAnsi="Calibri" w:cs="Times New Roman"/>
                <w:sz w:val="20"/>
                <w:szCs w:val="20"/>
              </w:rPr>
              <w:t>)</w:t>
            </w:r>
          </w:p>
        </w:tc>
        <w:tc>
          <w:tcPr>
            <w:tcW w:w="3212" w:type="dxa"/>
            <w:tcBorders>
              <w:top w:val="nil"/>
              <w:left w:val="nil"/>
              <w:bottom w:val="nil"/>
              <w:right w:val="single" w:sz="4" w:space="0" w:color="auto"/>
            </w:tcBorders>
            <w:shd w:val="clear" w:color="auto" w:fill="auto"/>
            <w:vAlign w:val="center"/>
            <w:hideMark/>
          </w:tcPr>
          <w:p w14:paraId="7DB0711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74F098D6"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258 </w:t>
            </w:r>
          </w:p>
        </w:tc>
      </w:tr>
      <w:tr w:rsidR="006146A4" w:rsidRPr="006146A4" w14:paraId="18E9039E"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024CF0A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Smarter driving advice (surrounding publicity and ripple effect)</w:t>
            </w:r>
          </w:p>
        </w:tc>
        <w:tc>
          <w:tcPr>
            <w:tcW w:w="1385" w:type="dxa"/>
            <w:tcBorders>
              <w:top w:val="nil"/>
              <w:left w:val="single" w:sz="4" w:space="0" w:color="auto"/>
              <w:bottom w:val="nil"/>
              <w:right w:val="single" w:sz="4" w:space="0" w:color="auto"/>
            </w:tcBorders>
            <w:shd w:val="clear" w:color="auto" w:fill="auto"/>
            <w:vAlign w:val="center"/>
            <w:hideMark/>
          </w:tcPr>
          <w:p w14:paraId="5CB8D457"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EST (</w:t>
            </w:r>
            <w:proofErr w:type="spellStart"/>
            <w:r w:rsidRPr="006146A4">
              <w:rPr>
                <w:rFonts w:ascii="Calibri" w:eastAsia="Times New Roman" w:hAnsi="Calibri" w:cs="Times New Roman"/>
                <w:sz w:val="20"/>
                <w:szCs w:val="20"/>
              </w:rPr>
              <w:t>tadea</w:t>
            </w:r>
            <w:proofErr w:type="spellEnd"/>
            <w:r w:rsidRPr="006146A4">
              <w:rPr>
                <w:rFonts w:ascii="Calibri" w:eastAsia="Times New Roman" w:hAnsi="Calibri" w:cs="Times New Roman"/>
                <w:sz w:val="20"/>
                <w:szCs w:val="20"/>
              </w:rPr>
              <w:t>)</w:t>
            </w:r>
          </w:p>
        </w:tc>
        <w:tc>
          <w:tcPr>
            <w:tcW w:w="3212" w:type="dxa"/>
            <w:tcBorders>
              <w:top w:val="nil"/>
              <w:left w:val="nil"/>
              <w:bottom w:val="nil"/>
              <w:right w:val="single" w:sz="4" w:space="0" w:color="auto"/>
            </w:tcBorders>
            <w:shd w:val="clear" w:color="auto" w:fill="auto"/>
            <w:vAlign w:val="center"/>
            <w:hideMark/>
          </w:tcPr>
          <w:p w14:paraId="39B6E4C0"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38726DBF"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59 </w:t>
            </w:r>
          </w:p>
        </w:tc>
      </w:tr>
      <w:tr w:rsidR="006146A4" w:rsidRPr="006146A4" w14:paraId="0E0B75F3" w14:textId="77777777" w:rsidTr="006146A4">
        <w:trPr>
          <w:trHeight w:val="1400"/>
        </w:trPr>
        <w:tc>
          <w:tcPr>
            <w:tcW w:w="4079" w:type="dxa"/>
            <w:tcBorders>
              <w:top w:val="nil"/>
              <w:left w:val="single" w:sz="4" w:space="0" w:color="auto"/>
              <w:bottom w:val="nil"/>
              <w:right w:val="nil"/>
            </w:tcBorders>
            <w:shd w:val="clear" w:color="auto" w:fill="auto"/>
            <w:vAlign w:val="center"/>
            <w:hideMark/>
          </w:tcPr>
          <w:p w14:paraId="3E3C85F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 xml:space="preserve">Core Strategy planning </w:t>
            </w:r>
          </w:p>
        </w:tc>
        <w:tc>
          <w:tcPr>
            <w:tcW w:w="1385" w:type="dxa"/>
            <w:tcBorders>
              <w:top w:val="nil"/>
              <w:left w:val="single" w:sz="4" w:space="0" w:color="auto"/>
              <w:bottom w:val="nil"/>
              <w:right w:val="single" w:sz="4" w:space="0" w:color="auto"/>
            </w:tcBorders>
            <w:shd w:val="clear" w:color="auto" w:fill="auto"/>
            <w:vAlign w:val="center"/>
            <w:hideMark/>
          </w:tcPr>
          <w:p w14:paraId="32EC05BC"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LNDPA</w:t>
            </w:r>
          </w:p>
        </w:tc>
        <w:tc>
          <w:tcPr>
            <w:tcW w:w="3212" w:type="dxa"/>
            <w:tcBorders>
              <w:top w:val="nil"/>
              <w:left w:val="nil"/>
              <w:bottom w:val="nil"/>
              <w:right w:val="single" w:sz="4" w:space="0" w:color="auto"/>
            </w:tcBorders>
            <w:shd w:val="clear" w:color="auto" w:fill="auto"/>
            <w:vAlign w:val="center"/>
            <w:hideMark/>
          </w:tcPr>
          <w:p w14:paraId="23A4CF32"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 xml:space="preserve">These are planning policies that aim to reduce car </w:t>
            </w:r>
            <w:proofErr w:type="spellStart"/>
            <w:r w:rsidRPr="006146A4">
              <w:rPr>
                <w:rFonts w:ascii="Calibri" w:eastAsia="Times New Roman" w:hAnsi="Calibri" w:cs="Times New Roman"/>
                <w:sz w:val="20"/>
                <w:szCs w:val="20"/>
              </w:rPr>
              <w:t>milage</w:t>
            </w:r>
            <w:proofErr w:type="spellEnd"/>
            <w:r w:rsidRPr="006146A4">
              <w:rPr>
                <w:rFonts w:ascii="Calibri" w:eastAsia="Times New Roman" w:hAnsi="Calibri" w:cs="Times New Roman"/>
                <w:sz w:val="20"/>
                <w:szCs w:val="20"/>
              </w:rPr>
              <w:t xml:space="preserve"> resulting from new build activities. Remains in place, savings assumed similar to previous year</w:t>
            </w:r>
          </w:p>
        </w:tc>
        <w:tc>
          <w:tcPr>
            <w:tcW w:w="1344" w:type="dxa"/>
            <w:tcBorders>
              <w:top w:val="nil"/>
              <w:left w:val="nil"/>
              <w:bottom w:val="nil"/>
              <w:right w:val="single" w:sz="4" w:space="0" w:color="auto"/>
            </w:tcBorders>
            <w:shd w:val="clear" w:color="auto" w:fill="auto"/>
            <w:vAlign w:val="center"/>
            <w:hideMark/>
          </w:tcPr>
          <w:p w14:paraId="04AD7919"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454 </w:t>
            </w:r>
          </w:p>
        </w:tc>
      </w:tr>
      <w:tr w:rsidR="006146A4" w:rsidRPr="006146A4" w14:paraId="3CDC066E" w14:textId="77777777" w:rsidTr="006146A4">
        <w:trPr>
          <w:trHeight w:val="2240"/>
        </w:trPr>
        <w:tc>
          <w:tcPr>
            <w:tcW w:w="4079" w:type="dxa"/>
            <w:tcBorders>
              <w:top w:val="nil"/>
              <w:left w:val="single" w:sz="4" w:space="0" w:color="auto"/>
              <w:bottom w:val="nil"/>
              <w:right w:val="nil"/>
            </w:tcBorders>
            <w:shd w:val="clear" w:color="auto" w:fill="auto"/>
            <w:vAlign w:val="center"/>
            <w:hideMark/>
          </w:tcPr>
          <w:p w14:paraId="68B891CA"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Go Lakes Travel Project</w:t>
            </w:r>
          </w:p>
        </w:tc>
        <w:tc>
          <w:tcPr>
            <w:tcW w:w="1385" w:type="dxa"/>
            <w:tcBorders>
              <w:top w:val="nil"/>
              <w:left w:val="single" w:sz="4" w:space="0" w:color="auto"/>
              <w:bottom w:val="nil"/>
              <w:right w:val="single" w:sz="4" w:space="0" w:color="auto"/>
            </w:tcBorders>
            <w:shd w:val="clear" w:color="auto" w:fill="auto"/>
            <w:vAlign w:val="center"/>
            <w:hideMark/>
          </w:tcPr>
          <w:p w14:paraId="0BBDDA29"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 </w:t>
            </w:r>
          </w:p>
        </w:tc>
        <w:tc>
          <w:tcPr>
            <w:tcW w:w="3212" w:type="dxa"/>
            <w:tcBorders>
              <w:top w:val="nil"/>
              <w:left w:val="nil"/>
              <w:bottom w:val="nil"/>
              <w:right w:val="single" w:sz="4" w:space="0" w:color="auto"/>
            </w:tcBorders>
            <w:shd w:val="clear" w:color="auto" w:fill="auto"/>
            <w:vAlign w:val="center"/>
            <w:hideMark/>
          </w:tcPr>
          <w:p w14:paraId="0D672054"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Now the project has finished and the carbon savings evaluated, the project has been found to have saved 42,000t over the project lifetime.  The total savings already allocated to previous years is 2590t (162+874+1554).  The difference (39,410tCO2) has therefore been added onto this year's savings</w:t>
            </w:r>
          </w:p>
        </w:tc>
        <w:tc>
          <w:tcPr>
            <w:tcW w:w="1344" w:type="dxa"/>
            <w:tcBorders>
              <w:top w:val="nil"/>
              <w:left w:val="nil"/>
              <w:bottom w:val="nil"/>
              <w:right w:val="single" w:sz="4" w:space="0" w:color="auto"/>
            </w:tcBorders>
            <w:shd w:val="clear" w:color="auto" w:fill="auto"/>
            <w:vAlign w:val="center"/>
            <w:hideMark/>
          </w:tcPr>
          <w:p w14:paraId="484FEA4A"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39,409 </w:t>
            </w:r>
          </w:p>
        </w:tc>
      </w:tr>
      <w:tr w:rsidR="006146A4" w:rsidRPr="006146A4" w14:paraId="0F085075" w14:textId="77777777" w:rsidTr="006146A4">
        <w:trPr>
          <w:trHeight w:val="560"/>
        </w:trPr>
        <w:tc>
          <w:tcPr>
            <w:tcW w:w="4079" w:type="dxa"/>
            <w:tcBorders>
              <w:top w:val="nil"/>
              <w:left w:val="single" w:sz="4" w:space="0" w:color="auto"/>
              <w:bottom w:val="nil"/>
              <w:right w:val="nil"/>
            </w:tcBorders>
            <w:shd w:val="clear" w:color="auto" w:fill="auto"/>
            <w:vAlign w:val="center"/>
            <w:hideMark/>
          </w:tcPr>
          <w:p w14:paraId="5FEF72DD"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Sustainable Organised Recreational Events</w:t>
            </w:r>
          </w:p>
        </w:tc>
        <w:tc>
          <w:tcPr>
            <w:tcW w:w="1385" w:type="dxa"/>
            <w:tcBorders>
              <w:top w:val="nil"/>
              <w:left w:val="single" w:sz="4" w:space="0" w:color="auto"/>
              <w:bottom w:val="nil"/>
              <w:right w:val="single" w:sz="4" w:space="0" w:color="auto"/>
            </w:tcBorders>
            <w:shd w:val="clear" w:color="auto" w:fill="auto"/>
            <w:vAlign w:val="center"/>
            <w:hideMark/>
          </w:tcPr>
          <w:p w14:paraId="00167E60"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Nurture Lakeland</w:t>
            </w:r>
          </w:p>
        </w:tc>
        <w:tc>
          <w:tcPr>
            <w:tcW w:w="3212" w:type="dxa"/>
            <w:tcBorders>
              <w:top w:val="nil"/>
              <w:left w:val="nil"/>
              <w:bottom w:val="nil"/>
              <w:right w:val="single" w:sz="4" w:space="0" w:color="auto"/>
            </w:tcBorders>
            <w:shd w:val="clear" w:color="auto" w:fill="auto"/>
            <w:vAlign w:val="center"/>
            <w:hideMark/>
          </w:tcPr>
          <w:p w14:paraId="79FAE68A"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Past action, but assumed that savings continue</w:t>
            </w:r>
          </w:p>
        </w:tc>
        <w:tc>
          <w:tcPr>
            <w:tcW w:w="1344" w:type="dxa"/>
            <w:tcBorders>
              <w:top w:val="nil"/>
              <w:left w:val="nil"/>
              <w:bottom w:val="nil"/>
              <w:right w:val="single" w:sz="4" w:space="0" w:color="auto"/>
            </w:tcBorders>
            <w:shd w:val="clear" w:color="auto" w:fill="auto"/>
            <w:vAlign w:val="center"/>
            <w:hideMark/>
          </w:tcPr>
          <w:p w14:paraId="296B28C8"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8 </w:t>
            </w:r>
          </w:p>
        </w:tc>
      </w:tr>
      <w:tr w:rsidR="006146A4" w:rsidRPr="006146A4" w14:paraId="4657FB31" w14:textId="77777777" w:rsidTr="006146A4">
        <w:trPr>
          <w:trHeight w:val="420"/>
        </w:trPr>
        <w:tc>
          <w:tcPr>
            <w:tcW w:w="4079" w:type="dxa"/>
            <w:tcBorders>
              <w:top w:val="nil"/>
              <w:left w:val="single" w:sz="4" w:space="0" w:color="auto"/>
              <w:bottom w:val="nil"/>
              <w:right w:val="nil"/>
            </w:tcBorders>
            <w:shd w:val="clear" w:color="auto" w:fill="auto"/>
            <w:vAlign w:val="center"/>
            <w:hideMark/>
          </w:tcPr>
          <w:p w14:paraId="4D035D23"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Reduction of mileage (unspecified actions)</w:t>
            </w:r>
          </w:p>
        </w:tc>
        <w:tc>
          <w:tcPr>
            <w:tcW w:w="1385" w:type="dxa"/>
            <w:tcBorders>
              <w:top w:val="nil"/>
              <w:left w:val="single" w:sz="4" w:space="0" w:color="auto"/>
              <w:bottom w:val="nil"/>
              <w:right w:val="single" w:sz="4" w:space="0" w:color="auto"/>
            </w:tcBorders>
            <w:shd w:val="clear" w:color="auto" w:fill="auto"/>
            <w:vAlign w:val="center"/>
            <w:hideMark/>
          </w:tcPr>
          <w:p w14:paraId="1518F03E"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EA</w:t>
            </w:r>
          </w:p>
        </w:tc>
        <w:tc>
          <w:tcPr>
            <w:tcW w:w="3212" w:type="dxa"/>
            <w:tcBorders>
              <w:top w:val="nil"/>
              <w:left w:val="nil"/>
              <w:bottom w:val="nil"/>
              <w:right w:val="single" w:sz="4" w:space="0" w:color="auto"/>
            </w:tcBorders>
            <w:shd w:val="clear" w:color="auto" w:fill="auto"/>
            <w:vAlign w:val="center"/>
            <w:hideMark/>
          </w:tcPr>
          <w:p w14:paraId="78C53CE8"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for assumptions see full dataset</w:t>
            </w:r>
          </w:p>
        </w:tc>
        <w:tc>
          <w:tcPr>
            <w:tcW w:w="1344" w:type="dxa"/>
            <w:tcBorders>
              <w:top w:val="nil"/>
              <w:left w:val="nil"/>
              <w:bottom w:val="nil"/>
              <w:right w:val="single" w:sz="4" w:space="0" w:color="auto"/>
            </w:tcBorders>
            <w:shd w:val="clear" w:color="auto" w:fill="auto"/>
            <w:vAlign w:val="center"/>
            <w:hideMark/>
          </w:tcPr>
          <w:p w14:paraId="41BE8DF0"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14 </w:t>
            </w:r>
          </w:p>
        </w:tc>
      </w:tr>
      <w:tr w:rsidR="006146A4" w:rsidRPr="006146A4" w14:paraId="3CE4A203" w14:textId="77777777" w:rsidTr="006146A4">
        <w:trPr>
          <w:trHeight w:val="400"/>
        </w:trPr>
        <w:tc>
          <w:tcPr>
            <w:tcW w:w="4079" w:type="dxa"/>
            <w:tcBorders>
              <w:top w:val="single" w:sz="8" w:space="0" w:color="auto"/>
              <w:left w:val="single" w:sz="4" w:space="0" w:color="auto"/>
              <w:bottom w:val="nil"/>
              <w:right w:val="nil"/>
            </w:tcBorders>
            <w:shd w:val="clear" w:color="000000" w:fill="D9D9D9"/>
            <w:vAlign w:val="center"/>
            <w:hideMark/>
          </w:tcPr>
          <w:p w14:paraId="384C59D2"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85" w:type="dxa"/>
            <w:tcBorders>
              <w:top w:val="single" w:sz="8" w:space="0" w:color="auto"/>
              <w:left w:val="single" w:sz="4" w:space="0" w:color="auto"/>
              <w:bottom w:val="nil"/>
              <w:right w:val="single" w:sz="4" w:space="0" w:color="auto"/>
            </w:tcBorders>
            <w:shd w:val="clear" w:color="000000" w:fill="D9D9D9"/>
            <w:vAlign w:val="center"/>
            <w:hideMark/>
          </w:tcPr>
          <w:p w14:paraId="641EB104"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3212" w:type="dxa"/>
            <w:tcBorders>
              <w:top w:val="single" w:sz="8" w:space="0" w:color="auto"/>
              <w:left w:val="nil"/>
              <w:bottom w:val="nil"/>
              <w:right w:val="single" w:sz="4" w:space="0" w:color="auto"/>
            </w:tcBorders>
            <w:shd w:val="clear" w:color="000000" w:fill="D9D9D9"/>
            <w:vAlign w:val="center"/>
            <w:hideMark/>
          </w:tcPr>
          <w:p w14:paraId="0879DD98"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44" w:type="dxa"/>
            <w:tcBorders>
              <w:top w:val="single" w:sz="8" w:space="0" w:color="auto"/>
              <w:left w:val="nil"/>
              <w:bottom w:val="nil"/>
              <w:right w:val="single" w:sz="4" w:space="0" w:color="auto"/>
            </w:tcBorders>
            <w:shd w:val="clear" w:color="000000" w:fill="D9D9D9"/>
            <w:vAlign w:val="center"/>
            <w:hideMark/>
          </w:tcPr>
          <w:p w14:paraId="4636BC5A" w14:textId="77777777" w:rsidR="006146A4" w:rsidRPr="006146A4" w:rsidRDefault="006146A4" w:rsidP="006146A4">
            <w:pPr>
              <w:spacing w:after="0" w:line="240" w:lineRule="auto"/>
              <w:jc w:val="center"/>
              <w:rPr>
                <w:rFonts w:ascii="Calibri" w:eastAsia="Times New Roman" w:hAnsi="Calibri" w:cs="Times New Roman"/>
                <w:b/>
                <w:bCs/>
                <w:sz w:val="32"/>
                <w:szCs w:val="32"/>
              </w:rPr>
            </w:pPr>
            <w:r w:rsidRPr="006146A4">
              <w:rPr>
                <w:rFonts w:ascii="Calibri" w:eastAsia="Times New Roman" w:hAnsi="Calibri" w:cs="Times New Roman"/>
                <w:b/>
                <w:bCs/>
                <w:sz w:val="32"/>
                <w:szCs w:val="32"/>
              </w:rPr>
              <w:t xml:space="preserve"> 40,203 </w:t>
            </w:r>
          </w:p>
        </w:tc>
      </w:tr>
      <w:tr w:rsidR="006146A4" w:rsidRPr="006146A4" w14:paraId="5EA16A34" w14:textId="77777777" w:rsidTr="006146A4">
        <w:trPr>
          <w:trHeight w:val="300"/>
        </w:trPr>
        <w:tc>
          <w:tcPr>
            <w:tcW w:w="1002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A281459" w14:textId="77777777" w:rsidR="006146A4" w:rsidRPr="006146A4" w:rsidRDefault="006146A4" w:rsidP="006146A4">
            <w:pPr>
              <w:spacing w:after="0" w:line="240" w:lineRule="auto"/>
              <w:rPr>
                <w:rFonts w:ascii="Calibri" w:eastAsia="Times New Roman" w:hAnsi="Calibri" w:cs="Times New Roman"/>
                <w:b/>
                <w:bCs/>
                <w:sz w:val="24"/>
                <w:szCs w:val="24"/>
              </w:rPr>
            </w:pPr>
            <w:r w:rsidRPr="006146A4">
              <w:rPr>
                <w:rFonts w:ascii="Calibri" w:eastAsia="Times New Roman" w:hAnsi="Calibri" w:cs="Times New Roman"/>
                <w:b/>
                <w:bCs/>
                <w:sz w:val="24"/>
                <w:szCs w:val="24"/>
              </w:rPr>
              <w:t>Land management</w:t>
            </w:r>
          </w:p>
        </w:tc>
      </w:tr>
      <w:tr w:rsidR="006146A4" w:rsidRPr="006146A4" w14:paraId="21D1F68C" w14:textId="77777777" w:rsidTr="006146A4">
        <w:trPr>
          <w:trHeight w:val="400"/>
        </w:trPr>
        <w:tc>
          <w:tcPr>
            <w:tcW w:w="4079" w:type="dxa"/>
            <w:tcBorders>
              <w:top w:val="nil"/>
              <w:left w:val="single" w:sz="4" w:space="0" w:color="auto"/>
              <w:bottom w:val="nil"/>
              <w:right w:val="nil"/>
            </w:tcBorders>
            <w:shd w:val="clear" w:color="auto" w:fill="auto"/>
            <w:vAlign w:val="center"/>
            <w:hideMark/>
          </w:tcPr>
          <w:p w14:paraId="71743EDB"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Woodland creation</w:t>
            </w:r>
          </w:p>
        </w:tc>
        <w:tc>
          <w:tcPr>
            <w:tcW w:w="45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9C3BF7"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see Annex B</w:t>
            </w:r>
          </w:p>
        </w:tc>
        <w:tc>
          <w:tcPr>
            <w:tcW w:w="1344" w:type="dxa"/>
            <w:tcBorders>
              <w:top w:val="nil"/>
              <w:left w:val="nil"/>
              <w:bottom w:val="nil"/>
              <w:right w:val="single" w:sz="4" w:space="0" w:color="auto"/>
            </w:tcBorders>
            <w:shd w:val="clear" w:color="auto" w:fill="auto"/>
            <w:vAlign w:val="center"/>
            <w:hideMark/>
          </w:tcPr>
          <w:p w14:paraId="6BB5357D"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1,687 </w:t>
            </w:r>
          </w:p>
        </w:tc>
      </w:tr>
      <w:tr w:rsidR="006146A4" w:rsidRPr="006146A4" w14:paraId="413B3164" w14:textId="77777777" w:rsidTr="006146A4">
        <w:trPr>
          <w:trHeight w:val="420"/>
        </w:trPr>
        <w:tc>
          <w:tcPr>
            <w:tcW w:w="4079" w:type="dxa"/>
            <w:tcBorders>
              <w:top w:val="nil"/>
              <w:left w:val="single" w:sz="4" w:space="0" w:color="auto"/>
              <w:bottom w:val="nil"/>
              <w:right w:val="nil"/>
            </w:tcBorders>
            <w:shd w:val="clear" w:color="auto" w:fill="auto"/>
            <w:vAlign w:val="center"/>
            <w:hideMark/>
          </w:tcPr>
          <w:p w14:paraId="0EEC0F56" w14:textId="77777777" w:rsidR="006146A4" w:rsidRPr="006146A4" w:rsidRDefault="006146A4" w:rsidP="006146A4">
            <w:pPr>
              <w:spacing w:after="0" w:line="240" w:lineRule="auto"/>
              <w:rPr>
                <w:rFonts w:ascii="Calibri" w:eastAsia="Times New Roman" w:hAnsi="Calibri" w:cs="Times New Roman"/>
                <w:sz w:val="20"/>
                <w:szCs w:val="20"/>
              </w:rPr>
            </w:pPr>
            <w:r w:rsidRPr="006146A4">
              <w:rPr>
                <w:rFonts w:ascii="Calibri" w:eastAsia="Times New Roman" w:hAnsi="Calibri" w:cs="Times New Roman"/>
                <w:sz w:val="20"/>
                <w:szCs w:val="20"/>
              </w:rPr>
              <w:t>Peatland restoration</w:t>
            </w:r>
          </w:p>
        </w:tc>
        <w:tc>
          <w:tcPr>
            <w:tcW w:w="4597" w:type="dxa"/>
            <w:gridSpan w:val="2"/>
            <w:vMerge/>
            <w:tcBorders>
              <w:top w:val="nil"/>
              <w:left w:val="single" w:sz="4" w:space="0" w:color="auto"/>
              <w:bottom w:val="nil"/>
              <w:right w:val="nil"/>
            </w:tcBorders>
            <w:vAlign w:val="center"/>
            <w:hideMark/>
          </w:tcPr>
          <w:p w14:paraId="11150BBF" w14:textId="77777777" w:rsidR="006146A4" w:rsidRPr="006146A4" w:rsidRDefault="006146A4" w:rsidP="006146A4">
            <w:pPr>
              <w:spacing w:after="0" w:line="240" w:lineRule="auto"/>
              <w:rPr>
                <w:rFonts w:ascii="Calibri" w:eastAsia="Times New Roman" w:hAnsi="Calibri" w:cs="Times New Roman"/>
                <w:sz w:val="20"/>
                <w:szCs w:val="20"/>
              </w:rPr>
            </w:pPr>
          </w:p>
        </w:tc>
        <w:tc>
          <w:tcPr>
            <w:tcW w:w="1344" w:type="dxa"/>
            <w:tcBorders>
              <w:top w:val="nil"/>
              <w:left w:val="nil"/>
              <w:bottom w:val="nil"/>
              <w:right w:val="single" w:sz="4" w:space="0" w:color="auto"/>
            </w:tcBorders>
            <w:shd w:val="clear" w:color="auto" w:fill="auto"/>
            <w:vAlign w:val="center"/>
            <w:hideMark/>
          </w:tcPr>
          <w:p w14:paraId="6F704605" w14:textId="77777777" w:rsidR="006146A4" w:rsidRPr="006146A4" w:rsidRDefault="006146A4" w:rsidP="006146A4">
            <w:pPr>
              <w:spacing w:after="0" w:line="240" w:lineRule="auto"/>
              <w:jc w:val="center"/>
              <w:rPr>
                <w:rFonts w:ascii="Calibri" w:eastAsia="Times New Roman" w:hAnsi="Calibri" w:cs="Times New Roman"/>
                <w:sz w:val="32"/>
                <w:szCs w:val="32"/>
              </w:rPr>
            </w:pPr>
            <w:r w:rsidRPr="006146A4">
              <w:rPr>
                <w:rFonts w:ascii="Calibri" w:eastAsia="Times New Roman" w:hAnsi="Calibri" w:cs="Times New Roman"/>
                <w:sz w:val="32"/>
                <w:szCs w:val="32"/>
              </w:rPr>
              <w:t xml:space="preserve"> 13,878 </w:t>
            </w:r>
          </w:p>
        </w:tc>
      </w:tr>
      <w:tr w:rsidR="006146A4" w:rsidRPr="006146A4" w14:paraId="7D50FE6C" w14:textId="77777777" w:rsidTr="006146A4">
        <w:trPr>
          <w:trHeight w:val="420"/>
        </w:trPr>
        <w:tc>
          <w:tcPr>
            <w:tcW w:w="4079" w:type="dxa"/>
            <w:tcBorders>
              <w:top w:val="single" w:sz="8" w:space="0" w:color="auto"/>
              <w:left w:val="single" w:sz="4" w:space="0" w:color="auto"/>
              <w:bottom w:val="single" w:sz="8" w:space="0" w:color="auto"/>
              <w:right w:val="nil"/>
            </w:tcBorders>
            <w:shd w:val="clear" w:color="000000" w:fill="D9D9D9"/>
            <w:vAlign w:val="center"/>
            <w:hideMark/>
          </w:tcPr>
          <w:p w14:paraId="16E2A1AC"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85" w:type="dxa"/>
            <w:tcBorders>
              <w:top w:val="nil"/>
              <w:left w:val="single" w:sz="4" w:space="0" w:color="auto"/>
              <w:bottom w:val="single" w:sz="4" w:space="0" w:color="auto"/>
              <w:right w:val="single" w:sz="4" w:space="0" w:color="auto"/>
            </w:tcBorders>
            <w:shd w:val="clear" w:color="000000" w:fill="D9D9D9"/>
            <w:vAlign w:val="center"/>
            <w:hideMark/>
          </w:tcPr>
          <w:p w14:paraId="0F60FCE2"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3212" w:type="dxa"/>
            <w:tcBorders>
              <w:top w:val="nil"/>
              <w:left w:val="nil"/>
              <w:bottom w:val="single" w:sz="4" w:space="0" w:color="auto"/>
              <w:right w:val="single" w:sz="4" w:space="0" w:color="auto"/>
            </w:tcBorders>
            <w:shd w:val="clear" w:color="000000" w:fill="D9D9D9"/>
            <w:vAlign w:val="center"/>
            <w:hideMark/>
          </w:tcPr>
          <w:p w14:paraId="16D222D3"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44" w:type="dxa"/>
            <w:tcBorders>
              <w:top w:val="single" w:sz="8" w:space="0" w:color="auto"/>
              <w:left w:val="nil"/>
              <w:bottom w:val="single" w:sz="8" w:space="0" w:color="auto"/>
              <w:right w:val="single" w:sz="4" w:space="0" w:color="auto"/>
            </w:tcBorders>
            <w:shd w:val="clear" w:color="000000" w:fill="D9D9D9"/>
            <w:vAlign w:val="center"/>
            <w:hideMark/>
          </w:tcPr>
          <w:p w14:paraId="168EBF63" w14:textId="77777777" w:rsidR="006146A4" w:rsidRPr="006146A4" w:rsidRDefault="006146A4" w:rsidP="006146A4">
            <w:pPr>
              <w:spacing w:after="0" w:line="240" w:lineRule="auto"/>
              <w:jc w:val="center"/>
              <w:rPr>
                <w:rFonts w:ascii="Calibri" w:eastAsia="Times New Roman" w:hAnsi="Calibri" w:cs="Times New Roman"/>
                <w:b/>
                <w:bCs/>
                <w:sz w:val="32"/>
                <w:szCs w:val="32"/>
              </w:rPr>
            </w:pPr>
            <w:r w:rsidRPr="006146A4">
              <w:rPr>
                <w:rFonts w:ascii="Calibri" w:eastAsia="Times New Roman" w:hAnsi="Calibri" w:cs="Times New Roman"/>
                <w:b/>
                <w:bCs/>
                <w:sz w:val="32"/>
                <w:szCs w:val="32"/>
              </w:rPr>
              <w:t xml:space="preserve"> 15,565 </w:t>
            </w:r>
          </w:p>
        </w:tc>
      </w:tr>
      <w:tr w:rsidR="006146A4" w:rsidRPr="006146A4" w14:paraId="1B34EF50" w14:textId="77777777" w:rsidTr="006146A4">
        <w:trPr>
          <w:trHeight w:val="420"/>
        </w:trPr>
        <w:tc>
          <w:tcPr>
            <w:tcW w:w="4079" w:type="dxa"/>
            <w:tcBorders>
              <w:top w:val="nil"/>
              <w:left w:val="single" w:sz="4" w:space="0" w:color="auto"/>
              <w:bottom w:val="single" w:sz="8" w:space="0" w:color="auto"/>
              <w:right w:val="nil"/>
            </w:tcBorders>
            <w:shd w:val="clear" w:color="000000" w:fill="D9D9D9"/>
            <w:vAlign w:val="center"/>
            <w:hideMark/>
          </w:tcPr>
          <w:p w14:paraId="273D5DB0" w14:textId="77777777" w:rsidR="006146A4" w:rsidRPr="006146A4" w:rsidRDefault="006146A4" w:rsidP="006146A4">
            <w:pPr>
              <w:spacing w:after="0" w:line="240" w:lineRule="auto"/>
              <w:rPr>
                <w:rFonts w:ascii="Calibri" w:eastAsia="Times New Roman" w:hAnsi="Calibri" w:cs="Times New Roman"/>
                <w:b/>
                <w:bCs/>
                <w:sz w:val="24"/>
                <w:szCs w:val="24"/>
              </w:rPr>
            </w:pPr>
            <w:r w:rsidRPr="006146A4">
              <w:rPr>
                <w:rFonts w:ascii="Calibri" w:eastAsia="Times New Roman" w:hAnsi="Calibri" w:cs="Times New Roman"/>
                <w:b/>
                <w:bCs/>
                <w:sz w:val="24"/>
                <w:szCs w:val="24"/>
              </w:rPr>
              <w:t>Total</w:t>
            </w:r>
          </w:p>
        </w:tc>
        <w:tc>
          <w:tcPr>
            <w:tcW w:w="1385" w:type="dxa"/>
            <w:tcBorders>
              <w:top w:val="nil"/>
              <w:left w:val="single" w:sz="4" w:space="0" w:color="auto"/>
              <w:bottom w:val="single" w:sz="8" w:space="0" w:color="auto"/>
              <w:right w:val="single" w:sz="4" w:space="0" w:color="auto"/>
            </w:tcBorders>
            <w:shd w:val="clear" w:color="000000" w:fill="D9D9D9"/>
            <w:vAlign w:val="center"/>
            <w:hideMark/>
          </w:tcPr>
          <w:p w14:paraId="783FE481"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3212" w:type="dxa"/>
            <w:tcBorders>
              <w:top w:val="nil"/>
              <w:left w:val="nil"/>
              <w:bottom w:val="single" w:sz="8" w:space="0" w:color="auto"/>
              <w:right w:val="single" w:sz="4" w:space="0" w:color="auto"/>
            </w:tcBorders>
            <w:shd w:val="clear" w:color="000000" w:fill="D9D9D9"/>
            <w:vAlign w:val="center"/>
            <w:hideMark/>
          </w:tcPr>
          <w:p w14:paraId="462E1236" w14:textId="77777777" w:rsidR="006146A4" w:rsidRPr="006146A4" w:rsidRDefault="006146A4" w:rsidP="006146A4">
            <w:pPr>
              <w:spacing w:after="0" w:line="240" w:lineRule="auto"/>
              <w:rPr>
                <w:rFonts w:ascii="Calibri" w:eastAsia="Times New Roman" w:hAnsi="Calibri" w:cs="Times New Roman"/>
                <w:b/>
                <w:bCs/>
                <w:sz w:val="20"/>
                <w:szCs w:val="20"/>
              </w:rPr>
            </w:pPr>
            <w:r w:rsidRPr="006146A4">
              <w:rPr>
                <w:rFonts w:ascii="Calibri" w:eastAsia="Times New Roman" w:hAnsi="Calibri" w:cs="Times New Roman"/>
                <w:b/>
                <w:bCs/>
                <w:sz w:val="20"/>
                <w:szCs w:val="20"/>
              </w:rPr>
              <w:t> </w:t>
            </w:r>
          </w:p>
        </w:tc>
        <w:tc>
          <w:tcPr>
            <w:tcW w:w="1344" w:type="dxa"/>
            <w:tcBorders>
              <w:top w:val="nil"/>
              <w:left w:val="nil"/>
              <w:bottom w:val="single" w:sz="8" w:space="0" w:color="auto"/>
              <w:right w:val="single" w:sz="4" w:space="0" w:color="auto"/>
            </w:tcBorders>
            <w:shd w:val="clear" w:color="000000" w:fill="D9D9D9"/>
            <w:vAlign w:val="center"/>
            <w:hideMark/>
          </w:tcPr>
          <w:p w14:paraId="707D8A70" w14:textId="77777777" w:rsidR="006146A4" w:rsidRPr="006146A4" w:rsidRDefault="006146A4" w:rsidP="006146A4">
            <w:pPr>
              <w:spacing w:after="0" w:line="240" w:lineRule="auto"/>
              <w:jc w:val="center"/>
              <w:rPr>
                <w:rFonts w:ascii="Calibri" w:eastAsia="Times New Roman" w:hAnsi="Calibri" w:cs="Times New Roman"/>
                <w:b/>
                <w:bCs/>
                <w:sz w:val="32"/>
                <w:szCs w:val="32"/>
              </w:rPr>
            </w:pPr>
            <w:r w:rsidRPr="006146A4">
              <w:rPr>
                <w:rFonts w:ascii="Calibri" w:eastAsia="Times New Roman" w:hAnsi="Calibri" w:cs="Times New Roman"/>
                <w:b/>
                <w:bCs/>
                <w:sz w:val="32"/>
                <w:szCs w:val="32"/>
              </w:rPr>
              <w:t xml:space="preserve"> 117,284 </w:t>
            </w:r>
          </w:p>
        </w:tc>
      </w:tr>
    </w:tbl>
    <w:p w14:paraId="393CAF27" w14:textId="77777777" w:rsidR="009F5751" w:rsidRDefault="009F5751" w:rsidP="0025093A">
      <w:pPr>
        <w:rPr>
          <w:rStyle w:val="apple-style-span"/>
          <w:rFonts w:ascii="Arial" w:eastAsia="Times New Roman" w:hAnsi="Arial" w:cs="Arial"/>
          <w:color w:val="000000"/>
          <w:lang w:eastAsia="en-GB"/>
        </w:rPr>
      </w:pPr>
    </w:p>
    <w:p w14:paraId="5E023BC3" w14:textId="77777777" w:rsidR="00403C81" w:rsidRDefault="00403C81" w:rsidP="0025093A">
      <w:pPr>
        <w:rPr>
          <w:rStyle w:val="apple-style-span"/>
          <w:rFonts w:ascii="Arial" w:eastAsia="Times New Roman" w:hAnsi="Arial" w:cs="Arial"/>
          <w:color w:val="000000"/>
          <w:lang w:eastAsia="en-GB"/>
        </w:rPr>
      </w:pPr>
    </w:p>
    <w:p w14:paraId="16BB8F78" w14:textId="77777777" w:rsidR="00403C81" w:rsidRDefault="00403C81" w:rsidP="0025093A">
      <w:pPr>
        <w:rPr>
          <w:rStyle w:val="apple-style-span"/>
          <w:rFonts w:ascii="Arial" w:eastAsia="Times New Roman" w:hAnsi="Arial" w:cs="Arial"/>
          <w:color w:val="000000"/>
          <w:lang w:eastAsia="en-GB"/>
        </w:rPr>
      </w:pPr>
    </w:p>
    <w:p w14:paraId="45C8685F" w14:textId="77777777" w:rsidR="00403C81" w:rsidRDefault="00403C81" w:rsidP="0025093A">
      <w:pPr>
        <w:rPr>
          <w:rStyle w:val="apple-style-span"/>
          <w:rFonts w:ascii="Arial" w:eastAsia="Times New Roman" w:hAnsi="Arial" w:cs="Arial"/>
          <w:color w:val="000000"/>
          <w:lang w:eastAsia="en-GB"/>
        </w:rPr>
      </w:pPr>
    </w:p>
    <w:p w14:paraId="4F000F0C" w14:textId="7F1B1B1D" w:rsidR="00403C81" w:rsidRDefault="00403C81" w:rsidP="003B6B2C">
      <w:pPr>
        <w:rPr>
          <w:rStyle w:val="apple-style-span"/>
          <w:rFonts w:ascii="Arial" w:eastAsia="Times New Roman" w:hAnsi="Arial" w:cs="Arial"/>
          <w:color w:val="000000"/>
          <w:lang w:eastAsia="en-GB"/>
        </w:rPr>
      </w:pPr>
    </w:p>
    <w:p w14:paraId="4DEC25F0" w14:textId="77777777" w:rsidR="00403C81" w:rsidRDefault="00403C81">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br w:type="page"/>
      </w:r>
    </w:p>
    <w:p w14:paraId="5E22721F" w14:textId="4F6F0069" w:rsidR="003B6B2C" w:rsidRPr="00A413A2" w:rsidRDefault="003B6B2C" w:rsidP="003B6B2C">
      <w:pPr>
        <w:rPr>
          <w:rFonts w:ascii="Arial" w:hAnsi="Arial" w:cs="Arial"/>
          <w:b/>
        </w:rPr>
      </w:pPr>
      <w:r w:rsidRPr="00A413A2">
        <w:rPr>
          <w:rFonts w:ascii="Arial" w:hAnsi="Arial" w:cs="Arial"/>
          <w:b/>
        </w:rPr>
        <w:lastRenderedPageBreak/>
        <w:t xml:space="preserve">Annex B: </w:t>
      </w:r>
      <w:r w:rsidR="00703DF2">
        <w:rPr>
          <w:rFonts w:ascii="Arial" w:hAnsi="Arial" w:cs="Arial"/>
          <w:b/>
        </w:rPr>
        <w:t>E</w:t>
      </w:r>
      <w:r w:rsidRPr="00A413A2">
        <w:rPr>
          <w:rFonts w:ascii="Arial" w:hAnsi="Arial" w:cs="Arial"/>
          <w:b/>
        </w:rPr>
        <w:t>stimating carbon savings from land management</w:t>
      </w:r>
    </w:p>
    <w:p w14:paraId="6A8100A0" w14:textId="45005178" w:rsidR="003B6B2C" w:rsidRPr="00EF2B30" w:rsidRDefault="003B6B2C" w:rsidP="003B6B2C">
      <w:pPr>
        <w:rPr>
          <w:rFonts w:ascii="Arial" w:hAnsi="Arial" w:cs="Arial"/>
        </w:rPr>
      </w:pPr>
      <w:r w:rsidRPr="00EF2B30">
        <w:rPr>
          <w:rFonts w:ascii="Arial" w:hAnsi="Arial" w:cs="Arial"/>
        </w:rPr>
        <w:t xml:space="preserve">It has been difficult to estimate carbon savings from land management, due to its complexity. However, research continues and </w:t>
      </w:r>
      <w:r w:rsidR="00DC1135">
        <w:rPr>
          <w:rFonts w:ascii="Arial" w:hAnsi="Arial" w:cs="Arial"/>
        </w:rPr>
        <w:t xml:space="preserve">last </w:t>
      </w:r>
      <w:r w:rsidRPr="00EF2B30">
        <w:rPr>
          <w:rFonts w:ascii="Arial" w:hAnsi="Arial" w:cs="Arial"/>
        </w:rPr>
        <w:t xml:space="preserve">year we </w:t>
      </w:r>
      <w:r w:rsidR="00791FB0" w:rsidRPr="00EF2B30">
        <w:rPr>
          <w:rFonts w:ascii="Arial" w:hAnsi="Arial" w:cs="Arial"/>
        </w:rPr>
        <w:t xml:space="preserve">significantly improved </w:t>
      </w:r>
      <w:r w:rsidR="00E532DD" w:rsidRPr="00EF2B30">
        <w:rPr>
          <w:rFonts w:ascii="Arial" w:hAnsi="Arial" w:cs="Arial"/>
        </w:rPr>
        <w:t xml:space="preserve">how we measure </w:t>
      </w:r>
      <w:r w:rsidR="00791FB0" w:rsidRPr="00EF2B30">
        <w:rPr>
          <w:rFonts w:ascii="Arial" w:hAnsi="Arial" w:cs="Arial"/>
        </w:rPr>
        <w:t xml:space="preserve">our savings from </w:t>
      </w:r>
      <w:r w:rsidRPr="00EF2B30">
        <w:rPr>
          <w:rFonts w:ascii="Arial" w:hAnsi="Arial" w:cs="Arial"/>
        </w:rPr>
        <w:t xml:space="preserve">woodland creation. </w:t>
      </w:r>
    </w:p>
    <w:p w14:paraId="7201F382" w14:textId="77777777" w:rsidR="003B6B2C" w:rsidRPr="00EF2B30" w:rsidRDefault="003B6B2C" w:rsidP="003B6B2C">
      <w:pPr>
        <w:rPr>
          <w:rFonts w:ascii="Arial" w:hAnsi="Arial" w:cs="Arial"/>
        </w:rPr>
      </w:pPr>
      <w:r w:rsidRPr="00EF2B30">
        <w:rPr>
          <w:rFonts w:ascii="Arial" w:hAnsi="Arial" w:cs="Arial"/>
        </w:rPr>
        <w:t>The basis for the estimates is as follows:</w:t>
      </w:r>
    </w:p>
    <w:p w14:paraId="4FE7A5F5" w14:textId="77777777" w:rsidR="003B6B2C" w:rsidRPr="00EF2B30" w:rsidRDefault="003B6B2C" w:rsidP="003B6B2C">
      <w:pPr>
        <w:rPr>
          <w:rFonts w:ascii="Arial" w:hAnsi="Arial" w:cs="Arial"/>
          <w:b/>
        </w:rPr>
      </w:pPr>
      <w:r w:rsidRPr="00EF2B30">
        <w:rPr>
          <w:rFonts w:ascii="Arial" w:hAnsi="Arial" w:cs="Arial"/>
          <w:b/>
        </w:rPr>
        <w:t>Carbon savings from woodland creation:</w:t>
      </w:r>
    </w:p>
    <w:p w14:paraId="04D678DB" w14:textId="77777777" w:rsidR="00282F1E" w:rsidRPr="00EF2B30" w:rsidRDefault="00992B34" w:rsidP="003B6B2C">
      <w:pPr>
        <w:rPr>
          <w:rFonts w:ascii="Arial" w:hAnsi="Arial" w:cs="Arial"/>
        </w:rPr>
      </w:pPr>
      <w:r w:rsidRPr="00EF2B30">
        <w:rPr>
          <w:rFonts w:ascii="Arial" w:hAnsi="Arial" w:cs="Arial"/>
        </w:rPr>
        <w:t xml:space="preserve">We have significantly improved </w:t>
      </w:r>
      <w:r w:rsidR="00E532DD" w:rsidRPr="00EF2B30">
        <w:rPr>
          <w:rFonts w:ascii="Arial" w:hAnsi="Arial" w:cs="Arial"/>
        </w:rPr>
        <w:t>how we measure</w:t>
      </w:r>
      <w:r w:rsidRPr="00EF2B30">
        <w:rPr>
          <w:rFonts w:ascii="Arial" w:hAnsi="Arial" w:cs="Arial"/>
        </w:rPr>
        <w:t xml:space="preserve"> new woodland creation within the Lake District, using information from </w:t>
      </w:r>
      <w:r w:rsidR="00E532DD" w:rsidRPr="00EF2B30">
        <w:rPr>
          <w:rFonts w:ascii="Arial" w:hAnsi="Arial" w:cs="Arial"/>
        </w:rPr>
        <w:t>fu</w:t>
      </w:r>
      <w:r w:rsidRPr="00EF2B30">
        <w:rPr>
          <w:rFonts w:ascii="Arial" w:hAnsi="Arial" w:cs="Arial"/>
        </w:rPr>
        <w:t>n</w:t>
      </w:r>
      <w:r w:rsidR="00E532DD" w:rsidRPr="00EF2B30">
        <w:rPr>
          <w:rFonts w:ascii="Arial" w:hAnsi="Arial" w:cs="Arial"/>
        </w:rPr>
        <w:t>d</w:t>
      </w:r>
      <w:r w:rsidRPr="00EF2B30">
        <w:rPr>
          <w:rFonts w:ascii="Arial" w:hAnsi="Arial" w:cs="Arial"/>
        </w:rPr>
        <w:t>ing provided by the Forestry Commis</w:t>
      </w:r>
      <w:r w:rsidR="00E532DD" w:rsidRPr="00EF2B30">
        <w:rPr>
          <w:rFonts w:ascii="Arial" w:hAnsi="Arial" w:cs="Arial"/>
        </w:rPr>
        <w:t>s</w:t>
      </w:r>
      <w:r w:rsidRPr="00EF2B30">
        <w:rPr>
          <w:rFonts w:ascii="Arial" w:hAnsi="Arial" w:cs="Arial"/>
        </w:rPr>
        <w:t>ion; Natural England through Higher Level Stewardship and Windermere Reflections through Save our Soils. Since 2010</w:t>
      </w:r>
      <w:r w:rsidR="00DC1135">
        <w:rPr>
          <w:rFonts w:ascii="Arial" w:hAnsi="Arial" w:cs="Arial"/>
        </w:rPr>
        <w:t>, and up to April 2014</w:t>
      </w:r>
      <w:r w:rsidRPr="00EF2B30">
        <w:rPr>
          <w:rFonts w:ascii="Arial" w:hAnsi="Arial" w:cs="Arial"/>
        </w:rPr>
        <w:t xml:space="preserve"> there has been 320ha of new woodland created</w:t>
      </w:r>
      <w:r w:rsidR="007B0A64" w:rsidRPr="00EF2B30">
        <w:rPr>
          <w:rFonts w:ascii="Arial" w:hAnsi="Arial" w:cs="Arial"/>
        </w:rPr>
        <w:t xml:space="preserve">, saving 3703 tonnes. </w:t>
      </w:r>
    </w:p>
    <w:p w14:paraId="32E71CA9" w14:textId="77777777" w:rsidR="00992B34" w:rsidRPr="00EF2B30" w:rsidRDefault="003B6B2C" w:rsidP="003B6B2C">
      <w:pPr>
        <w:rPr>
          <w:rFonts w:ascii="Arial" w:hAnsi="Arial" w:cs="Arial"/>
        </w:rPr>
      </w:pPr>
      <w:r w:rsidRPr="00EF2B30">
        <w:rPr>
          <w:rFonts w:ascii="Arial" w:hAnsi="Arial" w:cs="Arial"/>
        </w:rPr>
        <w:t>Using the figures from the report ‘</w:t>
      </w:r>
      <w:hyperlink r:id="rId12" w:history="1">
        <w:r w:rsidRPr="00EF2B30">
          <w:rPr>
            <w:rStyle w:val="Hyperlink"/>
            <w:rFonts w:ascii="Arial" w:hAnsi="Arial" w:cs="Arial"/>
          </w:rPr>
          <w:t>A carbon account for the woodlands in the Lake District National Park (2012)’</w:t>
        </w:r>
      </w:hyperlink>
      <w:r w:rsidRPr="00EF2B30">
        <w:rPr>
          <w:rFonts w:ascii="Arial" w:hAnsi="Arial" w:cs="Arial"/>
        </w:rPr>
        <w:t xml:space="preserve"> (using calculations from the Woodland Carbon Code), a typical new Lake District broadleaf woodland will s</w:t>
      </w:r>
      <w:r w:rsidR="00A8729E" w:rsidRPr="00EF2B30">
        <w:rPr>
          <w:rFonts w:ascii="Arial" w:hAnsi="Arial" w:cs="Arial"/>
        </w:rPr>
        <w:t>ave</w:t>
      </w:r>
      <w:r w:rsidRPr="00EF2B30">
        <w:rPr>
          <w:rFonts w:ascii="Arial" w:hAnsi="Arial" w:cs="Arial"/>
        </w:rPr>
        <w:t xml:space="preserve"> a net 441.5 tonnes of CO2e over 100 years. Although emissions are usually greater than sequestration in the first few years after planting, for the purpose of the carbon budget it is easiest to assume a linear uptake of carbon. </w:t>
      </w:r>
    </w:p>
    <w:p w14:paraId="67435496" w14:textId="77777777" w:rsidR="002007B2" w:rsidRPr="00EF2B30" w:rsidRDefault="002007B2" w:rsidP="002007B2">
      <w:pPr>
        <w:rPr>
          <w:rFonts w:ascii="Arial" w:hAnsi="Arial" w:cs="Arial"/>
          <w:b/>
        </w:rPr>
      </w:pPr>
      <w:r w:rsidRPr="00EF2B30">
        <w:rPr>
          <w:rFonts w:ascii="Arial" w:hAnsi="Arial" w:cs="Arial"/>
          <w:b/>
        </w:rPr>
        <w:t>Carbon savings from peatland: </w:t>
      </w:r>
    </w:p>
    <w:p w14:paraId="1D10EC7D" w14:textId="384239F7" w:rsidR="00E532DD" w:rsidRPr="00EF2B30" w:rsidRDefault="00E532DD" w:rsidP="002007B2">
      <w:pPr>
        <w:rPr>
          <w:rFonts w:ascii="Arial" w:hAnsi="Arial" w:cs="Arial"/>
          <w:b/>
        </w:rPr>
      </w:pPr>
      <w:r w:rsidRPr="00EF2B30">
        <w:rPr>
          <w:rFonts w:ascii="Arial" w:hAnsi="Arial" w:cs="Arial"/>
        </w:rPr>
        <w:t xml:space="preserve">This is a provisional figure based on </w:t>
      </w:r>
      <w:r w:rsidR="00DC1135">
        <w:rPr>
          <w:rFonts w:ascii="Arial" w:hAnsi="Arial" w:cs="Arial"/>
        </w:rPr>
        <w:t>the 2013</w:t>
      </w:r>
      <w:r w:rsidRPr="00EF2B30">
        <w:rPr>
          <w:rFonts w:ascii="Arial" w:hAnsi="Arial" w:cs="Arial"/>
        </w:rPr>
        <w:t xml:space="preserve"> calculation and we expect it to change when we have more accurate information available next year.</w:t>
      </w:r>
    </w:p>
    <w:p w14:paraId="2D4D43C3" w14:textId="77777777" w:rsidR="002007B2" w:rsidRPr="00EF2B30" w:rsidRDefault="002007B2" w:rsidP="002007B2">
      <w:pPr>
        <w:pStyle w:val="ListParagraph"/>
        <w:numPr>
          <w:ilvl w:val="0"/>
          <w:numId w:val="5"/>
        </w:numPr>
        <w:rPr>
          <w:rFonts w:ascii="Arial" w:hAnsi="Arial" w:cs="Arial"/>
        </w:rPr>
      </w:pPr>
      <w:r w:rsidRPr="00EF2B30">
        <w:rPr>
          <w:rFonts w:ascii="Arial" w:hAnsi="Arial" w:cs="Arial"/>
        </w:rPr>
        <w:t>There are 91,451 ha of peatland in the National Park.</w:t>
      </w:r>
    </w:p>
    <w:p w14:paraId="082D6D34" w14:textId="77777777" w:rsidR="002007B2" w:rsidRPr="00EF2B30" w:rsidRDefault="002007B2" w:rsidP="002007B2">
      <w:pPr>
        <w:pStyle w:val="ListParagraph"/>
        <w:numPr>
          <w:ilvl w:val="0"/>
          <w:numId w:val="5"/>
        </w:numPr>
        <w:rPr>
          <w:rFonts w:ascii="Arial" w:hAnsi="Arial" w:cs="Arial"/>
        </w:rPr>
      </w:pPr>
      <w:r w:rsidRPr="00EF2B30">
        <w:rPr>
          <w:rFonts w:ascii="Arial" w:hAnsi="Arial" w:cs="Arial"/>
        </w:rPr>
        <w:t>Degraded peat bogs in the Lake District National Park have been estimated to emit 31,984 tonnes CO</w:t>
      </w:r>
      <w:r w:rsidRPr="00EF2B30">
        <w:rPr>
          <w:rFonts w:ascii="Arial" w:hAnsi="Arial" w:cs="Arial"/>
          <w:vertAlign w:val="subscript"/>
        </w:rPr>
        <w:t>2</w:t>
      </w:r>
      <w:r w:rsidRPr="00EF2B30">
        <w:rPr>
          <w:rFonts w:ascii="Arial" w:hAnsi="Arial" w:cs="Arial"/>
        </w:rPr>
        <w:t>e per year (which on average equates to approximately 0.35 tonnes CO</w:t>
      </w:r>
      <w:r w:rsidRPr="00EF2B30">
        <w:rPr>
          <w:rFonts w:ascii="Arial" w:hAnsi="Arial" w:cs="Arial"/>
          <w:vertAlign w:val="subscript"/>
        </w:rPr>
        <w:t>2</w:t>
      </w:r>
      <w:r w:rsidRPr="00EF2B30">
        <w:rPr>
          <w:rFonts w:ascii="Arial" w:hAnsi="Arial" w:cs="Arial"/>
        </w:rPr>
        <w:t>e per ha per year).</w:t>
      </w:r>
    </w:p>
    <w:p w14:paraId="51C323CE" w14:textId="77777777" w:rsidR="002007B2" w:rsidRPr="00EF2B30" w:rsidRDefault="002007B2" w:rsidP="002007B2">
      <w:pPr>
        <w:pStyle w:val="ListParagraph"/>
        <w:numPr>
          <w:ilvl w:val="0"/>
          <w:numId w:val="5"/>
        </w:numPr>
        <w:rPr>
          <w:rFonts w:ascii="Arial" w:hAnsi="Arial" w:cs="Arial"/>
        </w:rPr>
      </w:pPr>
      <w:r w:rsidRPr="00EF2B30">
        <w:rPr>
          <w:rFonts w:ascii="Arial" w:hAnsi="Arial" w:cs="Arial"/>
        </w:rPr>
        <w:t xml:space="preserve">39,650.8 ha of peatland within the National Park have been identified as subject to restoration management (estimate drawn up by the LDNPA following contributions from partners, and is available separately). </w:t>
      </w:r>
    </w:p>
    <w:p w14:paraId="46416D5A" w14:textId="77777777" w:rsidR="002007B2" w:rsidRPr="00EF2B30" w:rsidRDefault="002007B2" w:rsidP="002007B2">
      <w:pPr>
        <w:pStyle w:val="ListParagraph"/>
        <w:numPr>
          <w:ilvl w:val="0"/>
          <w:numId w:val="5"/>
        </w:numPr>
        <w:rPr>
          <w:rFonts w:ascii="Arial" w:hAnsi="Arial" w:cs="Arial"/>
        </w:rPr>
      </w:pPr>
      <w:r w:rsidRPr="00EF2B30">
        <w:rPr>
          <w:rFonts w:ascii="Arial" w:hAnsi="Arial" w:cs="Arial"/>
        </w:rPr>
        <w:t>If the peatland under restoration management is no longer emitting CO2e (but is not yet sequestering), the savings will be 13,878 tonnes each year.</w:t>
      </w:r>
      <w:r w:rsidR="00E532DD" w:rsidRPr="00EF2B30">
        <w:rPr>
          <w:rFonts w:ascii="Arial" w:hAnsi="Arial" w:cs="Arial"/>
        </w:rPr>
        <w:t xml:space="preserve"> Over two years, the saving will be 27,756 tonnes.</w:t>
      </w:r>
    </w:p>
    <w:p w14:paraId="570CF587" w14:textId="77777777" w:rsidR="002007B2" w:rsidRPr="00EF2B30" w:rsidRDefault="002007B2" w:rsidP="002007B2">
      <w:pPr>
        <w:pStyle w:val="ListParagraph"/>
        <w:numPr>
          <w:ilvl w:val="0"/>
          <w:numId w:val="5"/>
        </w:numPr>
        <w:rPr>
          <w:rFonts w:ascii="Arial" w:hAnsi="Arial" w:cs="Arial"/>
        </w:rPr>
      </w:pPr>
      <w:r w:rsidRPr="00EF2B30">
        <w:rPr>
          <w:rFonts w:ascii="Arial" w:hAnsi="Arial" w:cs="Arial"/>
        </w:rPr>
        <w:t>In further years additional savings are expected as these sites recover and start to sequester carbon.</w:t>
      </w:r>
    </w:p>
    <w:p w14:paraId="27342219" w14:textId="77777777" w:rsidR="003B6B2C" w:rsidRPr="00EF2B30" w:rsidRDefault="003B6B2C" w:rsidP="003B6B2C">
      <w:pPr>
        <w:rPr>
          <w:rFonts w:ascii="Arial" w:hAnsi="Arial" w:cs="Arial"/>
          <w:b/>
        </w:rPr>
      </w:pPr>
      <w:r w:rsidRPr="00EF2B30">
        <w:rPr>
          <w:rFonts w:ascii="Arial" w:hAnsi="Arial" w:cs="Arial"/>
          <w:b/>
        </w:rPr>
        <w:t>Inclusion of land use in the carbon budget:</w:t>
      </w:r>
    </w:p>
    <w:p w14:paraId="160CDBB2" w14:textId="77777777" w:rsidR="003B6B2C" w:rsidRPr="000944C5" w:rsidRDefault="003B6B2C" w:rsidP="003B6B2C">
      <w:pPr>
        <w:rPr>
          <w:rFonts w:ascii="Arial" w:hAnsi="Arial" w:cs="Arial"/>
        </w:rPr>
      </w:pPr>
      <w:r w:rsidRPr="00EF2B30">
        <w:rPr>
          <w:rFonts w:ascii="Arial" w:hAnsi="Arial" w:cs="Arial"/>
        </w:rPr>
        <w:t>Note that these savings cannot be directly compared to savings from other areas (</w:t>
      </w:r>
      <w:proofErr w:type="spellStart"/>
      <w:r w:rsidRPr="00EF2B30">
        <w:rPr>
          <w:rFonts w:ascii="Arial" w:hAnsi="Arial" w:cs="Arial"/>
        </w:rPr>
        <w:t>eg</w:t>
      </w:r>
      <w:proofErr w:type="spellEnd"/>
      <w:r w:rsidRPr="00EF2B30">
        <w:rPr>
          <w:rFonts w:ascii="Arial" w:hAnsi="Arial" w:cs="Arial"/>
        </w:rPr>
        <w:t xml:space="preserve"> transport, energy use </w:t>
      </w:r>
      <w:proofErr w:type="spellStart"/>
      <w:r w:rsidRPr="00EF2B30">
        <w:rPr>
          <w:rFonts w:ascii="Arial" w:hAnsi="Arial" w:cs="Arial"/>
        </w:rPr>
        <w:t>etc</w:t>
      </w:r>
      <w:proofErr w:type="spellEnd"/>
      <w:r w:rsidRPr="00EF2B30">
        <w:rPr>
          <w:rFonts w:ascii="Arial" w:hAnsi="Arial" w:cs="Arial"/>
        </w:rPr>
        <w:t>) because land management is not included in the baseline calculations. They are included in the graph to help measure the effectiveness of carbon savings from land use compared to other actions. It should be highlighted though that these actions are equally as valid. Some are included in the national greenhouse gas inventory.</w:t>
      </w:r>
    </w:p>
    <w:p w14:paraId="06550180" w14:textId="77777777" w:rsidR="003B6B2C" w:rsidRDefault="003B6B2C">
      <w:pPr>
        <w:rPr>
          <w:rStyle w:val="apple-style-span"/>
          <w:rFonts w:ascii="Arial" w:eastAsia="Times New Roman" w:hAnsi="Arial" w:cs="Arial"/>
          <w:b/>
          <w:color w:val="000000"/>
          <w:lang w:eastAsia="en-GB"/>
        </w:rPr>
      </w:pPr>
    </w:p>
    <w:sectPr w:rsidR="003B6B2C" w:rsidSect="008033B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FC2"/>
    <w:multiLevelType w:val="hybridMultilevel"/>
    <w:tmpl w:val="0600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568B7"/>
    <w:multiLevelType w:val="hybridMultilevel"/>
    <w:tmpl w:val="E54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B5032"/>
    <w:multiLevelType w:val="hybridMultilevel"/>
    <w:tmpl w:val="AE208892"/>
    <w:lvl w:ilvl="0" w:tplc="1E809C30">
      <w:start w:val="1"/>
      <w:numFmt w:val="upperLetter"/>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6467E1"/>
    <w:multiLevelType w:val="hybridMultilevel"/>
    <w:tmpl w:val="C7A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2A1A65"/>
    <w:multiLevelType w:val="hybridMultilevel"/>
    <w:tmpl w:val="81F4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B2DF8"/>
    <w:multiLevelType w:val="hybridMultilevel"/>
    <w:tmpl w:val="32E8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C6854"/>
    <w:multiLevelType w:val="hybridMultilevel"/>
    <w:tmpl w:val="350A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863A0"/>
    <w:multiLevelType w:val="multilevel"/>
    <w:tmpl w:val="59F8E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CC"/>
    <w:rsid w:val="00004B80"/>
    <w:rsid w:val="00037213"/>
    <w:rsid w:val="000461D9"/>
    <w:rsid w:val="00055489"/>
    <w:rsid w:val="00090510"/>
    <w:rsid w:val="000C1F1B"/>
    <w:rsid w:val="000C653E"/>
    <w:rsid w:val="000F20F2"/>
    <w:rsid w:val="000F2B5A"/>
    <w:rsid w:val="000F49EE"/>
    <w:rsid w:val="000F54A7"/>
    <w:rsid w:val="000F668C"/>
    <w:rsid w:val="0011163D"/>
    <w:rsid w:val="00127C2D"/>
    <w:rsid w:val="001343F0"/>
    <w:rsid w:val="00141C45"/>
    <w:rsid w:val="00160869"/>
    <w:rsid w:val="001B3D7F"/>
    <w:rsid w:val="001E5A05"/>
    <w:rsid w:val="002007B2"/>
    <w:rsid w:val="002048DA"/>
    <w:rsid w:val="0022003D"/>
    <w:rsid w:val="00226C8A"/>
    <w:rsid w:val="002276C0"/>
    <w:rsid w:val="002331FF"/>
    <w:rsid w:val="002458EF"/>
    <w:rsid w:val="0025093A"/>
    <w:rsid w:val="00282F1E"/>
    <w:rsid w:val="00287BC7"/>
    <w:rsid w:val="002B1501"/>
    <w:rsid w:val="002C0BF2"/>
    <w:rsid w:val="002D6B3C"/>
    <w:rsid w:val="003365D3"/>
    <w:rsid w:val="00343D2D"/>
    <w:rsid w:val="003630C3"/>
    <w:rsid w:val="003947B7"/>
    <w:rsid w:val="003A20FB"/>
    <w:rsid w:val="003B6B2C"/>
    <w:rsid w:val="003C2444"/>
    <w:rsid w:val="003D20EB"/>
    <w:rsid w:val="00403C81"/>
    <w:rsid w:val="00410715"/>
    <w:rsid w:val="00457FE4"/>
    <w:rsid w:val="00486C44"/>
    <w:rsid w:val="004E71C6"/>
    <w:rsid w:val="004E7EF6"/>
    <w:rsid w:val="00534356"/>
    <w:rsid w:val="00585C20"/>
    <w:rsid w:val="005B3E5F"/>
    <w:rsid w:val="005B7457"/>
    <w:rsid w:val="005C1851"/>
    <w:rsid w:val="00601AEF"/>
    <w:rsid w:val="006146A4"/>
    <w:rsid w:val="00625322"/>
    <w:rsid w:val="00633074"/>
    <w:rsid w:val="00640207"/>
    <w:rsid w:val="00683DA3"/>
    <w:rsid w:val="00703DF2"/>
    <w:rsid w:val="00712901"/>
    <w:rsid w:val="0071525B"/>
    <w:rsid w:val="00737A1A"/>
    <w:rsid w:val="00791FB0"/>
    <w:rsid w:val="00797A4E"/>
    <w:rsid w:val="007B0A64"/>
    <w:rsid w:val="007C28DA"/>
    <w:rsid w:val="007E6FF9"/>
    <w:rsid w:val="007F3BB4"/>
    <w:rsid w:val="008033BD"/>
    <w:rsid w:val="00823A3C"/>
    <w:rsid w:val="008579F1"/>
    <w:rsid w:val="008B7606"/>
    <w:rsid w:val="008C65A6"/>
    <w:rsid w:val="008E4411"/>
    <w:rsid w:val="008F6233"/>
    <w:rsid w:val="00906B98"/>
    <w:rsid w:val="009410B4"/>
    <w:rsid w:val="00974234"/>
    <w:rsid w:val="00992B34"/>
    <w:rsid w:val="009A3FD8"/>
    <w:rsid w:val="009E3278"/>
    <w:rsid w:val="009F5751"/>
    <w:rsid w:val="00A413A2"/>
    <w:rsid w:val="00A545B1"/>
    <w:rsid w:val="00A8729E"/>
    <w:rsid w:val="00AB7133"/>
    <w:rsid w:val="00AC7C4C"/>
    <w:rsid w:val="00B11F20"/>
    <w:rsid w:val="00B34F94"/>
    <w:rsid w:val="00B46322"/>
    <w:rsid w:val="00B563D8"/>
    <w:rsid w:val="00B642BD"/>
    <w:rsid w:val="00B67740"/>
    <w:rsid w:val="00BA4E03"/>
    <w:rsid w:val="00BC26E4"/>
    <w:rsid w:val="00BC44B5"/>
    <w:rsid w:val="00C04F74"/>
    <w:rsid w:val="00C05292"/>
    <w:rsid w:val="00C328CD"/>
    <w:rsid w:val="00C47337"/>
    <w:rsid w:val="00C61494"/>
    <w:rsid w:val="00C67CF8"/>
    <w:rsid w:val="00C82694"/>
    <w:rsid w:val="00CB0FCC"/>
    <w:rsid w:val="00CB1A2E"/>
    <w:rsid w:val="00CE1814"/>
    <w:rsid w:val="00CF404C"/>
    <w:rsid w:val="00D5491A"/>
    <w:rsid w:val="00D636EC"/>
    <w:rsid w:val="00D67301"/>
    <w:rsid w:val="00D735C4"/>
    <w:rsid w:val="00D851D0"/>
    <w:rsid w:val="00D8745E"/>
    <w:rsid w:val="00DC1135"/>
    <w:rsid w:val="00E17543"/>
    <w:rsid w:val="00E20C33"/>
    <w:rsid w:val="00E532DD"/>
    <w:rsid w:val="00E6146D"/>
    <w:rsid w:val="00EA7160"/>
    <w:rsid w:val="00EB6DD8"/>
    <w:rsid w:val="00EF2B30"/>
    <w:rsid w:val="00F34068"/>
    <w:rsid w:val="00F46EA4"/>
    <w:rsid w:val="00F54ACC"/>
    <w:rsid w:val="00F66651"/>
    <w:rsid w:val="00F80040"/>
    <w:rsid w:val="00FE6022"/>
    <w:rsid w:val="00FF31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2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FCC"/>
    <w:rPr>
      <w:rFonts w:ascii="Tahoma" w:hAnsi="Tahoma" w:cs="Tahoma"/>
      <w:sz w:val="16"/>
      <w:szCs w:val="16"/>
    </w:rPr>
  </w:style>
  <w:style w:type="table" w:styleId="TableGrid">
    <w:name w:val="Table Grid"/>
    <w:basedOn w:val="TableNormal"/>
    <w:rsid w:val="00CB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B0FCC"/>
  </w:style>
  <w:style w:type="character" w:styleId="Hyperlink">
    <w:name w:val="Hyperlink"/>
    <w:basedOn w:val="DefaultParagraphFont"/>
    <w:uiPriority w:val="99"/>
    <w:unhideWhenUsed/>
    <w:rsid w:val="00C47337"/>
    <w:rPr>
      <w:color w:val="0000FF" w:themeColor="hyperlink"/>
      <w:u w:val="single"/>
    </w:rPr>
  </w:style>
  <w:style w:type="paragraph" w:styleId="ListParagraph">
    <w:name w:val="List Paragraph"/>
    <w:basedOn w:val="Normal"/>
    <w:uiPriority w:val="99"/>
    <w:qFormat/>
    <w:rsid w:val="00457FE4"/>
    <w:pPr>
      <w:ind w:left="720"/>
      <w:contextualSpacing/>
    </w:pPr>
  </w:style>
  <w:style w:type="character" w:styleId="CommentReference">
    <w:name w:val="annotation reference"/>
    <w:basedOn w:val="DefaultParagraphFont"/>
    <w:uiPriority w:val="99"/>
    <w:semiHidden/>
    <w:unhideWhenUsed/>
    <w:rsid w:val="00E17543"/>
    <w:rPr>
      <w:sz w:val="16"/>
      <w:szCs w:val="16"/>
    </w:rPr>
  </w:style>
  <w:style w:type="paragraph" w:styleId="CommentText">
    <w:name w:val="annotation text"/>
    <w:basedOn w:val="Normal"/>
    <w:link w:val="CommentTextChar"/>
    <w:uiPriority w:val="99"/>
    <w:semiHidden/>
    <w:unhideWhenUsed/>
    <w:rsid w:val="00E17543"/>
    <w:pPr>
      <w:spacing w:line="240" w:lineRule="auto"/>
    </w:pPr>
    <w:rPr>
      <w:sz w:val="20"/>
      <w:szCs w:val="20"/>
    </w:rPr>
  </w:style>
  <w:style w:type="character" w:customStyle="1" w:styleId="CommentTextChar">
    <w:name w:val="Comment Text Char"/>
    <w:basedOn w:val="DefaultParagraphFont"/>
    <w:link w:val="CommentText"/>
    <w:uiPriority w:val="99"/>
    <w:semiHidden/>
    <w:rsid w:val="00E17543"/>
    <w:rPr>
      <w:sz w:val="20"/>
      <w:szCs w:val="20"/>
    </w:rPr>
  </w:style>
  <w:style w:type="paragraph" w:styleId="CommentSubject">
    <w:name w:val="annotation subject"/>
    <w:basedOn w:val="CommentText"/>
    <w:next w:val="CommentText"/>
    <w:link w:val="CommentSubjectChar"/>
    <w:uiPriority w:val="99"/>
    <w:semiHidden/>
    <w:unhideWhenUsed/>
    <w:rsid w:val="00E17543"/>
    <w:rPr>
      <w:b/>
      <w:bCs/>
    </w:rPr>
  </w:style>
  <w:style w:type="character" w:customStyle="1" w:styleId="CommentSubjectChar">
    <w:name w:val="Comment Subject Char"/>
    <w:basedOn w:val="CommentTextChar"/>
    <w:link w:val="CommentSubject"/>
    <w:uiPriority w:val="99"/>
    <w:semiHidden/>
    <w:rsid w:val="00E17543"/>
    <w:rPr>
      <w:b/>
      <w:bCs/>
      <w:sz w:val="20"/>
      <w:szCs w:val="20"/>
    </w:rPr>
  </w:style>
  <w:style w:type="paragraph" w:styleId="Revision">
    <w:name w:val="Revision"/>
    <w:hidden/>
    <w:uiPriority w:val="99"/>
    <w:semiHidden/>
    <w:rsid w:val="001E5A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FCC"/>
    <w:rPr>
      <w:rFonts w:ascii="Tahoma" w:hAnsi="Tahoma" w:cs="Tahoma"/>
      <w:sz w:val="16"/>
      <w:szCs w:val="16"/>
    </w:rPr>
  </w:style>
  <w:style w:type="table" w:styleId="TableGrid">
    <w:name w:val="Table Grid"/>
    <w:basedOn w:val="TableNormal"/>
    <w:rsid w:val="00CB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B0FCC"/>
  </w:style>
  <w:style w:type="character" w:styleId="Hyperlink">
    <w:name w:val="Hyperlink"/>
    <w:basedOn w:val="DefaultParagraphFont"/>
    <w:uiPriority w:val="99"/>
    <w:unhideWhenUsed/>
    <w:rsid w:val="00C47337"/>
    <w:rPr>
      <w:color w:val="0000FF" w:themeColor="hyperlink"/>
      <w:u w:val="single"/>
    </w:rPr>
  </w:style>
  <w:style w:type="paragraph" w:styleId="ListParagraph">
    <w:name w:val="List Paragraph"/>
    <w:basedOn w:val="Normal"/>
    <w:uiPriority w:val="99"/>
    <w:qFormat/>
    <w:rsid w:val="00457FE4"/>
    <w:pPr>
      <w:ind w:left="720"/>
      <w:contextualSpacing/>
    </w:pPr>
  </w:style>
  <w:style w:type="character" w:styleId="CommentReference">
    <w:name w:val="annotation reference"/>
    <w:basedOn w:val="DefaultParagraphFont"/>
    <w:uiPriority w:val="99"/>
    <w:semiHidden/>
    <w:unhideWhenUsed/>
    <w:rsid w:val="00E17543"/>
    <w:rPr>
      <w:sz w:val="16"/>
      <w:szCs w:val="16"/>
    </w:rPr>
  </w:style>
  <w:style w:type="paragraph" w:styleId="CommentText">
    <w:name w:val="annotation text"/>
    <w:basedOn w:val="Normal"/>
    <w:link w:val="CommentTextChar"/>
    <w:uiPriority w:val="99"/>
    <w:semiHidden/>
    <w:unhideWhenUsed/>
    <w:rsid w:val="00E17543"/>
    <w:pPr>
      <w:spacing w:line="240" w:lineRule="auto"/>
    </w:pPr>
    <w:rPr>
      <w:sz w:val="20"/>
      <w:szCs w:val="20"/>
    </w:rPr>
  </w:style>
  <w:style w:type="character" w:customStyle="1" w:styleId="CommentTextChar">
    <w:name w:val="Comment Text Char"/>
    <w:basedOn w:val="DefaultParagraphFont"/>
    <w:link w:val="CommentText"/>
    <w:uiPriority w:val="99"/>
    <w:semiHidden/>
    <w:rsid w:val="00E17543"/>
    <w:rPr>
      <w:sz w:val="20"/>
      <w:szCs w:val="20"/>
    </w:rPr>
  </w:style>
  <w:style w:type="paragraph" w:styleId="CommentSubject">
    <w:name w:val="annotation subject"/>
    <w:basedOn w:val="CommentText"/>
    <w:next w:val="CommentText"/>
    <w:link w:val="CommentSubjectChar"/>
    <w:uiPriority w:val="99"/>
    <w:semiHidden/>
    <w:unhideWhenUsed/>
    <w:rsid w:val="00E17543"/>
    <w:rPr>
      <w:b/>
      <w:bCs/>
    </w:rPr>
  </w:style>
  <w:style w:type="character" w:customStyle="1" w:styleId="CommentSubjectChar">
    <w:name w:val="Comment Subject Char"/>
    <w:basedOn w:val="CommentTextChar"/>
    <w:link w:val="CommentSubject"/>
    <w:uiPriority w:val="99"/>
    <w:semiHidden/>
    <w:rsid w:val="00E17543"/>
    <w:rPr>
      <w:b/>
      <w:bCs/>
      <w:sz w:val="20"/>
      <w:szCs w:val="20"/>
    </w:rPr>
  </w:style>
  <w:style w:type="paragraph" w:styleId="Revision">
    <w:name w:val="Revision"/>
    <w:hidden/>
    <w:uiPriority w:val="99"/>
    <w:semiHidden/>
    <w:rsid w:val="001E5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279">
      <w:bodyDiv w:val="1"/>
      <w:marLeft w:val="0"/>
      <w:marRight w:val="0"/>
      <w:marTop w:val="0"/>
      <w:marBottom w:val="0"/>
      <w:divBdr>
        <w:top w:val="none" w:sz="0" w:space="0" w:color="auto"/>
        <w:left w:val="none" w:sz="0" w:space="0" w:color="auto"/>
        <w:bottom w:val="none" w:sz="0" w:space="0" w:color="auto"/>
        <w:right w:val="none" w:sz="0" w:space="0" w:color="auto"/>
      </w:divBdr>
    </w:div>
    <w:div w:id="110980179">
      <w:bodyDiv w:val="1"/>
      <w:marLeft w:val="0"/>
      <w:marRight w:val="0"/>
      <w:marTop w:val="0"/>
      <w:marBottom w:val="0"/>
      <w:divBdr>
        <w:top w:val="none" w:sz="0" w:space="0" w:color="auto"/>
        <w:left w:val="none" w:sz="0" w:space="0" w:color="auto"/>
        <w:bottom w:val="none" w:sz="0" w:space="0" w:color="auto"/>
        <w:right w:val="none" w:sz="0" w:space="0" w:color="auto"/>
      </w:divBdr>
    </w:div>
    <w:div w:id="115684813">
      <w:bodyDiv w:val="1"/>
      <w:marLeft w:val="0"/>
      <w:marRight w:val="0"/>
      <w:marTop w:val="0"/>
      <w:marBottom w:val="0"/>
      <w:divBdr>
        <w:top w:val="none" w:sz="0" w:space="0" w:color="auto"/>
        <w:left w:val="none" w:sz="0" w:space="0" w:color="auto"/>
        <w:bottom w:val="none" w:sz="0" w:space="0" w:color="auto"/>
        <w:right w:val="none" w:sz="0" w:space="0" w:color="auto"/>
      </w:divBdr>
    </w:div>
    <w:div w:id="202602391">
      <w:bodyDiv w:val="1"/>
      <w:marLeft w:val="0"/>
      <w:marRight w:val="0"/>
      <w:marTop w:val="0"/>
      <w:marBottom w:val="0"/>
      <w:divBdr>
        <w:top w:val="none" w:sz="0" w:space="0" w:color="auto"/>
        <w:left w:val="none" w:sz="0" w:space="0" w:color="auto"/>
        <w:bottom w:val="none" w:sz="0" w:space="0" w:color="auto"/>
        <w:right w:val="none" w:sz="0" w:space="0" w:color="auto"/>
      </w:divBdr>
    </w:div>
    <w:div w:id="247421151">
      <w:bodyDiv w:val="1"/>
      <w:marLeft w:val="0"/>
      <w:marRight w:val="0"/>
      <w:marTop w:val="0"/>
      <w:marBottom w:val="0"/>
      <w:divBdr>
        <w:top w:val="none" w:sz="0" w:space="0" w:color="auto"/>
        <w:left w:val="none" w:sz="0" w:space="0" w:color="auto"/>
        <w:bottom w:val="none" w:sz="0" w:space="0" w:color="auto"/>
        <w:right w:val="none" w:sz="0" w:space="0" w:color="auto"/>
      </w:divBdr>
    </w:div>
    <w:div w:id="274406398">
      <w:bodyDiv w:val="1"/>
      <w:marLeft w:val="0"/>
      <w:marRight w:val="0"/>
      <w:marTop w:val="0"/>
      <w:marBottom w:val="0"/>
      <w:divBdr>
        <w:top w:val="none" w:sz="0" w:space="0" w:color="auto"/>
        <w:left w:val="none" w:sz="0" w:space="0" w:color="auto"/>
        <w:bottom w:val="none" w:sz="0" w:space="0" w:color="auto"/>
        <w:right w:val="none" w:sz="0" w:space="0" w:color="auto"/>
      </w:divBdr>
    </w:div>
    <w:div w:id="365982475">
      <w:bodyDiv w:val="1"/>
      <w:marLeft w:val="0"/>
      <w:marRight w:val="0"/>
      <w:marTop w:val="0"/>
      <w:marBottom w:val="0"/>
      <w:divBdr>
        <w:top w:val="none" w:sz="0" w:space="0" w:color="auto"/>
        <w:left w:val="none" w:sz="0" w:space="0" w:color="auto"/>
        <w:bottom w:val="none" w:sz="0" w:space="0" w:color="auto"/>
        <w:right w:val="none" w:sz="0" w:space="0" w:color="auto"/>
      </w:divBdr>
    </w:div>
    <w:div w:id="396559313">
      <w:bodyDiv w:val="1"/>
      <w:marLeft w:val="0"/>
      <w:marRight w:val="0"/>
      <w:marTop w:val="0"/>
      <w:marBottom w:val="0"/>
      <w:divBdr>
        <w:top w:val="none" w:sz="0" w:space="0" w:color="auto"/>
        <w:left w:val="none" w:sz="0" w:space="0" w:color="auto"/>
        <w:bottom w:val="none" w:sz="0" w:space="0" w:color="auto"/>
        <w:right w:val="none" w:sz="0" w:space="0" w:color="auto"/>
      </w:divBdr>
      <w:divsChild>
        <w:div w:id="1739863094">
          <w:marLeft w:val="0"/>
          <w:marRight w:val="0"/>
          <w:marTop w:val="0"/>
          <w:marBottom w:val="0"/>
          <w:divBdr>
            <w:top w:val="none" w:sz="0" w:space="0" w:color="auto"/>
            <w:left w:val="none" w:sz="0" w:space="0" w:color="auto"/>
            <w:bottom w:val="none" w:sz="0" w:space="0" w:color="auto"/>
            <w:right w:val="none" w:sz="0" w:space="0" w:color="auto"/>
          </w:divBdr>
          <w:divsChild>
            <w:div w:id="10138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2479">
      <w:bodyDiv w:val="1"/>
      <w:marLeft w:val="0"/>
      <w:marRight w:val="0"/>
      <w:marTop w:val="0"/>
      <w:marBottom w:val="0"/>
      <w:divBdr>
        <w:top w:val="none" w:sz="0" w:space="0" w:color="auto"/>
        <w:left w:val="none" w:sz="0" w:space="0" w:color="auto"/>
        <w:bottom w:val="none" w:sz="0" w:space="0" w:color="auto"/>
        <w:right w:val="none" w:sz="0" w:space="0" w:color="auto"/>
      </w:divBdr>
    </w:div>
    <w:div w:id="503058958">
      <w:bodyDiv w:val="1"/>
      <w:marLeft w:val="0"/>
      <w:marRight w:val="0"/>
      <w:marTop w:val="0"/>
      <w:marBottom w:val="0"/>
      <w:divBdr>
        <w:top w:val="none" w:sz="0" w:space="0" w:color="auto"/>
        <w:left w:val="none" w:sz="0" w:space="0" w:color="auto"/>
        <w:bottom w:val="none" w:sz="0" w:space="0" w:color="auto"/>
        <w:right w:val="none" w:sz="0" w:space="0" w:color="auto"/>
      </w:divBdr>
    </w:div>
    <w:div w:id="670134623">
      <w:bodyDiv w:val="1"/>
      <w:marLeft w:val="0"/>
      <w:marRight w:val="0"/>
      <w:marTop w:val="0"/>
      <w:marBottom w:val="0"/>
      <w:divBdr>
        <w:top w:val="none" w:sz="0" w:space="0" w:color="auto"/>
        <w:left w:val="none" w:sz="0" w:space="0" w:color="auto"/>
        <w:bottom w:val="none" w:sz="0" w:space="0" w:color="auto"/>
        <w:right w:val="none" w:sz="0" w:space="0" w:color="auto"/>
      </w:divBdr>
    </w:div>
    <w:div w:id="917055346">
      <w:bodyDiv w:val="1"/>
      <w:marLeft w:val="0"/>
      <w:marRight w:val="0"/>
      <w:marTop w:val="0"/>
      <w:marBottom w:val="0"/>
      <w:divBdr>
        <w:top w:val="none" w:sz="0" w:space="0" w:color="auto"/>
        <w:left w:val="none" w:sz="0" w:space="0" w:color="auto"/>
        <w:bottom w:val="none" w:sz="0" w:space="0" w:color="auto"/>
        <w:right w:val="none" w:sz="0" w:space="0" w:color="auto"/>
      </w:divBdr>
    </w:div>
    <w:div w:id="937523188">
      <w:bodyDiv w:val="1"/>
      <w:marLeft w:val="0"/>
      <w:marRight w:val="0"/>
      <w:marTop w:val="0"/>
      <w:marBottom w:val="0"/>
      <w:divBdr>
        <w:top w:val="none" w:sz="0" w:space="0" w:color="auto"/>
        <w:left w:val="none" w:sz="0" w:space="0" w:color="auto"/>
        <w:bottom w:val="none" w:sz="0" w:space="0" w:color="auto"/>
        <w:right w:val="none" w:sz="0" w:space="0" w:color="auto"/>
      </w:divBdr>
    </w:div>
    <w:div w:id="1025401510">
      <w:bodyDiv w:val="1"/>
      <w:marLeft w:val="0"/>
      <w:marRight w:val="0"/>
      <w:marTop w:val="0"/>
      <w:marBottom w:val="0"/>
      <w:divBdr>
        <w:top w:val="none" w:sz="0" w:space="0" w:color="auto"/>
        <w:left w:val="none" w:sz="0" w:space="0" w:color="auto"/>
        <w:bottom w:val="none" w:sz="0" w:space="0" w:color="auto"/>
        <w:right w:val="none" w:sz="0" w:space="0" w:color="auto"/>
      </w:divBdr>
    </w:div>
    <w:div w:id="1032001326">
      <w:bodyDiv w:val="1"/>
      <w:marLeft w:val="0"/>
      <w:marRight w:val="0"/>
      <w:marTop w:val="0"/>
      <w:marBottom w:val="0"/>
      <w:divBdr>
        <w:top w:val="none" w:sz="0" w:space="0" w:color="auto"/>
        <w:left w:val="none" w:sz="0" w:space="0" w:color="auto"/>
        <w:bottom w:val="none" w:sz="0" w:space="0" w:color="auto"/>
        <w:right w:val="none" w:sz="0" w:space="0" w:color="auto"/>
      </w:divBdr>
    </w:div>
    <w:div w:id="1047528886">
      <w:bodyDiv w:val="1"/>
      <w:marLeft w:val="0"/>
      <w:marRight w:val="0"/>
      <w:marTop w:val="0"/>
      <w:marBottom w:val="0"/>
      <w:divBdr>
        <w:top w:val="none" w:sz="0" w:space="0" w:color="auto"/>
        <w:left w:val="none" w:sz="0" w:space="0" w:color="auto"/>
        <w:bottom w:val="none" w:sz="0" w:space="0" w:color="auto"/>
        <w:right w:val="none" w:sz="0" w:space="0" w:color="auto"/>
      </w:divBdr>
    </w:div>
    <w:div w:id="1166894965">
      <w:bodyDiv w:val="1"/>
      <w:marLeft w:val="0"/>
      <w:marRight w:val="0"/>
      <w:marTop w:val="0"/>
      <w:marBottom w:val="0"/>
      <w:divBdr>
        <w:top w:val="none" w:sz="0" w:space="0" w:color="auto"/>
        <w:left w:val="none" w:sz="0" w:space="0" w:color="auto"/>
        <w:bottom w:val="none" w:sz="0" w:space="0" w:color="auto"/>
        <w:right w:val="none" w:sz="0" w:space="0" w:color="auto"/>
      </w:divBdr>
    </w:div>
    <w:div w:id="1200439217">
      <w:bodyDiv w:val="1"/>
      <w:marLeft w:val="0"/>
      <w:marRight w:val="0"/>
      <w:marTop w:val="0"/>
      <w:marBottom w:val="0"/>
      <w:divBdr>
        <w:top w:val="none" w:sz="0" w:space="0" w:color="auto"/>
        <w:left w:val="none" w:sz="0" w:space="0" w:color="auto"/>
        <w:bottom w:val="none" w:sz="0" w:space="0" w:color="auto"/>
        <w:right w:val="none" w:sz="0" w:space="0" w:color="auto"/>
      </w:divBdr>
    </w:div>
    <w:div w:id="1272857932">
      <w:bodyDiv w:val="1"/>
      <w:marLeft w:val="0"/>
      <w:marRight w:val="0"/>
      <w:marTop w:val="0"/>
      <w:marBottom w:val="0"/>
      <w:divBdr>
        <w:top w:val="none" w:sz="0" w:space="0" w:color="auto"/>
        <w:left w:val="none" w:sz="0" w:space="0" w:color="auto"/>
        <w:bottom w:val="none" w:sz="0" w:space="0" w:color="auto"/>
        <w:right w:val="none" w:sz="0" w:space="0" w:color="auto"/>
      </w:divBdr>
    </w:div>
    <w:div w:id="1374696722">
      <w:bodyDiv w:val="1"/>
      <w:marLeft w:val="0"/>
      <w:marRight w:val="0"/>
      <w:marTop w:val="0"/>
      <w:marBottom w:val="0"/>
      <w:divBdr>
        <w:top w:val="none" w:sz="0" w:space="0" w:color="auto"/>
        <w:left w:val="none" w:sz="0" w:space="0" w:color="auto"/>
        <w:bottom w:val="none" w:sz="0" w:space="0" w:color="auto"/>
        <w:right w:val="none" w:sz="0" w:space="0" w:color="auto"/>
      </w:divBdr>
    </w:div>
    <w:div w:id="1378239530">
      <w:bodyDiv w:val="1"/>
      <w:marLeft w:val="0"/>
      <w:marRight w:val="0"/>
      <w:marTop w:val="0"/>
      <w:marBottom w:val="0"/>
      <w:divBdr>
        <w:top w:val="none" w:sz="0" w:space="0" w:color="auto"/>
        <w:left w:val="none" w:sz="0" w:space="0" w:color="auto"/>
        <w:bottom w:val="none" w:sz="0" w:space="0" w:color="auto"/>
        <w:right w:val="none" w:sz="0" w:space="0" w:color="auto"/>
      </w:divBdr>
    </w:div>
    <w:div w:id="1765150890">
      <w:bodyDiv w:val="1"/>
      <w:marLeft w:val="0"/>
      <w:marRight w:val="0"/>
      <w:marTop w:val="0"/>
      <w:marBottom w:val="0"/>
      <w:divBdr>
        <w:top w:val="none" w:sz="0" w:space="0" w:color="auto"/>
        <w:left w:val="none" w:sz="0" w:space="0" w:color="auto"/>
        <w:bottom w:val="none" w:sz="0" w:space="0" w:color="auto"/>
        <w:right w:val="none" w:sz="0" w:space="0" w:color="auto"/>
      </w:divBdr>
    </w:div>
    <w:div w:id="1791391306">
      <w:bodyDiv w:val="1"/>
      <w:marLeft w:val="0"/>
      <w:marRight w:val="0"/>
      <w:marTop w:val="0"/>
      <w:marBottom w:val="0"/>
      <w:divBdr>
        <w:top w:val="none" w:sz="0" w:space="0" w:color="auto"/>
        <w:left w:val="none" w:sz="0" w:space="0" w:color="auto"/>
        <w:bottom w:val="none" w:sz="0" w:space="0" w:color="auto"/>
        <w:right w:val="none" w:sz="0" w:space="0" w:color="auto"/>
      </w:divBdr>
      <w:divsChild>
        <w:div w:id="100803783">
          <w:marLeft w:val="0"/>
          <w:marRight w:val="0"/>
          <w:marTop w:val="0"/>
          <w:marBottom w:val="0"/>
          <w:divBdr>
            <w:top w:val="none" w:sz="0" w:space="0" w:color="auto"/>
            <w:left w:val="none" w:sz="0" w:space="0" w:color="auto"/>
            <w:bottom w:val="none" w:sz="0" w:space="0" w:color="auto"/>
            <w:right w:val="none" w:sz="0" w:space="0" w:color="auto"/>
          </w:divBdr>
          <w:divsChild>
            <w:div w:id="11518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5905">
      <w:bodyDiv w:val="1"/>
      <w:marLeft w:val="0"/>
      <w:marRight w:val="0"/>
      <w:marTop w:val="0"/>
      <w:marBottom w:val="0"/>
      <w:divBdr>
        <w:top w:val="none" w:sz="0" w:space="0" w:color="auto"/>
        <w:left w:val="none" w:sz="0" w:space="0" w:color="auto"/>
        <w:bottom w:val="none" w:sz="0" w:space="0" w:color="auto"/>
        <w:right w:val="none" w:sz="0" w:space="0" w:color="auto"/>
      </w:divBdr>
    </w:div>
    <w:div w:id="1952860180">
      <w:bodyDiv w:val="1"/>
      <w:marLeft w:val="0"/>
      <w:marRight w:val="0"/>
      <w:marTop w:val="0"/>
      <w:marBottom w:val="0"/>
      <w:divBdr>
        <w:top w:val="none" w:sz="0" w:space="0" w:color="auto"/>
        <w:left w:val="none" w:sz="0" w:space="0" w:color="auto"/>
        <w:bottom w:val="none" w:sz="0" w:space="0" w:color="auto"/>
        <w:right w:val="none" w:sz="0" w:space="0" w:color="auto"/>
      </w:divBdr>
    </w:div>
    <w:div w:id="214580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edistrict.gov.uk/carbonbudg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lakedistrict.gov.uk/__data/assets/pdf_file/0007/277585/A-Carbon-Account-for-the-Woodlands-in-the-Lake-District-National-Park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Becky:Library:Mail%20Downloads:LDNP%20Carbon%20Actions%20Log%20Update%201509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Becky:Library:Mail%20Downloads:LDNP%20Carbon%20Actions%20Log%20Update%201509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Becky:Library:Mail%20Downloads:LDNP%20Carbon%20Actions%20Log%20Update%201509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'Graphs and Tables (update)'!$AS$19</c:f>
              <c:strCache>
                <c:ptCount val="1"/>
                <c:pt idx="0">
                  <c:v>Home energy</c:v>
                </c:pt>
              </c:strCache>
            </c:strRef>
          </c:tx>
          <c:invertIfNegative val="0"/>
          <c:cat>
            <c:strRef>
              <c:f>('Graphs and Tables (update)'!$AU$17,'Graphs and Tables (update)'!$AV$17)</c:f>
              <c:strCache>
                <c:ptCount val="2"/>
                <c:pt idx="0">
                  <c:v>Optimistic</c:v>
                </c:pt>
                <c:pt idx="1">
                  <c:v>Mid Range</c:v>
                </c:pt>
              </c:strCache>
            </c:strRef>
          </c:cat>
          <c:val>
            <c:numRef>
              <c:f>('Graphs and Tables (update)'!$AT$19,'Graphs and Tables (update)'!$AV$19)</c:f>
              <c:numCache>
                <c:formatCode>_-* #,##0_-;\-* #,##0_-;_-* "-"??_-;_-@_-</c:formatCode>
                <c:ptCount val="2"/>
                <c:pt idx="0">
                  <c:v>12066.023859999999</c:v>
                </c:pt>
                <c:pt idx="1">
                  <c:v>11751.168135</c:v>
                </c:pt>
              </c:numCache>
            </c:numRef>
          </c:val>
        </c:ser>
        <c:ser>
          <c:idx val="1"/>
          <c:order val="1"/>
          <c:tx>
            <c:strRef>
              <c:f>'Graphs and Tables (update)'!$AS$20</c:f>
              <c:strCache>
                <c:ptCount val="1"/>
                <c:pt idx="0">
                  <c:v>Travel</c:v>
                </c:pt>
              </c:strCache>
            </c:strRef>
          </c:tx>
          <c:invertIfNegative val="0"/>
          <c:cat>
            <c:strRef>
              <c:f>('Graphs and Tables (update)'!$AU$17,'Graphs and Tables (update)'!$AV$17)</c:f>
              <c:strCache>
                <c:ptCount val="2"/>
                <c:pt idx="0">
                  <c:v>Optimistic</c:v>
                </c:pt>
                <c:pt idx="1">
                  <c:v>Mid Range</c:v>
                </c:pt>
              </c:strCache>
            </c:strRef>
          </c:cat>
          <c:val>
            <c:numRef>
              <c:f>('Graphs and Tables (update)'!$AT$20,'Graphs and Tables (update)'!$AV$20)</c:f>
              <c:numCache>
                <c:formatCode>_-* #,##0_-;\-* #,##0_-;_-* "-"??_-;_-@_-</c:formatCode>
                <c:ptCount val="2"/>
                <c:pt idx="0">
                  <c:v>40798.543862739731</c:v>
                </c:pt>
                <c:pt idx="1">
                  <c:v>40203.129831917809</c:v>
                </c:pt>
              </c:numCache>
            </c:numRef>
          </c:val>
        </c:ser>
        <c:ser>
          <c:idx val="2"/>
          <c:order val="2"/>
          <c:tx>
            <c:strRef>
              <c:f>'Graphs and Tables (update)'!$AS$21</c:f>
              <c:strCache>
                <c:ptCount val="1"/>
                <c:pt idx="0">
                  <c:v>Accommodation, food and drink</c:v>
                </c:pt>
              </c:strCache>
            </c:strRef>
          </c:tx>
          <c:invertIfNegative val="0"/>
          <c:cat>
            <c:strRef>
              <c:f>('Graphs and Tables (update)'!$AU$17,'Graphs and Tables (update)'!$AV$17)</c:f>
              <c:strCache>
                <c:ptCount val="2"/>
                <c:pt idx="0">
                  <c:v>Optimistic</c:v>
                </c:pt>
                <c:pt idx="1">
                  <c:v>Mid Range</c:v>
                </c:pt>
              </c:strCache>
            </c:strRef>
          </c:cat>
          <c:val>
            <c:numRef>
              <c:f>('Graphs and Tables (update)'!$AT$21,'Graphs and Tables (update)'!$AV$21)</c:f>
              <c:numCache>
                <c:formatCode>_-* #,##0_-;\-* #,##0_-;_-* "-"??_-;_-@_-</c:formatCode>
                <c:ptCount val="2"/>
                <c:pt idx="0">
                  <c:v>7764.0832045834004</c:v>
                </c:pt>
                <c:pt idx="1">
                  <c:v>6233.3911066937999</c:v>
                </c:pt>
              </c:numCache>
            </c:numRef>
          </c:val>
        </c:ser>
        <c:ser>
          <c:idx val="3"/>
          <c:order val="3"/>
          <c:tx>
            <c:strRef>
              <c:f>'Graphs and Tables (update)'!$AS$22</c:f>
              <c:strCache>
                <c:ptCount val="1"/>
                <c:pt idx="0">
                  <c:v>Renewables</c:v>
                </c:pt>
              </c:strCache>
            </c:strRef>
          </c:tx>
          <c:invertIfNegative val="0"/>
          <c:cat>
            <c:strRef>
              <c:f>('Graphs and Tables (update)'!$AU$17,'Graphs and Tables (update)'!$AV$17)</c:f>
              <c:strCache>
                <c:ptCount val="2"/>
                <c:pt idx="0">
                  <c:v>Optimistic</c:v>
                </c:pt>
                <c:pt idx="1">
                  <c:v>Mid Range</c:v>
                </c:pt>
              </c:strCache>
            </c:strRef>
          </c:cat>
          <c:val>
            <c:numRef>
              <c:f>('Graphs and Tables (update)'!$AT$22,'Graphs and Tables (update)'!$AV$22)</c:f>
              <c:numCache>
                <c:formatCode>_-* #,##0_-;\-* #,##0_-;_-* "-"??_-;_-@_-</c:formatCode>
                <c:ptCount val="2"/>
                <c:pt idx="0">
                  <c:v>38857.4892333241</c:v>
                </c:pt>
                <c:pt idx="1">
                  <c:v>38857.4892333241</c:v>
                </c:pt>
              </c:numCache>
            </c:numRef>
          </c:val>
        </c:ser>
        <c:ser>
          <c:idx val="4"/>
          <c:order val="4"/>
          <c:tx>
            <c:strRef>
              <c:f>'Graphs and Tables (update)'!$AS$23</c:f>
              <c:strCache>
                <c:ptCount val="1"/>
                <c:pt idx="0">
                  <c:v>Public Sector</c:v>
                </c:pt>
              </c:strCache>
            </c:strRef>
          </c:tx>
          <c:invertIfNegative val="0"/>
          <c:cat>
            <c:strRef>
              <c:f>('Graphs and Tables (update)'!$AU$17,'Graphs and Tables (update)'!$AV$17)</c:f>
              <c:strCache>
                <c:ptCount val="2"/>
                <c:pt idx="0">
                  <c:v>Optimistic</c:v>
                </c:pt>
                <c:pt idx="1">
                  <c:v>Mid Range</c:v>
                </c:pt>
              </c:strCache>
            </c:strRef>
          </c:cat>
          <c:val>
            <c:numRef>
              <c:f>('Graphs and Tables (update)'!$AT$23,'Graphs and Tables (update)'!$AV$23)</c:f>
              <c:numCache>
                <c:formatCode>_-* #,##0_-;\-* #,##0_-;_-* "-"??_-;_-@_-</c:formatCode>
                <c:ptCount val="2"/>
                <c:pt idx="0">
                  <c:v>4674.2268313864943</c:v>
                </c:pt>
                <c:pt idx="1">
                  <c:v>4674.2268313864943</c:v>
                </c:pt>
              </c:numCache>
            </c:numRef>
          </c:val>
        </c:ser>
        <c:ser>
          <c:idx val="5"/>
          <c:order val="5"/>
          <c:tx>
            <c:strRef>
              <c:f>'Graphs and Tables (update)'!$AS$24</c:f>
              <c:strCache>
                <c:ptCount val="1"/>
                <c:pt idx="0">
                  <c:v>Still to come</c:v>
                </c:pt>
              </c:strCache>
            </c:strRef>
          </c:tx>
          <c:invertIfNegative val="0"/>
          <c:cat>
            <c:strRef>
              <c:f>('Graphs and Tables (update)'!$AU$17,'Graphs and Tables (update)'!$AV$17)</c:f>
              <c:strCache>
                <c:ptCount val="2"/>
                <c:pt idx="0">
                  <c:v>Optimistic</c:v>
                </c:pt>
                <c:pt idx="1">
                  <c:v>Mid Range</c:v>
                </c:pt>
              </c:strCache>
            </c:strRef>
          </c:cat>
          <c:val>
            <c:numRef>
              <c:f>('Graphs and Tables (update)'!$AT$24,'Graphs and Tables (update)'!$AV$24)</c:f>
              <c:numCache>
                <c:formatCode>_-* #,##0_-;\-* #,##0_-;_-* "-"??_-;_-@_-</c:formatCode>
                <c:ptCount val="2"/>
                <c:pt idx="0">
                  <c:v>10839.633007966269</c:v>
                </c:pt>
                <c:pt idx="1">
                  <c:v>13280.594861677801</c:v>
                </c:pt>
              </c:numCache>
            </c:numRef>
          </c:val>
        </c:ser>
        <c:dLbls>
          <c:showLegendKey val="0"/>
          <c:showVal val="0"/>
          <c:showCatName val="0"/>
          <c:showSerName val="0"/>
          <c:showPercent val="0"/>
          <c:showBubbleSize val="0"/>
        </c:dLbls>
        <c:gapWidth val="50"/>
        <c:overlap val="100"/>
        <c:axId val="74009600"/>
        <c:axId val="74023680"/>
      </c:barChart>
      <c:catAx>
        <c:axId val="74009600"/>
        <c:scaling>
          <c:orientation val="minMax"/>
        </c:scaling>
        <c:delete val="0"/>
        <c:axPos val="b"/>
        <c:numFmt formatCode="General" sourceLinked="0"/>
        <c:majorTickMark val="out"/>
        <c:minorTickMark val="none"/>
        <c:tickLblPos val="nextTo"/>
        <c:crossAx val="74023680"/>
        <c:crosses val="autoZero"/>
        <c:auto val="1"/>
        <c:lblAlgn val="ctr"/>
        <c:lblOffset val="100"/>
        <c:noMultiLvlLbl val="0"/>
      </c:catAx>
      <c:valAx>
        <c:axId val="74023680"/>
        <c:scaling>
          <c:orientation val="minMax"/>
          <c:min val="0"/>
        </c:scaling>
        <c:delete val="0"/>
        <c:axPos val="l"/>
        <c:majorGridlines/>
        <c:title>
          <c:tx>
            <c:rich>
              <a:bodyPr/>
              <a:lstStyle/>
              <a:p>
                <a:pPr>
                  <a:defRPr/>
                </a:pPr>
                <a:r>
                  <a:rPr lang="en-GB"/>
                  <a:t>tCO2e</a:t>
                </a:r>
              </a:p>
            </c:rich>
          </c:tx>
          <c:overlay val="0"/>
        </c:title>
        <c:numFmt formatCode="_-* #,##0_-;\-* #,##0_-;_-* &quot;-&quot;??_-;_-@_-" sourceLinked="1"/>
        <c:majorTickMark val="out"/>
        <c:minorTickMark val="none"/>
        <c:tickLblPos val="nextTo"/>
        <c:crossAx val="740096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9670140164413499"/>
          <c:y val="3.30762904557809E-2"/>
          <c:w val="0.51569666147098603"/>
          <c:h val="0.84710130232189496"/>
        </c:manualLayout>
      </c:layout>
      <c:barChart>
        <c:barDir val="col"/>
        <c:grouping val="stacked"/>
        <c:varyColors val="0"/>
        <c:ser>
          <c:idx val="0"/>
          <c:order val="0"/>
          <c:tx>
            <c:strRef>
              <c:f>'Graphs and Tables (update)'!$AM$19</c:f>
              <c:strCache>
                <c:ptCount val="1"/>
                <c:pt idx="0">
                  <c:v>Home Energy</c:v>
                </c:pt>
              </c:strCache>
            </c:strRef>
          </c:tx>
          <c:invertIfNegative val="0"/>
          <c:cat>
            <c:strRef>
              <c:f>'Graphs and Tables (update)'!$AO$17</c:f>
              <c:strCache>
                <c:ptCount val="1"/>
                <c:pt idx="0">
                  <c:v>Optimistic</c:v>
                </c:pt>
              </c:strCache>
            </c:strRef>
          </c:cat>
          <c:val>
            <c:numRef>
              <c:f>'Graphs and Tables (update)'!$AN$19</c:f>
              <c:numCache>
                <c:formatCode>_-* #,##0_-;\-* #,##0_-;_-* "-"??_-;_-@_-</c:formatCode>
                <c:ptCount val="1"/>
                <c:pt idx="0">
                  <c:v>12066.023859999999</c:v>
                </c:pt>
              </c:numCache>
            </c:numRef>
          </c:val>
        </c:ser>
        <c:ser>
          <c:idx val="1"/>
          <c:order val="1"/>
          <c:tx>
            <c:strRef>
              <c:f>'Graphs and Tables (update)'!$AM$20</c:f>
              <c:strCache>
                <c:ptCount val="1"/>
                <c:pt idx="0">
                  <c:v>Travel</c:v>
                </c:pt>
              </c:strCache>
            </c:strRef>
          </c:tx>
          <c:invertIfNegative val="0"/>
          <c:cat>
            <c:strRef>
              <c:f>'Graphs and Tables (update)'!$AO$17</c:f>
              <c:strCache>
                <c:ptCount val="1"/>
                <c:pt idx="0">
                  <c:v>Optimistic</c:v>
                </c:pt>
              </c:strCache>
            </c:strRef>
          </c:cat>
          <c:val>
            <c:numRef>
              <c:f>'Graphs and Tables (update)'!$AN$20</c:f>
              <c:numCache>
                <c:formatCode>_-* #,##0_-;\-* #,##0_-;_-* "-"??_-;_-@_-</c:formatCode>
                <c:ptCount val="1"/>
                <c:pt idx="0">
                  <c:v>40798.543862739731</c:v>
                </c:pt>
              </c:numCache>
            </c:numRef>
          </c:val>
        </c:ser>
        <c:ser>
          <c:idx val="2"/>
          <c:order val="2"/>
          <c:tx>
            <c:strRef>
              <c:f>'Graphs and Tables (update)'!$AM$21</c:f>
              <c:strCache>
                <c:ptCount val="1"/>
                <c:pt idx="0">
                  <c:v>Accommodation, food and drink</c:v>
                </c:pt>
              </c:strCache>
            </c:strRef>
          </c:tx>
          <c:invertIfNegative val="0"/>
          <c:cat>
            <c:strRef>
              <c:f>'Graphs and Tables (update)'!$AO$17</c:f>
              <c:strCache>
                <c:ptCount val="1"/>
                <c:pt idx="0">
                  <c:v>Optimistic</c:v>
                </c:pt>
              </c:strCache>
            </c:strRef>
          </c:cat>
          <c:val>
            <c:numRef>
              <c:f>'Graphs and Tables (update)'!$AN$21</c:f>
              <c:numCache>
                <c:formatCode>_-* #,##0_-;\-* #,##0_-;_-* "-"??_-;_-@_-</c:formatCode>
                <c:ptCount val="1"/>
                <c:pt idx="0">
                  <c:v>7764.0832045834004</c:v>
                </c:pt>
              </c:numCache>
            </c:numRef>
          </c:val>
        </c:ser>
        <c:ser>
          <c:idx val="3"/>
          <c:order val="3"/>
          <c:tx>
            <c:strRef>
              <c:f>'Graphs and Tables (update)'!$AM$22</c:f>
              <c:strCache>
                <c:ptCount val="1"/>
                <c:pt idx="0">
                  <c:v>Renewables</c:v>
                </c:pt>
              </c:strCache>
            </c:strRef>
          </c:tx>
          <c:invertIfNegative val="0"/>
          <c:cat>
            <c:strRef>
              <c:f>'Graphs and Tables (update)'!$AO$17</c:f>
              <c:strCache>
                <c:ptCount val="1"/>
                <c:pt idx="0">
                  <c:v>Optimistic</c:v>
                </c:pt>
              </c:strCache>
            </c:strRef>
          </c:cat>
          <c:val>
            <c:numRef>
              <c:f>'Graphs and Tables (update)'!$AN$22</c:f>
              <c:numCache>
                <c:formatCode>_-* #,##0_-;\-* #,##0_-;_-* "-"??_-;_-@_-</c:formatCode>
                <c:ptCount val="1"/>
                <c:pt idx="0">
                  <c:v>38857.4892333241</c:v>
                </c:pt>
              </c:numCache>
            </c:numRef>
          </c:val>
        </c:ser>
        <c:ser>
          <c:idx val="4"/>
          <c:order val="4"/>
          <c:tx>
            <c:strRef>
              <c:f>'Graphs and Tables (update)'!$AM$23</c:f>
              <c:strCache>
                <c:ptCount val="1"/>
                <c:pt idx="0">
                  <c:v>Public Sector</c:v>
                </c:pt>
              </c:strCache>
            </c:strRef>
          </c:tx>
          <c:invertIfNegative val="0"/>
          <c:cat>
            <c:strRef>
              <c:f>'Graphs and Tables (update)'!$AO$17</c:f>
              <c:strCache>
                <c:ptCount val="1"/>
                <c:pt idx="0">
                  <c:v>Optimistic</c:v>
                </c:pt>
              </c:strCache>
            </c:strRef>
          </c:cat>
          <c:val>
            <c:numRef>
              <c:f>'Graphs and Tables (update)'!$AN$23</c:f>
              <c:numCache>
                <c:formatCode>_-* #,##0_-;\-* #,##0_-;_-* "-"??_-;_-@_-</c:formatCode>
                <c:ptCount val="1"/>
                <c:pt idx="0">
                  <c:v>4674.2268313864943</c:v>
                </c:pt>
              </c:numCache>
            </c:numRef>
          </c:val>
        </c:ser>
        <c:ser>
          <c:idx val="5"/>
          <c:order val="5"/>
          <c:tx>
            <c:strRef>
              <c:f>'Graphs and Tables (update)'!$AM$24</c:f>
              <c:strCache>
                <c:ptCount val="1"/>
                <c:pt idx="0">
                  <c:v>Peatland </c:v>
                </c:pt>
              </c:strCache>
            </c:strRef>
          </c:tx>
          <c:spPr>
            <a:solidFill>
              <a:schemeClr val="accent2">
                <a:lumMod val="60000"/>
                <a:lumOff val="40000"/>
              </a:schemeClr>
            </a:solidFill>
          </c:spPr>
          <c:invertIfNegative val="0"/>
          <c:cat>
            <c:strRef>
              <c:f>'Graphs and Tables (update)'!$AO$17</c:f>
              <c:strCache>
                <c:ptCount val="1"/>
                <c:pt idx="0">
                  <c:v>Optimistic</c:v>
                </c:pt>
              </c:strCache>
            </c:strRef>
          </c:cat>
          <c:val>
            <c:numRef>
              <c:f>'Graphs and Tables (update)'!$AN$24</c:f>
              <c:numCache>
                <c:formatCode>_-* #,##0_-;\-* #,##0_-;_-* "-"??_-;_-@_-</c:formatCode>
                <c:ptCount val="1"/>
                <c:pt idx="0">
                  <c:v>13878</c:v>
                </c:pt>
              </c:numCache>
            </c:numRef>
          </c:val>
        </c:ser>
        <c:ser>
          <c:idx val="6"/>
          <c:order val="6"/>
          <c:tx>
            <c:strRef>
              <c:f>'Graphs and Tables (update)'!$AM$25</c:f>
              <c:strCache>
                <c:ptCount val="1"/>
                <c:pt idx="0">
                  <c:v>Woodland </c:v>
                </c:pt>
              </c:strCache>
            </c:strRef>
          </c:tx>
          <c:invertIfNegative val="0"/>
          <c:cat>
            <c:strRef>
              <c:f>'Graphs and Tables (update)'!$AO$17</c:f>
              <c:strCache>
                <c:ptCount val="1"/>
                <c:pt idx="0">
                  <c:v>Optimistic</c:v>
                </c:pt>
              </c:strCache>
            </c:strRef>
          </c:cat>
          <c:val>
            <c:numRef>
              <c:f>'Graphs and Tables (update)'!$AN$25</c:f>
              <c:numCache>
                <c:formatCode>_-* #,##0_-;\-* #,##0_-;_-* "-"??_-;_-@_-</c:formatCode>
                <c:ptCount val="1"/>
                <c:pt idx="0">
                  <c:v>1687</c:v>
                </c:pt>
              </c:numCache>
            </c:numRef>
          </c:val>
        </c:ser>
        <c:ser>
          <c:idx val="7"/>
          <c:order val="7"/>
          <c:tx>
            <c:strRef>
              <c:f>'Graphs and Tables (update)'!$AM$26</c:f>
              <c:strCache>
                <c:ptCount val="1"/>
                <c:pt idx="0">
                  <c:v>Still to come</c:v>
                </c:pt>
              </c:strCache>
            </c:strRef>
          </c:tx>
          <c:spPr>
            <a:solidFill>
              <a:schemeClr val="accent6">
                <a:lumMod val="75000"/>
              </a:schemeClr>
            </a:solidFill>
          </c:spPr>
          <c:invertIfNegative val="0"/>
          <c:cat>
            <c:strRef>
              <c:f>'Graphs and Tables (update)'!$AO$17</c:f>
              <c:strCache>
                <c:ptCount val="1"/>
                <c:pt idx="0">
                  <c:v>Optimistic</c:v>
                </c:pt>
              </c:strCache>
            </c:strRef>
          </c:cat>
          <c:val>
            <c:numRef>
              <c:f>'Graphs and Tables (update)'!$AN$26</c:f>
              <c:numCache>
                <c:formatCode>_-* #,##0_-;\-* #,##0_-;_-* "-"??_-;_-@_-</c:formatCode>
                <c:ptCount val="1"/>
                <c:pt idx="0">
                  <c:v>-4725.366992033727</c:v>
                </c:pt>
              </c:numCache>
            </c:numRef>
          </c:val>
        </c:ser>
        <c:dLbls>
          <c:showLegendKey val="0"/>
          <c:showVal val="0"/>
          <c:showCatName val="0"/>
          <c:showSerName val="0"/>
          <c:showPercent val="0"/>
          <c:showBubbleSize val="0"/>
        </c:dLbls>
        <c:gapWidth val="150"/>
        <c:overlap val="100"/>
        <c:axId val="75852032"/>
        <c:axId val="75853824"/>
      </c:barChart>
      <c:catAx>
        <c:axId val="75852032"/>
        <c:scaling>
          <c:orientation val="minMax"/>
        </c:scaling>
        <c:delete val="0"/>
        <c:axPos val="b"/>
        <c:numFmt formatCode="General" sourceLinked="0"/>
        <c:majorTickMark val="out"/>
        <c:minorTickMark val="none"/>
        <c:tickLblPos val="nextTo"/>
        <c:crossAx val="75853824"/>
        <c:crosses val="autoZero"/>
        <c:auto val="1"/>
        <c:lblAlgn val="ctr"/>
        <c:lblOffset val="100"/>
        <c:noMultiLvlLbl val="0"/>
      </c:catAx>
      <c:valAx>
        <c:axId val="75853824"/>
        <c:scaling>
          <c:orientation val="minMax"/>
          <c:min val="0"/>
        </c:scaling>
        <c:delete val="0"/>
        <c:axPos val="l"/>
        <c:majorGridlines/>
        <c:title>
          <c:tx>
            <c:rich>
              <a:bodyPr/>
              <a:lstStyle/>
              <a:p>
                <a:pPr>
                  <a:defRPr/>
                </a:pPr>
                <a:r>
                  <a:rPr lang="en-GB"/>
                  <a:t>tCO2e</a:t>
                </a:r>
              </a:p>
            </c:rich>
          </c:tx>
          <c:overlay val="0"/>
        </c:title>
        <c:numFmt formatCode="_-* #,##0_-;\-* #,##0_-;_-* &quot;-&quot;??_-;_-@_-" sourceLinked="1"/>
        <c:majorTickMark val="out"/>
        <c:minorTickMark val="none"/>
        <c:tickLblPos val="nextTo"/>
        <c:crossAx val="75852032"/>
        <c:crosses val="autoZero"/>
        <c:crossBetween val="between"/>
      </c:valAx>
    </c:plotArea>
    <c:legend>
      <c:legendPos val="r"/>
      <c:legendEntry>
        <c:idx val="0"/>
        <c:delete val="1"/>
      </c:legendEntry>
      <c:layout>
        <c:manualLayout>
          <c:xMode val="edge"/>
          <c:yMode val="edge"/>
          <c:x val="0.73798903247519998"/>
          <c:y val="5.3492466419648797E-2"/>
          <c:w val="0.246740660464117"/>
          <c:h val="0.9395345553694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'Cumulative chart'!$B$26</c:f>
              <c:strCache>
                <c:ptCount val="1"/>
                <c:pt idx="0">
                  <c:v>Target</c:v>
                </c:pt>
              </c:strCache>
            </c:strRef>
          </c:tx>
          <c:marker>
            <c:symbol val="none"/>
          </c:marker>
          <c:cat>
            <c:numRef>
              <c:f>'Cumulative chart'!$A$27:$A$35</c:f>
              <c:numCache>
                <c:formatCode>m/d/yy</c:formatCode>
                <c:ptCount val="9"/>
                <c:pt idx="0">
                  <c:v>40483</c:v>
                </c:pt>
                <c:pt idx="1">
                  <c:v>40575</c:v>
                </c:pt>
                <c:pt idx="2">
                  <c:v>40848</c:v>
                </c:pt>
                <c:pt idx="3">
                  <c:v>41091</c:v>
                </c:pt>
                <c:pt idx="4">
                  <c:v>41456</c:v>
                </c:pt>
                <c:pt idx="5">
                  <c:v>41821</c:v>
                </c:pt>
                <c:pt idx="6">
                  <c:v>42186</c:v>
                </c:pt>
                <c:pt idx="7">
                  <c:v>42552</c:v>
                </c:pt>
              </c:numCache>
            </c:numRef>
          </c:cat>
          <c:val>
            <c:numRef>
              <c:f>'Cumulative chart'!$B$27:$B$34</c:f>
              <c:numCache>
                <c:formatCode>0.0%</c:formatCode>
                <c:ptCount val="8"/>
                <c:pt idx="0">
                  <c:v>0</c:v>
                </c:pt>
                <c:pt idx="1">
                  <c:v>0.01</c:v>
                </c:pt>
                <c:pt idx="2">
                  <c:v>1.4999999999999999E-2</c:v>
                </c:pt>
                <c:pt idx="3">
                  <c:v>0.02</c:v>
                </c:pt>
                <c:pt idx="4">
                  <c:v>0.03</c:v>
                </c:pt>
                <c:pt idx="5">
                  <c:v>0.04</c:v>
                </c:pt>
                <c:pt idx="6">
                  <c:v>0.05</c:v>
                </c:pt>
                <c:pt idx="7" formatCode="0%">
                  <c:v>0.06</c:v>
                </c:pt>
              </c:numCache>
            </c:numRef>
          </c:val>
          <c:smooth val="0"/>
        </c:ser>
        <c:ser>
          <c:idx val="1"/>
          <c:order val="1"/>
          <c:tx>
            <c:strRef>
              <c:f>'Cumulative chart'!$C$26</c:f>
              <c:strCache>
                <c:ptCount val="1"/>
                <c:pt idx="0">
                  <c:v>Actual </c:v>
                </c:pt>
              </c:strCache>
            </c:strRef>
          </c:tx>
          <c:spPr>
            <a:ln>
              <a:solidFill>
                <a:srgbClr val="C00000"/>
              </a:solidFill>
            </a:ln>
          </c:spPr>
          <c:marker>
            <c:symbol val="none"/>
          </c:marker>
          <c:cat>
            <c:numRef>
              <c:f>'Cumulative chart'!$A$27:$A$35</c:f>
              <c:numCache>
                <c:formatCode>m/d/yy</c:formatCode>
                <c:ptCount val="9"/>
                <c:pt idx="0">
                  <c:v>40483</c:v>
                </c:pt>
                <c:pt idx="1">
                  <c:v>40575</c:v>
                </c:pt>
                <c:pt idx="2">
                  <c:v>40848</c:v>
                </c:pt>
                <c:pt idx="3">
                  <c:v>41091</c:v>
                </c:pt>
                <c:pt idx="4">
                  <c:v>41456</c:v>
                </c:pt>
                <c:pt idx="5">
                  <c:v>41821</c:v>
                </c:pt>
                <c:pt idx="6">
                  <c:v>42186</c:v>
                </c:pt>
                <c:pt idx="7">
                  <c:v>42552</c:v>
                </c:pt>
              </c:numCache>
            </c:numRef>
          </c:cat>
          <c:val>
            <c:numRef>
              <c:f>'Cumulative chart'!$C$27:$C$34</c:f>
              <c:numCache>
                <c:formatCode>0.00%</c:formatCode>
                <c:ptCount val="8"/>
                <c:pt idx="0" formatCode="General">
                  <c:v>0</c:v>
                </c:pt>
                <c:pt idx="1">
                  <c:v>4.0000000000000001E-3</c:v>
                </c:pt>
                <c:pt idx="2">
                  <c:v>6.1000000000000004E-3</c:v>
                </c:pt>
                <c:pt idx="3">
                  <c:v>7.0000000000000001E-3</c:v>
                </c:pt>
                <c:pt idx="4">
                  <c:v>1.0807194244604299E-2</c:v>
                </c:pt>
                <c:pt idx="5">
                  <c:v>3.2599999999999997E-2</c:v>
                </c:pt>
                <c:pt idx="6">
                  <c:v>5.2054507387840697E-2</c:v>
                </c:pt>
              </c:numCache>
            </c:numRef>
          </c:val>
          <c:smooth val="0"/>
        </c:ser>
        <c:ser>
          <c:idx val="2"/>
          <c:order val="2"/>
          <c:tx>
            <c:strRef>
              <c:f>'Cumulative chart'!$D$26</c:f>
              <c:strCache>
                <c:ptCount val="1"/>
                <c:pt idx="0">
                  <c:v>Projected</c:v>
                </c:pt>
              </c:strCache>
            </c:strRef>
          </c:tx>
          <c:spPr>
            <a:ln>
              <a:solidFill>
                <a:srgbClr val="C00000"/>
              </a:solidFill>
              <a:prstDash val="dash"/>
            </a:ln>
          </c:spPr>
          <c:marker>
            <c:symbol val="none"/>
          </c:marker>
          <c:cat>
            <c:numRef>
              <c:f>'Cumulative chart'!$A$27:$A$35</c:f>
              <c:numCache>
                <c:formatCode>m/d/yy</c:formatCode>
                <c:ptCount val="9"/>
                <c:pt idx="0">
                  <c:v>40483</c:v>
                </c:pt>
                <c:pt idx="1">
                  <c:v>40575</c:v>
                </c:pt>
                <c:pt idx="2">
                  <c:v>40848</c:v>
                </c:pt>
                <c:pt idx="3">
                  <c:v>41091</c:v>
                </c:pt>
                <c:pt idx="4">
                  <c:v>41456</c:v>
                </c:pt>
                <c:pt idx="5">
                  <c:v>41821</c:v>
                </c:pt>
                <c:pt idx="6">
                  <c:v>42186</c:v>
                </c:pt>
                <c:pt idx="7">
                  <c:v>42552</c:v>
                </c:pt>
              </c:numCache>
            </c:numRef>
          </c:cat>
          <c:val>
            <c:numRef>
              <c:f>'Cumulative chart'!$D$47:$D$54</c:f>
              <c:numCache>
                <c:formatCode>0.00%</c:formatCode>
                <c:ptCount val="8"/>
                <c:pt idx="0" formatCode="0">
                  <c:v>0</c:v>
                </c:pt>
                <c:pt idx="1">
                  <c:v>4.0000000000000001E-3</c:v>
                </c:pt>
                <c:pt idx="2">
                  <c:v>6.1000000000000004E-3</c:v>
                </c:pt>
                <c:pt idx="3">
                  <c:v>7.0000000000000001E-3</c:v>
                </c:pt>
                <c:pt idx="4">
                  <c:v>1.0807194244604299E-2</c:v>
                </c:pt>
                <c:pt idx="5">
                  <c:v>3.2599999999999997E-2</c:v>
                </c:pt>
                <c:pt idx="6">
                  <c:v>5.2054507387840697E-2</c:v>
                </c:pt>
                <c:pt idx="7">
                  <c:v>6.2054507387840699E-2</c:v>
                </c:pt>
              </c:numCache>
            </c:numRef>
          </c:val>
          <c:smooth val="0"/>
        </c:ser>
        <c:dLbls>
          <c:showLegendKey val="0"/>
          <c:showVal val="0"/>
          <c:showCatName val="0"/>
          <c:showSerName val="0"/>
          <c:showPercent val="0"/>
          <c:showBubbleSize val="0"/>
        </c:dLbls>
        <c:marker val="1"/>
        <c:smooth val="0"/>
        <c:axId val="75880320"/>
        <c:axId val="75881856"/>
      </c:lineChart>
      <c:dateAx>
        <c:axId val="75880320"/>
        <c:scaling>
          <c:orientation val="minMax"/>
          <c:min val="40483"/>
        </c:scaling>
        <c:delete val="0"/>
        <c:axPos val="b"/>
        <c:numFmt formatCode="m/d/yy" sourceLinked="1"/>
        <c:majorTickMark val="out"/>
        <c:minorTickMark val="none"/>
        <c:tickLblPos val="nextTo"/>
        <c:crossAx val="75881856"/>
        <c:crosses val="autoZero"/>
        <c:auto val="1"/>
        <c:lblOffset val="100"/>
        <c:baseTimeUnit val="months"/>
        <c:majorUnit val="12"/>
        <c:majorTimeUnit val="months"/>
      </c:dateAx>
      <c:valAx>
        <c:axId val="75881856"/>
        <c:scaling>
          <c:orientation val="minMax"/>
        </c:scaling>
        <c:delete val="0"/>
        <c:axPos val="l"/>
        <c:majorGridlines/>
        <c:title>
          <c:tx>
            <c:rich>
              <a:bodyPr rot="0" vert="horz"/>
              <a:lstStyle/>
              <a:p>
                <a:pPr>
                  <a:defRPr/>
                </a:pPr>
                <a:r>
                  <a:rPr lang="en-US"/>
                  <a:t>Carbon</a:t>
                </a:r>
              </a:p>
              <a:p>
                <a:pPr>
                  <a:defRPr/>
                </a:pPr>
                <a:r>
                  <a:rPr lang="en-US"/>
                  <a:t> reductions</a:t>
                </a:r>
              </a:p>
            </c:rich>
          </c:tx>
          <c:layout>
            <c:manualLayout>
              <c:xMode val="edge"/>
              <c:yMode val="edge"/>
              <c:x val="2.1660649819494601E-2"/>
              <c:y val="0.35429779741482198"/>
            </c:manualLayout>
          </c:layout>
          <c:overlay val="0"/>
        </c:title>
        <c:numFmt formatCode="0.0%" sourceLinked="0"/>
        <c:majorTickMark val="out"/>
        <c:minorTickMark val="none"/>
        <c:tickLblPos val="nextTo"/>
        <c:crossAx val="75880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B797-9570-464C-BBAC-E1DB57AD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LDNPA</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Willis</dc:creator>
  <cp:lastModifiedBy>Andrew Herbert</cp:lastModifiedBy>
  <cp:revision>4</cp:revision>
  <cp:lastPrinted>2012-09-05T09:21:00Z</cp:lastPrinted>
  <dcterms:created xsi:type="dcterms:W3CDTF">2015-09-11T11:48:00Z</dcterms:created>
  <dcterms:modified xsi:type="dcterms:W3CDTF">2015-09-21T14:25:00Z</dcterms:modified>
</cp:coreProperties>
</file>